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104101f599141b681db9236882828b0"/>
        <w:lock w:val="sdtLocked"/>
        <w:richText/>
      </w:sdtPr>
      <w:sdtContent>
        <w:p>
          <w:pPr>
            <w:spacing w:line="276" w:lineRule="auto"/>
            <w:jc w:val="center"/>
            <w:rPr>
              <w:rFonts w:eastAsia="Calibri"/>
              <w:b/>
              <w:color w:val="000000"/>
              <w:szCs w:val="24"/>
            </w:rPr>
          </w:pPr>
          <w:r>
            <w:rPr>
              <w:rFonts w:eastAsia="Calibri"/>
              <w:b/>
              <w:color w:val="000000"/>
              <w:szCs w:val="24"/>
            </w:rPr>
            <w:t>NUMATOMO TEISINIO REGULIAVIMO POVEIKIO VERTINIMO PAŽYMA</w:t>
          </w:r>
        </w:p>
        <w:p>
          <w:pPr>
            <w:spacing w:line="276" w:lineRule="auto"/>
            <w:jc w:val="center"/>
            <w:rPr>
              <w:rFonts w:eastAsia="Calibri"/>
              <w:b/>
              <w:color w:val="000000"/>
              <w:szCs w:val="24"/>
            </w:rPr>
          </w:pPr>
        </w:p>
        <w:tbl>
          <w:tblPr>
            <w:tblW w:w="9782" w:type="dxa"/>
            <w:jc w:val="center"/>
            <w:tblLook w:val="00A0" w:firstRow="1" w:lastRow="0" w:firstColumn="1" w:lastColumn="0" w:noHBand="0" w:noVBand="0"/>
          </w:tblPr>
          <w:tblGrid>
            <w:gridCol w:w="2268"/>
            <w:gridCol w:w="7371"/>
            <w:gridCol w:w="143"/>
          </w:tblGrid>
          <w:tr>
            <w:trPr>
              <w:gridAfter w:val="1"/>
              <w:wAfter w:w="143" w:type="dxa"/>
              <w:jc w:val="center"/>
            </w:trPr>
            <w:tc>
              <w:tcPr>
                <w:tcW w:w="2268" w:type="dxa"/>
                <w:shd w:val="clear" w:color="auto" w:fill="auto"/>
                <w:hideMark/>
              </w:tcPr>
              <w:p>
                <w:pPr>
                  <w:rPr>
                    <w:sz w:val="4"/>
                    <w:szCs w:val="4"/>
                  </w:rPr>
                </w:pPr>
              </w:p>
              <w:p>
                <w:pPr>
                  <w:spacing w:line="276" w:lineRule="auto"/>
                  <w:rPr>
                    <w:rFonts w:eastAsia="Calibri"/>
                    <w:sz w:val="22"/>
                    <w:szCs w:val="24"/>
                    <w:shd w:val="clear" w:color="auto" w:fill="DBE5F1"/>
                  </w:rPr>
                </w:pPr>
                <w:r>
                  <w:rPr>
                    <w:rFonts w:eastAsia="Calibri"/>
                    <w:b/>
                    <w:sz w:val="22"/>
                    <w:szCs w:val="24"/>
                  </w:rPr>
                  <w:t>Projekto</w:t>
                </w:r>
                <w:r>
                  <w:rPr>
                    <w:rFonts w:eastAsia="Calibri"/>
                    <w:b/>
                    <w:sz w:val="22"/>
                    <w:szCs w:val="24"/>
                    <w:shd w:val="clear" w:color="auto" w:fill="DBE5F1"/>
                  </w:rPr>
                  <w:t xml:space="preserve"> </w:t>
                </w:r>
                <w:r>
                  <w:rPr>
                    <w:rFonts w:eastAsia="Calibri"/>
                    <w:b/>
                    <w:sz w:val="22"/>
                    <w:szCs w:val="24"/>
                  </w:rPr>
                  <w:t>pavadinimas</w:t>
                </w:r>
              </w:p>
            </w:tc>
            <w:tc>
              <w:tcPr>
                <w:tcW w:w="7371" w:type="dxa"/>
                <w:shd w:val="clear" w:color="auto" w:fill="auto"/>
              </w:tcPr>
              <w:p>
                <w:pPr>
                  <w:rPr>
                    <w:sz w:val="4"/>
                    <w:szCs w:val="4"/>
                  </w:rPr>
                </w:pPr>
              </w:p>
              <w:p>
                <w:pPr>
                  <w:jc w:val="both"/>
                  <w:rPr>
                    <w:rFonts w:eastAsia="Calibri"/>
                    <w:sz w:val="22"/>
                    <w:szCs w:val="24"/>
                  </w:rPr>
                </w:pPr>
                <w:r>
                  <w:rPr>
                    <w:rFonts w:eastAsia="Calibri"/>
                    <w:color w:val="000000"/>
                    <w:sz w:val="22"/>
                    <w:szCs w:val="24"/>
                  </w:rPr>
                  <w:t xml:space="preserve">Lietuvos Respublikos aplinkos ministro 2001 m. birželio 29 d. įsakymo Nr. 349 „Dėl Nuotekų dumblo tvarkymo ir panaudojimo reikalavimų patvirtinimo“ (toliau – Įsakymas Nr. 349) </w:t>
                </w:r>
                <w:r>
                  <w:rPr>
                    <w:rFonts w:eastAsia="Calibri"/>
                    <w:bCs/>
                    <w:sz w:val="22"/>
                    <w:szCs w:val="24"/>
                  </w:rPr>
                  <w:t>pakeitimo</w:t>
                </w:r>
                <w:r>
                  <w:rPr>
                    <w:rFonts w:eastAsia="Calibri"/>
                    <w:sz w:val="22"/>
                    <w:szCs w:val="24"/>
                  </w:rPr>
                  <w:t xml:space="preserve"> projektas</w:t>
                </w:r>
              </w:p>
              <w:p>
                <w:pPr>
                  <w:rPr>
                    <w:sz w:val="4"/>
                    <w:szCs w:val="4"/>
                  </w:rPr>
                </w:pPr>
              </w:p>
              <w:p>
                <w:pPr>
                  <w:jc w:val="both"/>
                  <w:rPr>
                    <w:rFonts w:eastAsia="Calibri"/>
                    <w:sz w:val="22"/>
                    <w:szCs w:val="24"/>
                  </w:rPr>
                </w:pPr>
                <w:r>
                  <w:rPr>
                    <w:rFonts w:eastAsia="Calibri"/>
                    <w:color w:val="000000"/>
                    <w:sz w:val="22"/>
                    <w:szCs w:val="24"/>
                  </w:rPr>
                  <w:t xml:space="preserve">Lietuvos Respublikos aplinkos ministro 2020 m. liepos 3 d. įsakymo Nr. D1-410 „Dėl </w:t>
                </w:r>
                <w:r>
                  <w:rPr>
                    <w:rFonts w:eastAsia="Calibri"/>
                    <w:color w:val="000000"/>
                    <w:sz w:val="22"/>
                    <w:szCs w:val="22"/>
                  </w:rPr>
                  <w:t xml:space="preserve">Lietuvos Respublikos aplinkos ministro 2001 m. birželio 29 d. įsakymo Nr. 349 „Dėl normatyvinio dokumento LAND 20-2005 „Nuotekų dumblo naudojimo tręšimui bei rekultivavimui reikalavimai“ patvirtinimo“ pakeitimo“ </w:t>
                </w:r>
                <w:r>
                  <w:rPr>
                    <w:rFonts w:eastAsia="Calibri"/>
                    <w:sz w:val="22"/>
                    <w:szCs w:val="24"/>
                    <w:lang w:eastAsia="lt-LT"/>
                  </w:rPr>
                  <w:t xml:space="preserve">(toliau – Įsakymas Nr. D1-410) </w:t>
                </w:r>
                <w:r>
                  <w:rPr>
                    <w:rFonts w:eastAsia="Calibri"/>
                    <w:color w:val="000000"/>
                    <w:sz w:val="22"/>
                    <w:szCs w:val="22"/>
                  </w:rPr>
                  <w:t>pakeitimo projektas</w:t>
                </w:r>
              </w:p>
            </w:tc>
          </w:tr>
          <w:tr>
            <w:trPr>
              <w:gridAfter w:val="1"/>
              <w:wAfter w:w="143" w:type="dxa"/>
              <w:jc w:val="center"/>
            </w:trPr>
            <w:tc>
              <w:tcPr>
                <w:tcW w:w="2268" w:type="dxa"/>
                <w:shd w:val="clear" w:color="auto" w:fill="auto"/>
                <w:hideMark/>
              </w:tcPr>
              <w:p>
                <w:pPr>
                  <w:rPr>
                    <w:sz w:val="4"/>
                    <w:szCs w:val="4"/>
                  </w:rPr>
                </w:pPr>
              </w:p>
              <w:p>
                <w:pPr>
                  <w:shd w:val="clear" w:color="auto" w:fill="FFFFFF"/>
                  <w:spacing w:line="276" w:lineRule="auto"/>
                  <w:rPr>
                    <w:rFonts w:eastAsia="Calibri"/>
                    <w:sz w:val="22"/>
                    <w:szCs w:val="24"/>
                  </w:rPr>
                </w:pPr>
                <w:r>
                  <w:rPr>
                    <w:rFonts w:eastAsia="Calibri"/>
                    <w:b/>
                    <w:sz w:val="22"/>
                    <w:szCs w:val="24"/>
                  </w:rPr>
                  <w:t>Projekto rengėjas</w:t>
                </w:r>
              </w:p>
            </w:tc>
            <w:tc>
              <w:tcPr>
                <w:tcW w:w="7371" w:type="dxa"/>
                <w:shd w:val="clear" w:color="auto" w:fill="auto"/>
                <w:hideMark/>
              </w:tcPr>
              <w:p>
                <w:pPr>
                  <w:rPr>
                    <w:sz w:val="4"/>
                    <w:szCs w:val="4"/>
                  </w:rPr>
                </w:pPr>
              </w:p>
              <w:p>
                <w:pPr>
                  <w:shd w:val="clear" w:color="auto" w:fill="FFFFFF"/>
                  <w:spacing w:line="276" w:lineRule="auto"/>
                  <w:jc w:val="both"/>
                  <w:rPr>
                    <w:rFonts w:eastAsia="Calibri"/>
                    <w:b/>
                    <w:sz w:val="22"/>
                    <w:szCs w:val="24"/>
                  </w:rPr>
                </w:pPr>
                <w:r>
                  <w:rPr>
                    <w:rFonts w:eastAsia="Calibri"/>
                    <w:sz w:val="22"/>
                    <w:szCs w:val="24"/>
                  </w:rPr>
                  <w:t>Lietuvos Respublikos aplinkos ministerija</w:t>
                </w:r>
              </w:p>
            </w:tc>
          </w:tr>
          <w:tr>
            <w:trPr>
              <w:jc w:val="center"/>
            </w:trPr>
            <w:tc>
              <w:tcPr>
                <w:tcW w:w="2268" w:type="dxa"/>
                <w:shd w:val="clear" w:color="auto" w:fill="auto"/>
                <w:hideMark/>
              </w:tcPr>
              <w:p>
                <w:pPr>
                  <w:rPr>
                    <w:sz w:val="4"/>
                    <w:szCs w:val="4"/>
                  </w:rPr>
                </w:pPr>
              </w:p>
              <w:p>
                <w:pPr>
                  <w:spacing w:line="276" w:lineRule="auto"/>
                  <w:rPr>
                    <w:rFonts w:eastAsia="Calibri"/>
                    <w:b/>
                    <w:sz w:val="22"/>
                    <w:szCs w:val="24"/>
                  </w:rPr>
                </w:pPr>
                <w:r>
                  <w:rPr>
                    <w:rFonts w:eastAsia="Calibri"/>
                    <w:b/>
                    <w:sz w:val="22"/>
                    <w:szCs w:val="24"/>
                  </w:rPr>
                  <w:t>Projekto tikslas</w:t>
                </w:r>
              </w:p>
            </w:tc>
            <w:tc>
              <w:tcPr>
                <w:tcW w:w="7514" w:type="dxa"/>
                <w:gridSpan w:val="2"/>
                <w:shd w:val="clear" w:color="auto" w:fill="auto"/>
                <w:hideMark/>
              </w:tcPr>
              <w:p>
                <w:pPr>
                  <w:spacing w:line="276" w:lineRule="auto"/>
                  <w:jc w:val="both"/>
                  <w:rPr>
                    <w:rFonts w:eastAsia="Calibri"/>
                    <w:sz w:val="22"/>
                    <w:szCs w:val="24"/>
                  </w:rPr>
                </w:pPr>
                <w:r>
                  <w:rPr>
                    <w:rFonts w:eastAsia="Calibri"/>
                    <w:sz w:val="22"/>
                    <w:szCs w:val="24"/>
                    <w:lang w:eastAsia="lt-LT"/>
                  </w:rPr>
                  <w:t xml:space="preserve">Įsakymo Nr. 349 pakeitimo projektu tikslinama termino „apdorotas dumblas“ apibrėžtis taip, kad ji atitiktų </w:t>
                </w:r>
                <w:r>
                  <w:rPr>
                    <w:rFonts w:eastAsia="Calibri"/>
                    <w:sz w:val="22"/>
                    <w:szCs w:val="24"/>
                    <w:shd w:val="clear" w:color="auto" w:fill="FFFFFF"/>
                  </w:rPr>
                  <w:t xml:space="preserve">1986 m. birželio 12 d. Tarybos </w:t>
                </w:r>
                <w:r>
                  <w:rPr>
                    <w:rFonts w:eastAsia="Calibri"/>
                    <w:sz w:val="22"/>
                    <w:szCs w:val="24"/>
                  </w:rPr>
                  <w:t xml:space="preserve">direktyvos 86/278/EEB dėl aplinkos, ypač dirvožemio, apsaugos naudojant žemės ūkyje nuotekų dumblą </w:t>
                </w:r>
                <w:r>
                  <w:rPr>
                    <w:rFonts w:eastAsia="Calibri"/>
                    <w:sz w:val="22"/>
                    <w:szCs w:val="24"/>
                    <w:lang w:val="en-US"/>
                  </w:rPr>
                  <w:t xml:space="preserve">2 </w:t>
                </w:r>
                <w:r>
                  <w:rPr>
                    <w:rFonts w:eastAsia="Calibri"/>
                    <w:sz w:val="22"/>
                    <w:szCs w:val="24"/>
                  </w:rPr>
                  <w:t xml:space="preserve">straipsnio b punkto nuostatas. </w:t>
                </w:r>
                <w:r>
                  <w:rPr>
                    <w:rFonts w:eastAsia="Calibri"/>
                    <w:color w:val="000000"/>
                    <w:sz w:val="22"/>
                    <w:szCs w:val="24"/>
                    <w:shd w:val="clear" w:color="auto" w:fill="FFFFFF"/>
                  </w:rPr>
                  <w:t xml:space="preserve">Norint </w:t>
                </w:r>
                <w:r>
                  <w:rPr>
                    <w:rFonts w:eastAsia="Calibri"/>
                    <w:sz w:val="22"/>
                    <w:szCs w:val="24"/>
                  </w:rPr>
                  <w:t xml:space="preserve">užtikrinti, kad susidaręs nuotekų dumblas būtų panaudojamas naudingiausiais, efektyviausiais būdais, o ne kaupiamas, pvz., jei nėra galimybių/poreikio jį panaudoti tręšimui, Įsakymo Nr. 349 pakeitimo projektu siūloma suvienodinti apdoroto nuotekų dumblo panaudojimo galimybes numatant, kad apdorotas nuotekų dumblas naudojamas tręšimui, pažeistų teritorijų rekultivavimui arba energijai gauti. Be to, </w:t>
                </w:r>
                <w:r>
                  <w:rPr>
                    <w:rFonts w:eastAsia="Calibri"/>
                    <w:sz w:val="22"/>
                    <w:szCs w:val="22"/>
                  </w:rPr>
                  <w:t>siekiant detaliau įvertinti Įsakymo Nr. D1-410 23 punkte numatyto reikalavimo dėl procesų vykdymo uždarose patalpose įgyvendinimo visų šiame Įsakymo Nr. D1-410 punkte išvardintų procesų atvejais būtinybę ir galimybes bei suteikti pakankamą laikotarpį naujiems reikalavimams įgyvendinti, siūloma atidėti minėto reikalavimo įgyvendinimo terminą iki 2025 m.</w:t>
                </w:r>
              </w:p>
            </w:tc>
          </w:tr>
          <w:tr>
            <w:trPr>
              <w:gridAfter w:val="1"/>
              <w:wAfter w:w="143" w:type="dxa"/>
              <w:trHeight w:val="415"/>
              <w:jc w:val="center"/>
            </w:trPr>
            <w:tc>
              <w:tcPr>
                <w:tcW w:w="2268" w:type="dxa"/>
                <w:shd w:val="clear" w:color="auto" w:fill="FFFFFF"/>
              </w:tcPr>
              <w:p>
                <w:pPr>
                  <w:rPr>
                    <w:sz w:val="4"/>
                    <w:szCs w:val="4"/>
                  </w:rPr>
                </w:pPr>
              </w:p>
              <w:p>
                <w:pPr>
                  <w:shd w:val="clear" w:color="auto" w:fill="FFFFFF"/>
                  <w:spacing w:line="276" w:lineRule="auto"/>
                  <w:rPr>
                    <w:rFonts w:eastAsia="Calibri"/>
                    <w:sz w:val="22"/>
                    <w:szCs w:val="24"/>
                  </w:rPr>
                </w:pPr>
              </w:p>
            </w:tc>
            <w:tc>
              <w:tcPr>
                <w:tcW w:w="7371" w:type="dxa"/>
                <w:shd w:val="clear" w:color="auto" w:fill="FFFFFF"/>
                <w:hideMark/>
              </w:tcPr>
              <w:p>
                <w:pPr>
                  <w:rPr>
                    <w:sz w:val="4"/>
                    <w:szCs w:val="4"/>
                  </w:rPr>
                </w:pPr>
              </w:p>
              <w:p>
                <w:pPr>
                  <w:shd w:val="clear" w:color="auto" w:fill="FFFFFF"/>
                  <w:spacing w:line="276" w:lineRule="auto"/>
                  <w:jc w:val="center"/>
                  <w:rPr>
                    <w:rFonts w:eastAsia="Calibri"/>
                    <w:b/>
                    <w:sz w:val="22"/>
                    <w:szCs w:val="24"/>
                  </w:rPr>
                </w:pPr>
                <w:r>
                  <w:rPr>
                    <w:rFonts w:eastAsia="Calibri"/>
                    <w:b/>
                    <w:sz w:val="22"/>
                    <w:szCs w:val="24"/>
                  </w:rPr>
                  <w:t xml:space="preserve">Siūlomo projekto poveikio įvertinimas </w:t>
                </w:r>
              </w:p>
            </w:tc>
          </w:tr>
          <w:tr>
            <w:trPr>
              <w:gridAfter w:val="1"/>
              <w:wAfter w:w="143" w:type="dxa"/>
              <w:jc w:val="center"/>
            </w:trPr>
            <w:tc>
              <w:tcPr>
                <w:tcW w:w="2268" w:type="dxa"/>
                <w:shd w:val="clear" w:color="auto" w:fill="FFFFFF"/>
              </w:tcPr>
              <w:p>
                <w:pPr>
                  <w:rPr>
                    <w:sz w:val="4"/>
                    <w:szCs w:val="4"/>
                  </w:rPr>
                </w:pPr>
              </w:p>
              <w:p>
                <w:pPr>
                  <w:spacing w:line="276" w:lineRule="auto"/>
                  <w:rPr>
                    <w:rFonts w:eastAsia="Calibri"/>
                    <w:b/>
                    <w:sz w:val="22"/>
                    <w:szCs w:val="24"/>
                  </w:rPr>
                </w:pPr>
                <w:r>
                  <w:rPr>
                    <w:rFonts w:eastAsia="Calibri"/>
                    <w:b/>
                    <w:sz w:val="22"/>
                    <w:szCs w:val="24"/>
                  </w:rPr>
                  <w:t>Poveikis aplinkai ir klimato kaitai</w:t>
                </w:r>
              </w:p>
              <w:p>
                <w:pPr>
                  <w:rPr>
                    <w:sz w:val="4"/>
                    <w:szCs w:val="4"/>
                  </w:rPr>
                </w:pPr>
              </w:p>
              <w:p>
                <w:pPr>
                  <w:spacing w:line="276" w:lineRule="auto"/>
                  <w:rPr>
                    <w:rFonts w:eastAsia="Calibri"/>
                    <w:b/>
                    <w:sz w:val="22"/>
                    <w:szCs w:val="24"/>
                  </w:rPr>
                </w:pPr>
              </w:p>
            </w:tc>
            <w:tc>
              <w:tcPr>
                <w:tcW w:w="7371" w:type="dxa"/>
                <w:shd w:val="clear" w:color="auto" w:fill="FFFFFF"/>
              </w:tcPr>
              <w:p>
                <w:pPr>
                  <w:rPr>
                    <w:sz w:val="4"/>
                    <w:szCs w:val="4"/>
                  </w:rPr>
                </w:pPr>
              </w:p>
              <w:p>
                <w:pPr>
                  <w:jc w:val="both"/>
                  <w:rPr>
                    <w:rFonts w:eastAsia="Calibri"/>
                    <w:color w:val="000000"/>
                    <w:sz w:val="22"/>
                    <w:szCs w:val="24"/>
                  </w:rPr>
                </w:pPr>
                <w:r>
                  <w:rPr>
                    <w:rFonts w:eastAsia="Calibri"/>
                    <w:color w:val="000000"/>
                    <w:sz w:val="22"/>
                    <w:szCs w:val="24"/>
                  </w:rPr>
                  <w:t>Teigiamas poveikis. Vietoj iškastinio kuro būtų naudojamas atsinaujinantis kuras – nuotekų dumblas, taip neleidžiant į atmosferą patekti papildomam CO</w:t>
                </w:r>
                <w:r>
                  <w:rPr>
                    <w:rFonts w:eastAsia="Calibri"/>
                    <w:color w:val="000000"/>
                    <w:sz w:val="22"/>
                    <w:szCs w:val="24"/>
                    <w:vertAlign w:val="subscript"/>
                  </w:rPr>
                  <w:t>2</w:t>
                </w:r>
                <w:r>
                  <w:rPr>
                    <w:rFonts w:eastAsia="Calibri"/>
                    <w:color w:val="000000"/>
                    <w:sz w:val="22"/>
                    <w:szCs w:val="24"/>
                  </w:rPr>
                  <w:t xml:space="preserve"> kiekiui. </w:t>
                </w:r>
              </w:p>
              <w:p>
                <w:pPr>
                  <w:rPr>
                    <w:sz w:val="4"/>
                    <w:szCs w:val="4"/>
                  </w:rPr>
                </w:pPr>
              </w:p>
              <w:p>
                <w:pPr>
                  <w:jc w:val="both"/>
                  <w:rPr>
                    <w:rFonts w:eastAsia="Calibri"/>
                    <w:color w:val="000000"/>
                    <w:sz w:val="22"/>
                    <w:szCs w:val="24"/>
                  </w:rPr>
                </w:pPr>
                <w:r>
                  <w:rPr>
                    <w:rFonts w:eastAsia="Calibri"/>
                    <w:color w:val="000000"/>
                    <w:sz w:val="22"/>
                    <w:szCs w:val="24"/>
                  </w:rPr>
                  <w:t>Neigiamas poveikis. Nenumatomas.</w:t>
                </w:r>
              </w:p>
              <w:p>
                <w:pPr>
                  <w:rPr>
                    <w:sz w:val="4"/>
                    <w:szCs w:val="4"/>
                  </w:rPr>
                </w:pPr>
              </w:p>
              <w:p>
                <w:pPr>
                  <w:spacing w:line="276" w:lineRule="auto"/>
                  <w:jc w:val="both"/>
                  <w:rPr>
                    <w:rFonts w:eastAsia="Calibri"/>
                    <w:sz w:val="22"/>
                    <w:szCs w:val="24"/>
                  </w:rPr>
                </w:pPr>
              </w:p>
            </w:tc>
          </w:tr>
          <w:tr>
            <w:trPr>
              <w:gridAfter w:val="1"/>
              <w:wAfter w:w="143" w:type="dxa"/>
              <w:jc w:val="center"/>
            </w:trPr>
            <w:tc>
              <w:tcPr>
                <w:tcW w:w="2268" w:type="dxa"/>
                <w:shd w:val="clear" w:color="auto" w:fill="FFFFFF"/>
                <w:hideMark/>
              </w:tcPr>
              <w:p>
                <w:pPr>
                  <w:rPr>
                    <w:sz w:val="4"/>
                    <w:szCs w:val="4"/>
                  </w:rPr>
                </w:pPr>
              </w:p>
              <w:p>
                <w:pPr>
                  <w:rPr>
                    <w:rFonts w:eastAsia="Calibri"/>
                    <w:b/>
                    <w:sz w:val="22"/>
                    <w:szCs w:val="24"/>
                  </w:rPr>
                </w:pPr>
                <w:r>
                  <w:rPr>
                    <w:rFonts w:eastAsia="Calibri"/>
                    <w:b/>
                    <w:sz w:val="22"/>
                    <w:szCs w:val="24"/>
                  </w:rPr>
                  <w:t xml:space="preserve">Poveikis </w:t>
                </w:r>
              </w:p>
              <w:p>
                <w:pPr>
                  <w:rPr>
                    <w:sz w:val="4"/>
                    <w:szCs w:val="4"/>
                  </w:rPr>
                </w:pPr>
              </w:p>
              <w:p>
                <w:pPr>
                  <w:rPr>
                    <w:rFonts w:eastAsia="Calibri"/>
                    <w:b/>
                    <w:sz w:val="22"/>
                    <w:szCs w:val="24"/>
                  </w:rPr>
                </w:pPr>
                <w:r>
                  <w:rPr>
                    <w:rFonts w:eastAsia="Calibri"/>
                    <w:b/>
                    <w:sz w:val="22"/>
                    <w:szCs w:val="24"/>
                  </w:rPr>
                  <w:t>valstybės finansams</w:t>
                </w:r>
              </w:p>
              <w:p>
                <w:pPr>
                  <w:rPr>
                    <w:sz w:val="4"/>
                    <w:szCs w:val="4"/>
                  </w:rPr>
                </w:pPr>
              </w:p>
              <w:p>
                <w:pPr>
                  <w:spacing w:line="276" w:lineRule="auto"/>
                  <w:rPr>
                    <w:rFonts w:eastAsia="Calibri"/>
                    <w:b/>
                    <w:sz w:val="22"/>
                    <w:szCs w:val="24"/>
                  </w:rPr>
                </w:pPr>
              </w:p>
            </w:tc>
            <w:tc>
              <w:tcPr>
                <w:tcW w:w="7371" w:type="dxa"/>
                <w:shd w:val="clear" w:color="auto" w:fill="auto"/>
                <w:hideMark/>
              </w:tcPr>
              <w:p>
                <w:pPr>
                  <w:rPr>
                    <w:sz w:val="4"/>
                    <w:szCs w:val="4"/>
                  </w:rPr>
                </w:pPr>
              </w:p>
              <w:p>
                <w:pPr>
                  <w:spacing w:line="276" w:lineRule="auto"/>
                  <w:jc w:val="both"/>
                  <w:rPr>
                    <w:rFonts w:eastAsia="Calibri"/>
                    <w:sz w:val="22"/>
                    <w:szCs w:val="24"/>
                  </w:rPr>
                </w:pPr>
                <w:r>
                  <w:rPr>
                    <w:rFonts w:eastAsia="Calibri"/>
                    <w:sz w:val="22"/>
                    <w:szCs w:val="24"/>
                  </w:rPr>
                  <w:t>Nenumatomas.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43" w:type="dxa"/>
              <w:jc w:val="center"/>
            </w:trPr>
            <w:tc>
              <w:tcPr>
                <w:tcW w:w="2268" w:type="dxa"/>
                <w:tcBorders>
                  <w:top w:val="nil"/>
                  <w:left w:val="nil"/>
                  <w:bottom w:val="nil"/>
                  <w:right w:val="nil"/>
                </w:tcBorders>
                <w:shd w:val="clear" w:color="auto" w:fill="FFFFFF"/>
              </w:tcPr>
              <w:p>
                <w:pPr>
                  <w:rPr>
                    <w:sz w:val="4"/>
                    <w:szCs w:val="4"/>
                  </w:rPr>
                </w:pPr>
              </w:p>
              <w:p>
                <w:pPr>
                  <w:rPr>
                    <w:rFonts w:eastAsia="Calibri"/>
                    <w:b/>
                    <w:sz w:val="22"/>
                    <w:szCs w:val="24"/>
                  </w:rPr>
                </w:pPr>
                <w:r>
                  <w:rPr>
                    <w:rFonts w:eastAsia="Calibri"/>
                    <w:b/>
                    <w:sz w:val="22"/>
                    <w:szCs w:val="24"/>
                  </w:rPr>
                  <w:t>Poveikis administracinei naštai</w:t>
                </w:r>
              </w:p>
              <w:p>
                <w:pPr>
                  <w:rPr>
                    <w:sz w:val="4"/>
                    <w:szCs w:val="4"/>
                  </w:rPr>
                </w:pPr>
              </w:p>
              <w:p>
                <w:pPr>
                  <w:spacing w:line="276" w:lineRule="auto"/>
                  <w:rPr>
                    <w:rFonts w:eastAsia="Calibri"/>
                    <w:b/>
                    <w:sz w:val="22"/>
                    <w:szCs w:val="24"/>
                  </w:rPr>
                </w:pPr>
              </w:p>
            </w:tc>
            <w:tc>
              <w:tcPr>
                <w:tcW w:w="7371" w:type="dxa"/>
                <w:tcBorders>
                  <w:top w:val="nil"/>
                  <w:left w:val="nil"/>
                  <w:bottom w:val="nil"/>
                  <w:right w:val="nil"/>
                </w:tcBorders>
                <w:shd w:val="clear" w:color="auto" w:fill="FFFFFF"/>
                <w:hideMark/>
              </w:tcPr>
              <w:p>
                <w:pPr>
                  <w:rPr>
                    <w:sz w:val="4"/>
                    <w:szCs w:val="4"/>
                  </w:rPr>
                </w:pPr>
              </w:p>
              <w:p>
                <w:pPr>
                  <w:spacing w:line="276" w:lineRule="auto"/>
                  <w:jc w:val="both"/>
                  <w:rPr>
                    <w:rFonts w:eastAsia="Calibri"/>
                    <w:sz w:val="22"/>
                    <w:szCs w:val="24"/>
                  </w:rPr>
                </w:pPr>
                <w:r>
                  <w:rPr>
                    <w:rFonts w:eastAsia="Calibri"/>
                    <w:color w:val="000000"/>
                    <w:sz w:val="22"/>
                    <w:szCs w:val="24"/>
                  </w:rPr>
                  <w:t xml:space="preserve">Nenumatomas. </w:t>
                </w:r>
              </w:p>
            </w:tc>
          </w:tr>
          <w:tr>
            <w:tblPrEx>
              <w:shd w:val="clear" w:color="auto" w:fill="FFFFFF"/>
            </w:tblPrEx>
            <w:trPr>
              <w:gridAfter w:val="1"/>
              <w:wAfter w:w="143" w:type="dxa"/>
              <w:trHeight w:val="379"/>
              <w:jc w:val="center"/>
            </w:trPr>
            <w:tc>
              <w:tcPr>
                <w:tcW w:w="9639" w:type="dxa"/>
                <w:gridSpan w:val="2"/>
                <w:vMerge w:val="restart"/>
                <w:shd w:val="clear" w:color="auto" w:fill="FFFFFF"/>
                <w:hideMark/>
              </w:tcPr>
              <w:p>
                <w:pPr>
                  <w:rPr>
                    <w:sz w:val="4"/>
                    <w:szCs w:val="4"/>
                  </w:rPr>
                </w:pPr>
              </w:p>
              <w:p>
                <w:pPr>
                  <w:shd w:val="clear" w:color="auto" w:fill="FFFFFF"/>
                  <w:spacing w:line="276" w:lineRule="auto"/>
                  <w:rPr>
                    <w:rFonts w:eastAsia="Calibri"/>
                    <w:b/>
                    <w:sz w:val="22"/>
                    <w:szCs w:val="24"/>
                  </w:rPr>
                </w:pPr>
                <w:r>
                  <w:rPr>
                    <w:rFonts w:eastAsia="Calibri"/>
                    <w:b/>
                    <w:sz w:val="22"/>
                    <w:szCs w:val="24"/>
                  </w:rPr>
                  <w:t>Kita svarbi informacija</w:t>
                </w:r>
                <w:r>
                  <w:rPr>
                    <w:rFonts w:eastAsia="Calibri"/>
                    <w:sz w:val="22"/>
                    <w:szCs w:val="24"/>
                  </w:rPr>
                  <w:t xml:space="preserve"> Nėra.</w:t>
                </w:r>
              </w:p>
              <w:p>
                <w:pPr>
                  <w:rPr>
                    <w:sz w:val="4"/>
                    <w:szCs w:val="4"/>
                  </w:rPr>
                </w:pPr>
              </w:p>
              <w:p>
                <w:pPr>
                  <w:shd w:val="clear" w:color="auto" w:fill="FFFFFF"/>
                  <w:spacing w:line="276" w:lineRule="auto"/>
                  <w:jc w:val="both"/>
                  <w:rPr>
                    <w:rFonts w:eastAsia="Calibri"/>
                    <w:b/>
                    <w:sz w:val="22"/>
                    <w:szCs w:val="24"/>
                  </w:rPr>
                </w:pPr>
              </w:p>
            </w:tc>
          </w:tr>
          <w:tr>
            <w:tblPrEx>
              <w:shd w:val="clear" w:color="auto" w:fill="FFFFFF"/>
            </w:tblPrEx>
            <w:trPr>
              <w:gridAfter w:val="1"/>
              <w:wAfter w:w="143" w:type="dxa"/>
              <w:trHeight w:val="379"/>
              <w:jc w:val="center"/>
            </w:trPr>
            <w:tc>
              <w:tcPr>
                <w:tcW w:w="0" w:type="auto"/>
                <w:gridSpan w:val="2"/>
                <w:vMerge/>
                <w:shd w:val="clear" w:color="auto" w:fill="FFFFFF"/>
                <w:vAlign w:val="center"/>
                <w:hideMark/>
              </w:tcPr>
              <w:p>
                <w:pPr>
                  <w:spacing w:line="276" w:lineRule="auto"/>
                  <w:rPr>
                    <w:rFonts w:eastAsia="Calibri"/>
                    <w:b/>
                    <w:sz w:val="22"/>
                    <w:szCs w:val="24"/>
                  </w:rPr>
                </w:pPr>
              </w:p>
            </w:tc>
          </w:tr>
        </w:tbl>
        <w:sdt>
          <w:sdtPr>
            <w:alias w:val="lentele"/>
            <w:tag w:val="part_bb0d262623fe4416b5cf6083c8f53f4d"/>
            <w:lock w:val="sdtLocked"/>
            <w:richText/>
          </w:sdtPr>
          <w:sdtContent>
            <w:p>
              <w:pPr>
                <w:spacing w:line="276" w:lineRule="auto"/>
                <w:jc w:val="both"/>
                <w:rPr>
                  <w:b/>
                  <w:sz w:val="22"/>
                  <w:szCs w:val="24"/>
                </w:rPr>
              </w:pPr>
              <w:sdt>
                <w:sdtPr>
                  <w:alias w:val="Pavadinimas"/>
                  <w:tag w:val="title_bb0d262623fe4416b5cf6083c8f53f4d"/>
                  <w:lock w:val="sdtLocked"/>
                  <w:richText/>
                </w:sdtPr>
                <w:sdtContent>
                  <w:r>
                    <w:rPr>
                      <w:b/>
                      <w:sz w:val="22"/>
                      <w:szCs w:val="24"/>
                    </w:rPr>
                    <w:t>Informacija apie asmenį ir instituciją, atsakingą už poveikio vertinimą</w:t>
                  </w:r>
                </w:sdtContent>
              </w:sdt>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6804"/>
              </w:tblGrid>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4"/>
                      </w:rPr>
                    </w:pPr>
                    <w:r>
                      <w:rPr>
                        <w:sz w:val="22"/>
                        <w:szCs w:val="24"/>
                      </w:rPr>
                      <w:t>Vardas ir pavardė</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 w:val="22"/>
                        <w:szCs w:val="24"/>
                      </w:rPr>
                    </w:pPr>
                    <w:r>
                      <w:rPr>
                        <w:sz w:val="22"/>
                        <w:szCs w:val="24"/>
                      </w:rPr>
                      <w:t>Aistė Krinickaitė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4"/>
                      </w:rPr>
                    </w:pPr>
                    <w:r>
                      <w:rPr>
                        <w:sz w:val="22"/>
                        <w:szCs w:val="24"/>
                      </w:rPr>
                      <w:t>Pareigos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 w:val="22"/>
                        <w:szCs w:val="24"/>
                      </w:rPr>
                    </w:pPr>
                    <w:r>
                      <w:rPr>
                        <w:sz w:val="22"/>
                        <w:szCs w:val="24"/>
                      </w:rPr>
                      <w:t>Vyriausioji specialistė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4"/>
                      </w:rPr>
                    </w:pPr>
                    <w:r>
                      <w:rPr>
                        <w:sz w:val="22"/>
                        <w:szCs w:val="24"/>
                      </w:rPr>
                      <w:t>Institucija (padalinys)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 w:val="22"/>
                        <w:szCs w:val="24"/>
                      </w:rPr>
                    </w:pPr>
                    <w:r>
                      <w:rPr>
                        <w:sz w:val="22"/>
                        <w:szCs w:val="24"/>
                      </w:rPr>
                      <w:t xml:space="preserve">Lietuvos Respublikos aplinkos ministerijos </w:t>
                    </w:r>
                    <w:r>
                      <w:rPr>
                        <w:sz w:val="22"/>
                      </w:rPr>
                      <w:t>Atliekų politikos grupė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4"/>
                      </w:rPr>
                    </w:pPr>
                    <w:r>
                      <w:rPr>
                        <w:sz w:val="22"/>
                        <w:szCs w:val="24"/>
                      </w:rPr>
                      <w:t>Telefono numeris ir elektroninio pašto adresas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 w:val="22"/>
                        <w:szCs w:val="24"/>
                      </w:rPr>
                    </w:pPr>
                    <w:r>
                      <w:rPr>
                        <w:sz w:val="22"/>
                      </w:rPr>
                      <w:t xml:space="preserve">Tel. </w:t>
                    </w:r>
                    <w:r>
                      <w:rPr>
                        <w:color w:val="000000"/>
                        <w:sz w:val="22"/>
                        <w:shd w:val="clear" w:color="auto" w:fill="FFFFFF"/>
                      </w:rPr>
                      <w:t>8 695 49899</w:t>
                    </w:r>
                    <w:r>
                      <w:rPr>
                        <w:sz w:val="22"/>
                      </w:rPr>
                      <w:t>, el. p. aiste.krinickaite@am.lt</w:t>
                    </w:r>
                    <w:r>
                      <w:rPr>
                        <w:sz w:val="22"/>
                        <w:szCs w:val="24"/>
                      </w:rPr>
                      <w:t xml:space="preserve"> </w:t>
                    </w:r>
                  </w:p>
                </w:tc>
              </w:tr>
            </w:tbl>
            <w:p/>
          </w:sdtContent>
        </w:sdt>
        <w:sdt>
          <w:sdtPr>
            <w:alias w:val="signatura"/>
            <w:tag w:val="part_56a08f4b0f844d82a09bd447e7262127"/>
            <w:lock w:val="sdtLocked"/>
            <w:richText/>
          </w:sdtPr>
          <w:sdtContent>
            <w:p>
              <w:pPr>
                <w:tabs>
                  <w:tab w:val="left" w:pos="6237"/>
                </w:tabs>
                <w:jc w:val="center"/>
                <w:rPr>
                  <w:szCs w:val="24"/>
                  <w:lang w:val="x-none" w:eastAsia="x-none"/>
                </w:rPr>
              </w:pPr>
              <w:r>
                <w:rPr>
                  <w:szCs w:val="24"/>
                  <w:lang w:val="x-none" w:eastAsia="x-none"/>
                </w:rPr>
                <w:t>______________</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A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2429d5c8c94073b204dbc67c9ce5a4" PartId="b104101f599141b681db9236882828b0">
    <Part Type="lentele" Title="Informacija apie asmenį ir instituciją, atsakingą už poveikio vertinimą" DocPartId="b57dfdf818cc43898f88ca027d2dbe1f" PartId="bb0d262623fe4416b5cf6083c8f53f4d"/>
    <Part Type="signatura" DocPartId="8f3b971c58ec4719a0ad85aa10a375f6" PartId="56a08f4b0f844d82a09bd447e7262127"/>
  </Part>
</Parts>
</file>

<file path=customXml/itemProps1.xml><?xml version="1.0" encoding="utf-8"?>
<ds:datastoreItem xmlns:ds="http://schemas.openxmlformats.org/officeDocument/2006/customXml" ds:itemID="{4CDF2B89-0151-46FD-8A26-FCBDFF98CC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305</Words>
  <Characters>2200</Characters>
  <Application>Microsoft Office Word</Application>
  <DocSecurity>4</DocSecurity>
  <Lines>62</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2473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2021-05-10T05:46:00Z</dcterms:created>
  <lastModifiedBy>adlibuser</lastModifiedBy>
  <lastPrinted>2015-09-10T11:32:00Z</lastPrinted>
  <dcterms:modified xsi:type="dcterms:W3CDTF">2021-05-10T05:46:00Z</dcterms:modified>
  <revision>2</revision>
</coreProperties>
</file>