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12e22076ad0349a588975148783dbde1"/>
        <w:lock w:val="sdtLocked"/>
        <w:richText/>
      </w:sdtPr>
      <w:sdtContent>
        <w:tbl>
          <w:tblPr>
            <w:tblW w:w="0" w:type="auto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817"/>
            <w:gridCol w:w="282"/>
            <w:gridCol w:w="1841"/>
            <w:gridCol w:w="565"/>
            <w:gridCol w:w="2133"/>
          </w:tblGrid>
          <w:tr>
            <w:tc>
              <w:tcPr>
                <w:tcW w:w="9638" w:type="dxa"/>
                <w:gridSpan w:val="5"/>
                <w:tcBorders>
                  <w:bottom w:val="single" w:sz="4" w:space="0" w:color="000000"/>
                </w:tcBorders>
              </w:tcPr>
              <w:p>
                <w:pPr>
                  <w:widowControl w:val="0"/>
                  <w:suppressLineNumbers/>
                  <w:tabs>
                    <w:tab w:val="center" w:pos="4800"/>
                    <w:tab w:val="right" w:pos="9601"/>
                  </w:tabs>
                  <w:suppressAutoHyphens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0705FBCA" wp14:editId="0B991B93">
                      <wp:extent cx="519430" cy="621665"/>
                      <wp:effectExtent l="19050" t="0" r="0" b="0"/>
                      <wp:docPr id="3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19430" cy="6216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4, LT-01105 Vilnius,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tel. 8 706 63661, faks. 8 706 63663, el. p. info@am.lt, http://am.lrv.lt.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rPr>
                    <w:rFonts w:eastAsia="Andale Sans UI" w:cs="Tahoma"/>
                    <w:color w:val="00000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color w:val="000000"/>
                    <w:szCs w:val="24"/>
                    <w:lang w:bidi="en-US"/>
                  </w:rPr>
                  <w:t>Adresatams pagal sąrašą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widowControl w:val="0"/>
                  <w:suppressAutoHyphen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ind w:right="67"/>
                  <w:rPr>
                    <w:rFonts w:eastAsia="Andale Sans UI" w:cs="Tahoma"/>
                    <w:szCs w:val="24"/>
                    <w:lang w:val="en-GB" w:bidi="en-US"/>
                  </w:rPr>
                </w:pPr>
                <w:r>
                  <w:rPr>
                    <w:rFonts w:eastAsia="Andale Sans UI" w:cs="Tahoma"/>
                    <w:szCs w:val="24"/>
                    <w:lang w:val="en-GB" w:bidi="en-US"/>
                  </w:rPr>
                  <w:t>2021-05</w:t>
                </w:r>
              </w:p>
            </w:tc>
            <w:tc>
              <w:tcPr>
                <w:tcW w:w="565" w:type="dxa"/>
              </w:tcPr>
              <w:p>
                <w:pPr>
                  <w:widowControl w:val="0"/>
                  <w:suppressAutoHyphens/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widowControl w:val="0"/>
                  <w:suppressLineNumbers/>
                  <w:suppressAutoHyphens/>
                  <w:ind w:right="67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(17)-D8(E)-</w:t>
                </w:r>
              </w:p>
            </w:tc>
          </w:tr>
          <w:tr>
            <w:trPr>
              <w:cantSplit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4821" w:type="dxa"/>
                <w:gridSpan w:val="4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ind w:right="67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</w:tr>
          <w:tr>
            <w:trPr>
              <w:trHeight w:val="340"/>
            </w:trP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keepLines/>
                  <w:widowControl w:val="0"/>
                  <w:suppressAutoHyphens/>
                  <w:jc w:val="both"/>
                  <w:textAlignment w:val="center"/>
                  <w:rPr>
                    <w:rFonts w:eastAsia="Andale Sans UI" w:cs="Tahoma"/>
                    <w:b/>
                    <w:bCs/>
                    <w:caps/>
                    <w:color w:val="00000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caps/>
                    <w:color w:val="000000"/>
                    <w:szCs w:val="24"/>
                    <w:lang w:bidi="en-US"/>
                  </w:rPr>
                  <w:t>DĖL Lietuvos Respublikos aplinkos ministro 2001 m. birželio 29 d. įsakymO Nr. 349 ir 2020 m. įsakymo nr. d1-410 pakeitimo PROJEKTų</w:t>
                </w:r>
              </w:p>
              <w:p>
                <w:pPr>
                  <w:widowControl w:val="0"/>
                  <w:suppressLineNumbers/>
                  <w:tabs>
                    <w:tab w:val="center" w:pos="4800"/>
                    <w:tab w:val="right" w:pos="9601"/>
                  </w:tabs>
                  <w:suppressAutoHyphens/>
                  <w:rPr>
                    <w:rFonts w:eastAsia="Andale Sans UI" w:cs="Tahoma"/>
                    <w:b/>
                    <w:szCs w:val="24"/>
                    <w:lang w:eastAsia="lt-LT" w:bidi="en-US"/>
                  </w:rPr>
                </w:pPr>
              </w:p>
            </w:tc>
          </w:tr>
        </w:tbl>
        <w:p>
          <w:pPr>
            <w:widowControl w:val="0"/>
            <w:suppressAutoHyphens/>
            <w:spacing w:line="276" w:lineRule="auto"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</w:p>
      </w:sdtContent>
    </w:sdt>
    <w:sdt>
      <w:sdtPr>
        <w:alias w:val="pastraipa"/>
        <w:tag w:val="part_79053bb6e9aa40f3a6263545d76fcf45"/>
        <w:lock w:val="sdtLocked"/>
        <w:richText/>
      </w:sdtPr>
      <w:sdtContent>
        <w:p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Aplinkos ministerija parengė ir teikia derinti Lietuvos Respublikos </w:t>
          </w:r>
          <w:r>
            <w:rPr>
              <w:color w:val="000000"/>
              <w:szCs w:val="24"/>
            </w:rPr>
            <w:t xml:space="preserve">aplinkos ministro 2001 m. birželio 29 d. įsakymo Nr. 349 „Dėl Nuotekų dumblo tvarkymo ir panaudojimo reikalavimų patvirtinimo“ </w:t>
          </w:r>
          <w:r>
            <w:rPr>
              <w:bCs/>
              <w:szCs w:val="24"/>
            </w:rPr>
            <w:t xml:space="preserve">pakeitimo projektą </w:t>
          </w:r>
          <w:r>
            <w:rPr>
              <w:szCs w:val="24"/>
              <w:lang w:eastAsia="lt-LT"/>
            </w:rPr>
            <w:t xml:space="preserve">(toliau – Įsakymo Nr. 349 pakeitimo projektas) </w:t>
          </w:r>
          <w:r>
            <w:rPr>
              <w:bCs/>
              <w:szCs w:val="24"/>
            </w:rPr>
            <w:t xml:space="preserve">ir </w:t>
          </w:r>
          <w:r>
            <w:rPr>
              <w:color w:val="000000"/>
              <w:szCs w:val="24"/>
            </w:rPr>
            <w:t xml:space="preserve">Lietuvos Respublikos aplinkos ministro 2020 m. liepos 3 d. įsakymo Nr. D1-410 „Dėl </w:t>
          </w:r>
          <w:r>
            <w:rPr>
              <w:color w:val="000000"/>
            </w:rPr>
            <w:t xml:space="preserve">Lietuvos Respublikos aplinkos ministro 2001 m. birželio 29 d. įsakymo Nr. 349 „Dėl normatyvinio dokumento LAND 20-2005 „Nuotekų dumblo naudojimo tręšimui bei rekultivavimui reikalavimai“ patvirtinimo“ pakeitimo“ </w:t>
          </w:r>
          <w:r>
            <w:rPr>
              <w:szCs w:val="24"/>
              <w:lang w:eastAsia="lt-LT"/>
            </w:rPr>
            <w:t xml:space="preserve">(toliau – Įsakymas Nr. D1-410) </w:t>
          </w:r>
          <w:r>
            <w:rPr>
              <w:color w:val="000000"/>
            </w:rPr>
            <w:t>pakeitimo projektą (toliau kartu – Įsakymų projektai)</w:t>
          </w:r>
          <w:r>
            <w:rPr>
              <w:szCs w:val="24"/>
              <w:lang w:eastAsia="lt-LT"/>
            </w:rPr>
            <w:t xml:space="preserve">. </w:t>
          </w:r>
        </w:p>
      </w:sdtContent>
    </w:sdt>
    <w:sdt>
      <w:sdtPr>
        <w:alias w:val="pastraipa"/>
        <w:tag w:val="part_d5eaa7a9939e4eba9d8f82e000077fc4"/>
        <w:lock w:val="sdtLocked"/>
        <w:richText/>
      </w:sdtPr>
      <w:sdtContent>
        <w:p>
          <w:pPr>
            <w:ind w:firstLine="567"/>
            <w:jc w:val="both"/>
          </w:pPr>
          <w:r>
            <w:rPr>
              <w:szCs w:val="24"/>
              <w:lang w:eastAsia="lt-LT"/>
            </w:rPr>
            <w:t>Įsakymo Nr. 349 pakeitimo projekto</w:t>
          </w:r>
          <w:r>
            <w:t xml:space="preserve"> tikslas – patikslinti terminą „apdorotas nuotekų dumblas“ bei suvienodinti apdoroto nuotekų dumblo panaudojimo galimybes.</w:t>
          </w:r>
        </w:p>
      </w:sdtContent>
    </w:sdt>
    <w:sdt>
      <w:sdtPr>
        <w:alias w:val="pastraipa"/>
        <w:tag w:val="part_8452ad6836da41c0ac8a87c1cb100465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/>
              <w:kern w:val="1"/>
              <w:szCs w:val="24"/>
              <w:lang w:eastAsia="lt-LT" w:bidi="en-US"/>
            </w:rPr>
          </w:pPr>
          <w:r>
            <w:rPr>
              <w:rFonts w:eastAsia="Andale Sans UI"/>
              <w:kern w:val="1"/>
              <w:szCs w:val="24"/>
              <w:lang w:eastAsia="lt-LT" w:bidi="en-US"/>
            </w:rPr>
            <w:t xml:space="preserve">Įsakymo </w:t>
          </w:r>
          <w:r>
            <w:rPr>
              <w:rFonts w:eastAsia="Andale Sans UI" w:cs="Tahoma"/>
              <w:szCs w:val="24"/>
              <w:lang w:eastAsia="lt-LT" w:bidi="en-US"/>
            </w:rPr>
            <w:t xml:space="preserve">Nr. 349 pakeitimo </w:t>
          </w:r>
          <w:r>
            <w:rPr>
              <w:rFonts w:eastAsia="Andale Sans UI"/>
              <w:kern w:val="1"/>
              <w:szCs w:val="24"/>
              <w:lang w:eastAsia="lt-LT" w:bidi="en-US"/>
            </w:rPr>
            <w:t>projekte numatyti pakeitimai:</w:t>
          </w:r>
        </w:p>
        <w:sdt>
          <w:sdtPr>
            <w:alias w:val="1 pp."/>
            <w:tag w:val="part_29b96bd7c02049c9a716132e7fed778b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29b96bd7c02049c9a716132e7fed778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kern w:val="1"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rFonts w:eastAsia="Andale Sans UI"/>
                  <w:kern w:val="1"/>
                  <w:szCs w:val="24"/>
                  <w:lang w:eastAsia="lt-LT" w:bidi="en-US"/>
                </w:rPr>
                <w:t xml:space="preserve">) </w:t>
              </w:r>
              <w:r>
                <w:rPr>
                  <w:rFonts w:eastAsia="Andale Sans UI" w:cs="Tahoma"/>
                  <w:szCs w:val="24"/>
                  <w:lang w:eastAsia="lt-LT" w:bidi="en-US"/>
                </w:rPr>
                <w:t xml:space="preserve">Siekiant teisinio aiškumo, tikslinama termino „apdorotas nuotekų dumblas“ apibrėžtis taip, kad ji atitiktų </w:t>
              </w:r>
              <w:r>
                <w:rPr>
                  <w:rFonts w:eastAsia="Andale Sans UI"/>
                  <w:szCs w:val="19"/>
                  <w:shd w:val="clear" w:color="auto" w:fill="FFFFFF"/>
                  <w:lang w:bidi="en-US"/>
                </w:rPr>
                <w:t xml:space="preserve">1986 m. birželio 12 d. Tarybos 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direktyvos 86/278/EEB dėl aplinkos, ypač dirvožemio, apsaugos naudojant žemės ūkyje nuotekų dumblą (toliau – </w:t>
              </w:r>
              <w:r>
                <w:rPr>
                  <w:rFonts w:eastAsia="Andale Sans UI" w:cs="Tahoma"/>
                  <w:bCs/>
                  <w:szCs w:val="24"/>
                  <w:lang w:bidi="en-US"/>
                </w:rPr>
                <w:t>Direktyva 86/278/EEB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) </w:t>
              </w:r>
              <w:r>
                <w:rPr>
                  <w:rFonts w:eastAsia="Andale Sans UI" w:cs="Tahoma"/>
                  <w:szCs w:val="24"/>
                  <w:lang w:val="en-US" w:bidi="en-US"/>
                </w:rPr>
                <w:t>2 </w:t>
              </w:r>
              <w:r>
                <w:rPr>
                  <w:rFonts w:eastAsia="Andale Sans UI" w:cs="Tahoma"/>
                  <w:szCs w:val="24"/>
                  <w:lang w:bidi="en-US"/>
                </w:rPr>
                <w:t>straipsnio b punkto nuostatas.</w:t>
              </w:r>
            </w:p>
          </w:sdtContent>
        </w:sdt>
        <w:sdt>
          <w:sdtPr>
            <w:alias w:val="2 pp."/>
            <w:tag w:val="part_60f4a700bc6d4b8c95668704f96e841e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60f4a700bc6d4b8c95668704f96e841e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) N</w:t>
              </w:r>
              <w:r>
                <w:rPr>
                  <w:rFonts w:eastAsia="Andale Sans UI"/>
                  <w:color w:val="000000"/>
                  <w:szCs w:val="24"/>
                  <w:shd w:val="clear" w:color="auto" w:fill="FFFFFF"/>
                  <w:lang w:bidi="en-US"/>
                </w:rPr>
                <w:t xml:space="preserve">orint </w:t>
              </w:r>
              <w:r>
                <w:rPr>
                  <w:rFonts w:eastAsia="Andale Sans UI"/>
                  <w:szCs w:val="24"/>
                  <w:lang w:bidi="en-US"/>
                </w:rPr>
                <w:t xml:space="preserve">užtikrinti, kad susidaręs nuotekų dumblas būtų panaudojamas naudingiausiais, efektyviausiais būdais, o ne kaupiamas, pvz., jei nėra galimybių / poreikio jį panaudoti tręšimui, </w:t>
              </w:r>
              <w:r>
                <w:rPr>
                  <w:rFonts w:eastAsia="Andale Sans UI" w:cs="Tahoma"/>
                  <w:szCs w:val="24"/>
                  <w:lang w:bidi="en-US"/>
                </w:rPr>
                <w:t>siūloma suvienodinti apdoroto nuotekų dumblo panaudojimo galimybes numatant, kad apdorotas nuotekų dumblas naudojamas tręšimui, pažeistų teritorijų rekultivavimui arba energijai gauti</w:t>
              </w:r>
              <w:r>
                <w:rPr>
                  <w:rFonts w:eastAsia="Andale Sans UI"/>
                  <w:szCs w:val="24"/>
                  <w:lang w:bidi="en-US"/>
                </w:rPr>
                <w:t>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eastAsia="lt-LT" w:bidi="en-US"/>
                </w:rPr>
                <w:t xml:space="preserve">Įsakymo Nr. D1-410 pakeitimo projekto tikslas – </w:t>
              </w:r>
              <w:r>
                <w:rPr>
                  <w:rFonts w:eastAsia="Andale Sans UI"/>
                  <w:szCs w:val="24"/>
                  <w:lang w:bidi="en-US"/>
                </w:rPr>
                <w:t xml:space="preserve">atidėti </w:t>
              </w:r>
              <w:r>
                <w:rPr>
                  <w:rFonts w:eastAsia="Andale Sans UI" w:cs="Tahoma"/>
                  <w:szCs w:val="24"/>
                  <w:lang w:bidi="en-US"/>
                </w:rPr>
                <w:t>reikalavimo nuotekų dumblo ir biologiškai skaidžių atliekų priėmimą, laikymą ir kompostavimą, anaerobinį apdorojimą vykdyti uždarose patalpose</w:t>
              </w:r>
              <w:r>
                <w:rPr>
                  <w:rFonts w:eastAsia="Andale Sans UI"/>
                  <w:szCs w:val="24"/>
                  <w:lang w:bidi="en-US"/>
                </w:rPr>
                <w:t xml:space="preserve"> įgyvendinimo terminą</w:t>
              </w:r>
              <w:r>
                <w:rPr>
                  <w:rFonts w:eastAsia="Andale Sans UI" w:cs="Tahoma"/>
                  <w:szCs w:val="24"/>
                  <w:lang w:bidi="en-US"/>
                </w:rPr>
                <w:t>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2022 m. sausio 1 d. įsigalios </w:t>
              </w:r>
              <w:r>
                <w:rPr>
                  <w:rFonts w:eastAsia="Andale Sans UI" w:cs="Tahoma"/>
                  <w:szCs w:val="24"/>
                  <w:lang w:eastAsia="lt-LT" w:bidi="en-US"/>
                </w:rPr>
                <w:t xml:space="preserve">Įsakymo Nr. D1-410 </w:t>
              </w:r>
              <w:r>
                <w:rPr>
                  <w:rFonts w:eastAsia="Andale Sans UI"/>
                  <w:szCs w:val="24"/>
                  <w:lang w:bidi="en-US"/>
                </w:rPr>
                <w:t xml:space="preserve">23 punkto reikalavimas, numatantis pareigą 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užtikrinti, kad kompostavimo, anaerobinio dumblo apdorojimo įrenginiuose apdorojamas nuotekų dumblas ir biologiškai skaidžios atliekos būtų priimamos, laikomos ir kompostuojamos, anaerobiškai apdorojamos uždarose patalpose (toliau – reikalavimas apdorojimui uždarose patalpose). </w:t>
              </w:r>
              <w:r>
                <w:rPr>
                  <w:rFonts w:eastAsia="Andale Sans UI"/>
                  <w:szCs w:val="24"/>
                  <w:lang w:bidi="en-US"/>
                </w:rPr>
                <w:t xml:space="preserve">Atsižvelgiant į tai, kad kitose Europos Sąjungos šalyse </w:t>
              </w:r>
              <w:r>
                <w:rPr>
                  <w:rFonts w:eastAsia="Andale Sans UI" w:cs="Tahoma"/>
                  <w:szCs w:val="24"/>
                  <w:lang w:bidi="en-US"/>
                </w:rPr>
                <w:t>reikalavimas apdorojimui uždarose patalpose</w:t>
              </w:r>
              <w:r>
                <w:rPr>
                  <w:rFonts w:eastAsia="Andale Sans UI"/>
                  <w:szCs w:val="24"/>
                  <w:lang w:bidi="en-US"/>
                </w:rPr>
                <w:t xml:space="preserve"> netaikomas, kvapų sklidimo valdymas ir prevencija užtikrinama kitomis priemonėmis</w:t>
              </w:r>
              <w:r>
                <w:rPr>
                  <w:rFonts w:eastAsia="Andale Sans UI"/>
                  <w:szCs w:val="24"/>
                  <w:vertAlign w:val="superscript"/>
                  <w:lang w:bidi="en-US"/>
                </w:rPr>
                <w:footnoteReference w:id="1"/>
              </w:r>
              <w:r>
                <w:rPr>
                  <w:rFonts w:eastAsia="Andale Sans UI"/>
                  <w:szCs w:val="24"/>
                  <w:lang w:bidi="en-US"/>
                </w:rPr>
                <w:t xml:space="preserve">, siekiant detaliau įvertinti </w:t>
              </w:r>
              <w:r>
                <w:rPr>
                  <w:rFonts w:eastAsia="Andale Sans UI" w:cs="Tahoma"/>
                  <w:szCs w:val="24"/>
                  <w:lang w:bidi="en-US"/>
                </w:rPr>
                <w:t>reikalavimo apdorojimui uždarose patalpose</w:t>
              </w:r>
              <w:r>
                <w:rPr>
                  <w:rFonts w:eastAsia="Andale Sans UI"/>
                  <w:szCs w:val="24"/>
                  <w:lang w:bidi="en-US"/>
                </w:rPr>
                <w:t xml:space="preserve"> įgyvendinimo visų išvardintų procesų atvejais būtinybę ir galimybes</w:t>
              </w:r>
              <w:r>
                <w:rPr>
                  <w:rFonts w:eastAsia="Andale Sans UI"/>
                  <w:szCs w:val="24"/>
                  <w:vertAlign w:val="superscript"/>
                  <w:lang w:bidi="en-US"/>
                </w:rPr>
                <w:footnoteReference w:id="2"/>
              </w:r>
              <w:r>
                <w:rPr>
                  <w:rFonts w:eastAsia="Andale Sans UI"/>
                  <w:szCs w:val="24"/>
                  <w:lang w:bidi="en-US"/>
                </w:rPr>
                <w:t xml:space="preserve"> bei suteikti pakankamą laikotarpį naujiems reikalavimams įgyvendinti, Įsakymo Nr. D1-410 pakeitimo projekte siūloma atidėti </w:t>
              </w:r>
              <w:r>
                <w:rPr>
                  <w:rFonts w:eastAsia="Andale Sans UI" w:cs="Tahoma"/>
                  <w:szCs w:val="24"/>
                  <w:lang w:bidi="en-US"/>
                </w:rPr>
                <w:t>reikalavimo apdorojimui uždarose patalpose</w:t>
              </w:r>
              <w:r>
                <w:rPr>
                  <w:rFonts w:eastAsia="Andale Sans UI"/>
                  <w:szCs w:val="24"/>
                  <w:lang w:bidi="en-US"/>
                </w:rPr>
                <w:t xml:space="preserve"> įgyvendinimo terminą iki 2025 m.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 xml:space="preserve">Įsakymų projektai nenotifikuotini Europos Komisijai </w:t>
              </w:r>
              <w:r>
                <w:rPr>
                  <w:color w:val="000000"/>
                  <w:szCs w:val="24"/>
                  <w:lang w:eastAsia="lt-LT"/>
                </w:rPr>
                <w:t>pagal Lietuvos Respublikos Vyriausybės 1999 m. gegužės 20 d. nutarimo Nr. 617 „Dėl informacijos apie techninius reglamentus ir atitikties įvertinimo procedūras teikimo taisyklių patvirtinimo“ reikalavimus</w:t>
              </w:r>
              <w:r>
                <w:rPr>
                  <w:rFonts w:eastAsia="Andale Sans UI" w:cs="Tahoma"/>
                  <w:bCs/>
                  <w:szCs w:val="24"/>
                  <w:lang w:bidi="en-US"/>
                </w:rPr>
                <w:t>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Įsakymų projektai</w:t>
              </w:r>
              <w:r>
                <w:rPr>
                  <w:szCs w:val="24"/>
                  <w:lang w:eastAsia="lt-LT"/>
                </w:rPr>
                <w:t xml:space="preserve"> paskelbti Seimo Teisės aktų informacinėje sistemoje (TAIS),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 kur su jais gali susipažinti suinteresuotos institucijos ir visuomenė</w:t>
              </w:r>
              <w:r>
                <w:rPr>
                  <w:szCs w:val="24"/>
                  <w:lang w:eastAsia="lt-LT"/>
                </w:rPr>
                <w:t xml:space="preserve">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Prašome </w:t>
              </w:r>
              <w:r>
                <w:rPr>
                  <w:rFonts w:cs="Tahoma"/>
                  <w:szCs w:val="24"/>
                  <w:lang w:eastAsia="lt-LT"/>
                </w:rPr>
                <w:t xml:space="preserve">išnagrinėti </w:t>
              </w:r>
              <w:r>
                <w:rPr>
                  <w:rFonts w:eastAsia="Andale Sans UI" w:cs="Tahoma"/>
                  <w:szCs w:val="24"/>
                  <w:lang w:bidi="en-US"/>
                </w:rPr>
                <w:t>Įsakymų projektus</w:t>
              </w:r>
              <w:r>
                <w:rPr>
                  <w:rFonts w:cs="Tahoma"/>
                  <w:szCs w:val="24"/>
                  <w:lang w:eastAsia="lt-LT"/>
                </w:rPr>
                <w:t xml:space="preserve"> ir 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ne vėliau kaip </w:t>
              </w:r>
              <w:r>
                <w:rPr>
                  <w:rFonts w:eastAsia="Andale Sans UI" w:cs="Tahoma"/>
                  <w:b/>
                  <w:bCs/>
                  <w:szCs w:val="24"/>
                  <w:lang w:bidi="en-US"/>
                </w:rPr>
                <w:t>per 10 darbo dienų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 nuo projektų paskelbimo TAIS </w:t>
              </w:r>
              <w:r>
                <w:rPr>
                  <w:rFonts w:eastAsia="Andale Sans UI" w:cs="Tahoma"/>
                  <w:b/>
                  <w:szCs w:val="24"/>
                  <w:lang w:bidi="en-US"/>
                </w:rPr>
                <w:t>pateikti pastabas ir pasiūlymus dėl Įsakymų projektų nuostatų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. Per nurodytą terminą negavę pastabų ir pasiūlymų, laikysime, kad pastabų ir pasiūlymų </w:t>
              </w:r>
              <w:r>
                <w:rPr>
                  <w:rFonts w:eastAsia="Andale Sans UI"/>
                  <w:szCs w:val="24"/>
                  <w:lang w:bidi="en-US"/>
                </w:rPr>
                <w:t xml:space="preserve">Įsakymų 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projektams neturite.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szCs w:val="24"/>
                  <w:lang w:eastAsia="lt-LT" w:bidi="en-US"/>
                </w:rPr>
                <w:t>Įsakymų projektus</w:t>
              </w:r>
              <w:r>
                <w:rPr>
                  <w:rFonts w:eastAsia="Andale Sans UI" w:cs="Tahoma"/>
                  <w:color w:val="000000"/>
                  <w:szCs w:val="24"/>
                  <w:lang w:bidi="en-US"/>
                </w:rPr>
                <w:t xml:space="preserve"> parengė 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Aplinkos ministerijos Atliekų politikos grupės vyriausioji specialistė Aistė Krinickaitė, tel. </w:t>
              </w:r>
              <w:r>
                <w:rPr>
                  <w:rFonts w:eastAsia="Andale Sans UI" w:cs="Tahoma"/>
                  <w:color w:val="000000"/>
                  <w:szCs w:val="24"/>
                  <w:shd w:val="clear" w:color="auto" w:fill="FFFFFF"/>
                  <w:lang w:bidi="en-US"/>
                </w:rPr>
                <w:t>8 695 49899</w:t>
              </w:r>
              <w:r>
                <w:rPr>
                  <w:rFonts w:eastAsia="Andale Sans UI" w:cs="Tahoma"/>
                  <w:szCs w:val="24"/>
                  <w:lang w:bidi="en-US"/>
                </w:rPr>
                <w:t>, el. p. aiste.krinickaite@am.lt.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PRIDEDAMA: </w:t>
              </w:r>
            </w:p>
            <w:p>
              <w:pPr>
                <w:widowControl w:val="0"/>
                <w:suppressAutoHyphens/>
                <w:ind w:left="924" w:hanging="35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szCs w:val="24"/>
                </w:rPr>
                <w:t>1.</w:t>
                <w:tab/>
              </w:r>
              <w:r>
                <w:rPr>
                  <w:rFonts w:eastAsia="Andale Sans UI" w:cs="Tahoma"/>
                  <w:bCs/>
                  <w:szCs w:val="24"/>
                  <w:lang w:bidi="en-US"/>
                </w:rPr>
                <w:t xml:space="preserve">Įsakymo Nr. 349 projektas, </w:t>
              </w:r>
              <w:r>
                <w:rPr>
                  <w:rFonts w:eastAsia="Andale Sans UI" w:cs="Tahoma"/>
                  <w:bCs/>
                  <w:szCs w:val="24"/>
                  <w:lang w:val="en-US" w:bidi="en-US"/>
                </w:rPr>
                <w:t>1</w:t>
              </w:r>
              <w:r>
                <w:rPr>
                  <w:rFonts w:eastAsia="Andale Sans UI" w:cs="Tahoma"/>
                  <w:bCs/>
                  <w:szCs w:val="24"/>
                  <w:lang w:bidi="en-US"/>
                </w:rPr>
                <w:t xml:space="preserve"> lapas.</w:t>
              </w:r>
            </w:p>
            <w:p>
              <w:pPr>
                <w:widowControl w:val="0"/>
                <w:suppressAutoHyphens/>
                <w:ind w:left="924" w:hanging="35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szCs w:val="24"/>
                </w:rPr>
                <w:t>2.</w:t>
                <w:tab/>
              </w:r>
              <w:r>
                <w:rPr>
                  <w:rFonts w:eastAsia="Andale Sans UI" w:cs="Tahoma"/>
                  <w:szCs w:val="24"/>
                  <w:lang w:eastAsia="lt-LT" w:bidi="en-US"/>
                </w:rPr>
                <w:t>Įsakymo Nr. 349 projekt</w:t>
              </w:r>
              <w:r>
                <w:rPr>
                  <w:rFonts w:eastAsia="Andale Sans UI" w:cs="Tahoma"/>
                  <w:szCs w:val="24"/>
                  <w:lang w:bidi="en-US"/>
                </w:rPr>
                <w:t xml:space="preserve">o lyginamasis variantas, 1 lapas. </w:t>
              </w:r>
            </w:p>
            <w:p>
              <w:pPr>
                <w:widowControl w:val="0"/>
                <w:suppressAutoHyphens/>
                <w:ind w:left="924" w:hanging="357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3.</w:t>
                <w:tab/>
              </w:r>
              <w:r>
                <w:rPr>
                  <w:rFonts w:eastAsia="Andale Sans UI" w:cs="Tahoma"/>
                  <w:szCs w:val="24"/>
                  <w:lang w:eastAsia="lt-LT" w:bidi="en-US"/>
                </w:rPr>
                <w:t>Įsakymo Nr. D1-410 pakeitimo projektas, 1 lapas.</w:t>
              </w:r>
            </w:p>
            <w:p>
              <w:pPr>
                <w:widowControl w:val="0"/>
                <w:suppressAutoHyphens/>
                <w:ind w:left="924" w:hanging="357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4.</w:t>
                <w:tab/>
              </w:r>
              <w:r>
                <w:rPr>
                  <w:rFonts w:eastAsia="Andale Sans UI" w:cs="Tahoma"/>
                  <w:szCs w:val="24"/>
                  <w:lang w:eastAsia="lt-LT" w:bidi="en-US"/>
                </w:rPr>
                <w:t>Įsakymo Nr. D1-410 pakeitimo projekto lyginamasis variantas, 1 lapas.</w:t>
              </w:r>
            </w:p>
            <w:p>
              <w:pPr>
                <w:widowControl w:val="0"/>
                <w:suppressAutoHyphens/>
                <w:ind w:left="924" w:hanging="357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5.</w:t>
                <w:tab/>
                <w:t>Numatomo teisinio reguliavimo poveikio vertinimo pažyma, 1 lapas.</w:t>
              </w:r>
            </w:p>
            <w:p>
              <w:pPr>
                <w:widowControl w:val="0"/>
                <w:suppressAutoHyphens/>
                <w:ind w:left="927" w:hanging="360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6.</w:t>
                <w:tab/>
                <w:t>Įsakymo Nr. 349 projekto ir Direktyvos 86/278/EEB atitikties lentelė, 1 lapas.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tbl>
              <w:tblPr>
                <w:tblW w:w="0" w:type="auto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817"/>
                <w:gridCol w:w="4826"/>
              </w:tblGrid>
              <w:tr>
                <w:trPr>
                  <w:trHeight w:val="340"/>
                </w:trPr>
                <w:tc>
                  <w:tcPr>
                    <w:tcW w:w="4817" w:type="dxa"/>
                    <w:vAlign w:val="bottom"/>
                  </w:tcPr>
                  <w:p>
                    <w:pPr>
                      <w:widowControl w:val="0"/>
                      <w:suppressLineNumbers/>
                      <w:suppressAutoHyphens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Aplinkos viceministrė</w:t>
                    </w:r>
                  </w:p>
                </w:tc>
                <w:tc>
                  <w:tcPr>
                    <w:tcW w:w="4826" w:type="dxa"/>
                    <w:vAlign w:val="bottom"/>
                  </w:tcPr>
                  <w:p>
                    <w:pPr>
                      <w:widowControl w:val="0"/>
                      <w:suppressAutoHyphens/>
                      <w:ind w:right="34"/>
                      <w:jc w:val="right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Raminta Radavičienė</w:t>
                    </w:r>
                  </w:p>
                </w:tc>
              </w:tr>
            </w:tbl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LineNumbers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A. Krinickaitė, </w:t>
              </w:r>
              <w:r>
                <w:rPr>
                  <w:rFonts w:eastAsia="Andale Sans UI"/>
                  <w:color w:val="000000"/>
                  <w:szCs w:val="24"/>
                  <w:shd w:val="clear" w:color="auto" w:fill="FFFFFF"/>
                  <w:lang w:bidi="en-US"/>
                </w:rPr>
                <w:t>8 695 49899, el. p. aiste.krinickaite</w:t>
              </w:r>
              <w:r>
                <w:rPr>
                  <w:rFonts w:eastAsia="Andale Sans UI"/>
                  <w:color w:val="000000"/>
                  <w:szCs w:val="24"/>
                  <w:shd w:val="clear" w:color="auto" w:fill="FFFFFF"/>
                  <w:lang w:val="de-DE" w:bidi="en-US"/>
                </w:rPr>
                <w:t>@am.lt</w:t>
              </w:r>
            </w:p>
            <w:p>
              <w:pPr>
                <w:widowControl w:val="0"/>
                <w:suppressLineNumbers/>
                <w:suppressAutoHyphens/>
                <w:snapToGrid w:val="0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widowControl w:val="0"/>
                <w:suppressLineNumbers/>
                <w:suppressAutoHyphens/>
                <w:snapToGrid w:val="0"/>
                <w:rPr>
                  <w:rFonts w:eastAsia="Andale Sans UI" w:cs="Tahoma"/>
                  <w:b/>
                  <w:szCs w:val="24"/>
                  <w:lang w:bidi="en-US"/>
                </w:rPr>
              </w:pPr>
              <w:r>
                <w:rPr>
                  <w:rFonts w:eastAsia="Andale Sans UI" w:cs="Tahoma"/>
                  <w:b/>
                  <w:szCs w:val="24"/>
                  <w:lang w:bidi="en-US"/>
                </w:rPr>
                <w:t>Adresatų sąrašas:</w:t>
              </w:r>
            </w:p>
            <w:p>
              <w:pPr>
                <w:widowControl w:val="0"/>
                <w:suppressAutoHyphens/>
                <w:ind w:left="426"/>
                <w:jc w:val="both"/>
                <w:rPr>
                  <w:szCs w:val="24"/>
                </w:rPr>
              </w:pP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1. Lietuvos Respublikos sveikatos apsaugos ministerijai;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2. Lietuvos Respublikos teisingumo ministerijai;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3. Lietuvos Respublikos ekonomikos ir inovacijų  ministerijai;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4. Lietuvos Respublikos žemės ūkio ministerijai;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5. Lietuvos Respublikos vidaus reikalų ministerijai;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6. Lietuvos standartizacijos departamentui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7. Aplinkos apsaugos agentūrai;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8. Aplinkos apsaugos departamentui prie Aplinkos ministerijos;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9. </w:t>
              </w:r>
              <w:r>
                <w:rPr>
                  <w:rFonts w:eastAsia="Andale Sans UI" w:cs="Tahoma"/>
                  <w:iCs/>
                  <w:color w:val="000000"/>
                  <w:szCs w:val="24"/>
                  <w:lang w:bidi="en-US"/>
                </w:rPr>
                <w:t>Lietuvos geologijos tarnybai prie Aplinkos ministerijos;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10. Valstybinei augalininkystės tarnybai prie Žemės ūkio ministerijos;</w:t>
              </w:r>
            </w:p>
            <w:p>
              <w:pPr>
                <w:widowControl w:val="0"/>
                <w:suppressAutoHyphens/>
                <w:ind w:left="709" w:hanging="709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11. Nacionaliniam visuomenės sveikatos centrui prie Sveikatos apsaugos ministerijos;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12. </w:t>
              </w:r>
              <w:r>
                <w:rPr>
                  <w:rFonts w:eastAsia="Andale Sans UI" w:cs="Tahoma"/>
                  <w:iCs/>
                  <w:color w:val="000000"/>
                  <w:szCs w:val="24"/>
                  <w:lang w:bidi="en-US"/>
                </w:rPr>
                <w:t>Valstybinei maisto ir veterinarijos tarnybai;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13. Lietuvos vandens tiekėjų asociacijai;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1</w:t>
              </w:r>
              <w:r>
                <w:rPr>
                  <w:rFonts w:eastAsia="Andale Sans UI" w:cs="Tahoma"/>
                  <w:bCs/>
                  <w:szCs w:val="24"/>
                  <w:lang w:val="en-US" w:bidi="en-US"/>
                </w:rPr>
                <w:t>4</w:t>
              </w:r>
              <w:r>
                <w:rPr>
                  <w:rFonts w:eastAsia="Andale Sans UI" w:cs="Tahoma"/>
                  <w:bCs/>
                  <w:szCs w:val="24"/>
                  <w:lang w:bidi="en-US"/>
                </w:rPr>
                <w:t xml:space="preserve">. </w:t>
              </w:r>
              <w:r>
                <w:rPr>
                  <w:rFonts w:eastAsia="Andale Sans UI" w:cs="Tahoma"/>
                  <w:szCs w:val="24"/>
                  <w:lang w:bidi="en-US"/>
                </w:rPr>
                <w:t>Lietuvos savivaldybių asociacijai;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iCs/>
                  <w:color w:val="000000"/>
                  <w:szCs w:val="24"/>
                  <w:lang w:bidi="en-US"/>
                </w:rPr>
                <w:t xml:space="preserve">15. </w:t>
              </w:r>
              <w:r>
                <w:rPr>
                  <w:rFonts w:eastAsia="Andale Sans UI" w:cs="Tahoma"/>
                  <w:szCs w:val="24"/>
                  <w:lang w:bidi="en-US"/>
                </w:rPr>
                <w:t>Lietuvos komunalininkų ir atliekų tvarkytojų asociacijai;</w:t>
              </w:r>
            </w:p>
            <w:p>
              <w:pPr>
                <w:widowControl w:val="0"/>
                <w:tabs>
                  <w:tab w:val="left" w:pos="3375"/>
                  <w:tab w:val="left" w:pos="6060"/>
                </w:tabs>
                <w:suppressAutoHyphens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iCs/>
                  <w:color w:val="000000"/>
                  <w:szCs w:val="24"/>
                  <w:lang w:bidi="en-US"/>
                </w:rPr>
                <w:t xml:space="preserve">16. </w:t>
              </w:r>
              <w:r>
                <w:rPr>
                  <w:rFonts w:eastAsia="Andale Sans UI" w:cs="Tahoma"/>
                  <w:szCs w:val="24"/>
                  <w:lang w:bidi="en-US"/>
                </w:rPr>
                <w:t>Lietuvos pramonininkų konfederacijai;</w:t>
              </w:r>
            </w:p>
            <w:p>
              <w:pPr>
                <w:rPr>
                  <w:rFonts w:eastAsia="Andale Sans UI"/>
                  <w:color w:val="000000"/>
                  <w:szCs w:val="24"/>
                  <w:lang w:eastAsia="lt-LT"/>
                </w:rPr>
              </w:pPr>
              <w: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  <w:t xml:space="preserve">17. </w:t>
              </w:r>
              <w:r>
                <w:rPr>
                  <w:rFonts w:eastAsia="Andale Sans UI"/>
                  <w:szCs w:val="24"/>
                  <w:lang w:eastAsia="lt-LT"/>
                </w:rPr>
                <w:t>Inžinerinės ekologijos asociacijai;</w:t>
              </w:r>
            </w:p>
            <w:p>
              <w:pP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</w:pPr>
              <w: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  <w:t xml:space="preserve">18. </w:t>
              </w:r>
              <w:r>
                <w:rPr>
                  <w:rFonts w:eastAsia="Andale Sans UI"/>
                  <w:bCs/>
                  <w:szCs w:val="24"/>
                  <w:lang w:eastAsia="lt-LT"/>
                </w:rPr>
                <w:t>Lietuvos žaliųjų judėjimui;</w:t>
              </w:r>
            </w:p>
            <w:p>
              <w:pP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</w:pPr>
              <w: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  <w:t>19. Lietuvos prekybos, pramonės ir amatų rūmų asociacijai;</w:t>
              </w:r>
            </w:p>
            <w:p>
              <w:pP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</w:pPr>
              <w:r>
                <w:rPr>
                  <w:rFonts w:eastAsia="Andale Sans UI"/>
                  <w:szCs w:val="24"/>
                  <w:lang w:eastAsia="lt-LT"/>
                </w:rPr>
                <w:t xml:space="preserve">20. </w:t>
              </w:r>
              <w:r>
                <w:rPr>
                  <w:rFonts w:eastAsia="Andale Sans UI"/>
                  <w:iCs/>
                  <w:color w:val="000000"/>
                  <w:szCs w:val="24"/>
                  <w:lang w:eastAsia="lt-LT"/>
                </w:rPr>
                <w:t>Lietuvos verslo konfederacijai;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21. Lietuvos Respublikos žemės ūkio rūmams;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color w:val="000000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22. </w:t>
              </w:r>
              <w:r>
                <w:rPr>
                  <w:rFonts w:eastAsia="Andale Sans UI" w:cs="Tahoma"/>
                  <w:color w:val="000000"/>
                  <w:szCs w:val="24"/>
                  <w:lang w:bidi="en-US"/>
                </w:rPr>
                <w:t>Lietuvos regioninių atliekų tvarkymo centrų asociacijai;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23. </w:t>
              </w:r>
              <w:r>
                <w:rPr>
                  <w:rFonts w:eastAsia="Andale Sans UI" w:cs="Tahoma"/>
                  <w:color w:val="000000"/>
                  <w:szCs w:val="24"/>
                  <w:lang w:bidi="en-US"/>
                </w:rPr>
                <w:t>Lietuvos savivaldybių komunalinių įmonių asociacijai;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24. VšĮ „Žiedinė ekonomika“;</w:t>
              </w:r>
            </w:p>
            <w:p>
              <w:pPr>
                <w:widowControl w:val="0"/>
                <w:suppressAutoHyphens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25. AB „Akmenės cementas“.</w:t>
              </w:r>
            </w:p>
            <w:p>
              <w:pPr>
                <w:widowControl w:val="0"/>
                <w:suppressAutoHyphens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  <w:numRestart w:val="eachPage"/>
      </w:footnotePr>
      <w:endnotePr>
        <w:numFmt w:val="decimal"/>
      </w:endnotePr>
      <w:pgSz w:w="11905" w:h="16837"/>
      <w:pgMar w:top="671" w:right="567" w:bottom="1089" w:left="1701" w:header="567" w:footer="230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Calibri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ascii="Arial" w:eastAsia="Andale Sans UI" w:hAnsi="Arial" w:cs="Tahoma"/>
        <w:sz w:val="10"/>
        <w:szCs w:val="24"/>
        <w:lang w:val="en-US"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val="en-US"/>
      </w:rPr>
      <w:drawing>
        <wp:inline distT="0" distB="0" distL="0" distR="0" wp14:anchorId="394FC9AF" wp14:editId="44F9235A">
          <wp:extent cx="467995" cy="775335"/>
          <wp:effectExtent l="19050" t="0" r="8255" b="0"/>
          <wp:docPr id="2" name="Picture 2" descr="emas_zenklas_gre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mas_zenklas_grey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7995" cy="775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  <w:footnote w:id="1">
    <w:p>
      <w:pPr>
        <w:widowControl w:val="0"/>
        <w:suppressAutoHyphens/>
        <w:rPr>
          <w:rFonts w:eastAsia="Andale Sans UI" w:cs="Tahoma"/>
          <w:sz w:val="20"/>
          <w:lang w:bidi="en-US"/>
        </w:rPr>
      </w:pPr>
      <w:r>
        <w:rPr>
          <w:rFonts w:eastAsia="Andale Sans UI" w:cs="Tahoma"/>
          <w:sz w:val="20"/>
          <w:vertAlign w:val="superscript"/>
          <w:lang w:bidi="en-US"/>
        </w:rPr>
        <w:footnoteRef/>
      </w:r>
      <w:r>
        <w:rPr>
          <w:rFonts w:eastAsia="Andale Sans UI" w:cs="Tahoma"/>
          <w:sz w:val="20"/>
          <w:lang w:bidi="en-US"/>
        </w:rPr>
        <w:t xml:space="preserve"> Aplinkos apsaugos įstatymo 19</w:t>
      </w:r>
      <w:r>
        <w:rPr>
          <w:rFonts w:eastAsia="Andale Sans UI" w:cs="Tahoma"/>
          <w:sz w:val="20"/>
          <w:vertAlign w:val="superscript"/>
          <w:lang w:bidi="en-US"/>
        </w:rPr>
        <w:t>1</w:t>
      </w:r>
      <w:r>
        <w:rPr>
          <w:rFonts w:eastAsia="Andale Sans UI" w:cs="Tahoma"/>
          <w:sz w:val="20"/>
          <w:lang w:bidi="en-US"/>
        </w:rPr>
        <w:t xml:space="preserve"> ir 19</w:t>
      </w:r>
      <w:r>
        <w:rPr>
          <w:rFonts w:eastAsia="Andale Sans UI" w:cs="Tahoma"/>
          <w:sz w:val="20"/>
          <w:vertAlign w:val="superscript"/>
          <w:lang w:bidi="en-US"/>
        </w:rPr>
        <w:t>2</w:t>
      </w:r>
      <w:r>
        <w:rPr>
          <w:rFonts w:eastAsia="Andale Sans UI" w:cs="Tahoma"/>
          <w:sz w:val="20"/>
          <w:lang w:bidi="en-US"/>
        </w:rPr>
        <w:t xml:space="preserve"> straipsniai.</w:t>
      </w:r>
    </w:p>
  </w:footnote>
  <w:footnote w:id="2">
    <w:p>
      <w:pPr>
        <w:widowControl w:val="0"/>
        <w:suppressAutoHyphens/>
        <w:jc w:val="both"/>
        <w:rPr>
          <w:rFonts w:eastAsia="Andale Sans UI" w:cs="Tahoma"/>
          <w:sz w:val="20"/>
          <w:lang w:val="en-US" w:bidi="en-US"/>
        </w:rPr>
      </w:pPr>
      <w:r>
        <w:rPr>
          <w:rFonts w:eastAsia="Andale Sans UI" w:cs="Tahoma"/>
          <w:sz w:val="20"/>
          <w:vertAlign w:val="superscript"/>
          <w:lang w:bidi="en-US"/>
        </w:rPr>
        <w:footnoteRef/>
      </w:r>
      <w:r>
        <w:rPr>
          <w:rFonts w:eastAsia="Andale Sans UI" w:cs="Tahoma"/>
          <w:sz w:val="20"/>
          <w:lang w:bidi="en-US"/>
        </w:rPr>
        <w:t xml:space="preserve"> uždengimui reikalingos nemažos investicijos, kurios vandentvarkos įmonėms šiuo metu būtinos įgyvendinant 1991 m. gegužės 21 d. Tarybos direktyvos 91/271/EEB dėl miesto nuotekų valymo reikalavimus, prijungiant gyventojus prie centralizuotų miesto nuotekų tinklų ir gerinant nuotekų išvalymo kokybę.</w:t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end"/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separate"/>
    </w:r>
    <w:r>
      <w:rPr>
        <w:rFonts w:eastAsia="Andale Sans UI" w:cs="Tahoma"/>
        <w:szCs w:val="24"/>
        <w:lang w:bidi="en-US"/>
      </w:rPr>
      <w:t>3</w:t>
    </w:r>
    <w:r>
      <w:rPr>
        <w:rFonts w:eastAsia="Andale Sans UI" w:cs="Tahoma"/>
        <w:szCs w:val="24"/>
        <w:lang w:bidi="en-US"/>
      </w:rPr>
      <w:fldChar w:fldCharType="end"/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rPr>
        <w:rFonts w:eastAsia="Andale Sans UI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77825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291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67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0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92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78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0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7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jpe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875676ccbc7c4d8aabb4ba2eb1ce891a" PartId="12e22076ad0349a588975148783dbde1"/>
  <Part Type="pastraipa" DocPartId="b8a322d5f1ce43e78c98ce44f6136081" PartId="79053bb6e9aa40f3a6263545d76fcf45"/>
  <Part Type="pastraipa" DocPartId="f268975ae845457db2175b2cb4ec748d" PartId="d5eaa7a9939e4eba9d8f82e000077fc4"/>
  <Part Type="pastraipa" DocPartId="918d4aa34c164ec9a010b146ea385e09" PartId="8452ad6836da41c0ac8a87c1cb100465">
    <Part Type="strPapunktis" Nr="1" Abbr="1 pp." DocPartId="e3ce2b6299d64303821f3aac63b9a0b5" PartId="29b96bd7c02049c9a716132e7fed778b"/>
    <Part Type="strPapunktis" Nr="2" Abbr="2 pp." DocPartId="ac148c6b10204c24aecb4a62eb2e33aa" PartId="60f4a700bc6d4b8c95668704f96e841e"/>
  </Part>
</Parts>
</file>

<file path=customXml/itemProps1.xml><?xml version="1.0" encoding="utf-8"?>
<ds:datastoreItem xmlns:ds="http://schemas.openxmlformats.org/officeDocument/2006/customXml" ds:itemID="{B3EFF309-2081-4D1A-A77C-7F1C1F0B20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6CFC387-0A76-4423-B7A5-9CDFAB1790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706</Words>
  <Characters>5032</Characters>
  <Application>Microsoft Office Word</Application>
  <DocSecurity>4</DocSecurity>
  <Lines>136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5674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2021-05-10T05:46:00Z</dcterms:created>
  <dcterms:modified xsi:type="dcterms:W3CDTF">2021-05-10T05:46:00Z</dcterms:modified>
  <revision>1</revision>
</coreProperties>
</file>