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9d508179da48ea9663616a91c57998"/>
        <w:lock w:val="sdtLocked"/>
        <w:richText/>
      </w:sdtPr>
      <w:sdtContent>
        <w:p>
          <w:pPr>
            <w:widowControl w:val="0"/>
            <w:tabs>
              <w:tab w:val="center" w:pos="4819"/>
              <w:tab w:val="right" w:pos="9638"/>
            </w:tabs>
            <w:suppressAutoHyphens/>
            <w:rPr>
              <w:rFonts w:ascii="Thorndale" w:eastAsia="Andale Sans UI" w:hAnsi="Thorndale" w:cs="Tahoma"/>
              <w:szCs w:val="24"/>
              <w:lang w:bidi="en-US"/>
            </w:rPr>
          </w:pPr>
        </w:p>
        <w:p>
          <w:pPr>
            <w:widowControl w:val="0"/>
            <w:suppressAutoHyphens/>
            <w:jc w:val="center"/>
            <w:rPr>
              <w:rFonts w:ascii="Thorndale" w:eastAsia="Andale Sans UI" w:hAnsi="Thorndale" w:cs="Tahoma"/>
              <w:szCs w:val="24"/>
              <w:lang w:bidi="en-US"/>
            </w:rPr>
          </w:pPr>
          <w:r>
            <w:rPr>
              <w:rFonts w:ascii="Thorndale" w:eastAsia="Andale Sans UI" w:hAnsi="Thorndale" w:cs="Tahoma"/>
              <w:b/>
              <w:szCs w:val="24"/>
              <w:lang w:bidi="en-US"/>
            </w:rPr>
            <w:t>PAŽYMA</w:t>
          </w:r>
        </w:p>
        <w:p>
          <w:pPr>
            <w:widowControl w:val="0"/>
            <w:suppressAutoHyphens/>
            <w:ind w:firstLine="709"/>
            <w:jc w:val="center"/>
            <w:rPr>
              <w:rFonts w:ascii="Thorndale" w:eastAsia="Andale Sans UI" w:hAnsi="Thorndale" w:cs="Tahoma"/>
              <w:b/>
              <w:bCs/>
              <w:caps/>
              <w:szCs w:val="24"/>
              <w:lang w:bidi="en-US"/>
            </w:rPr>
          </w:pPr>
        </w:p>
        <w:p>
          <w:pPr>
            <w:widowControl w:val="0"/>
            <w:suppressAutoHyphens/>
            <w:jc w:val="center"/>
            <w:rPr>
              <w:rFonts w:eastAsia="Andale Sans UI"/>
              <w:b/>
              <w:szCs w:val="24"/>
              <w:lang w:eastAsia="lt-LT" w:bidi="en-US"/>
            </w:rPr>
          </w:pPr>
          <w:r>
            <w:rPr>
              <w:rFonts w:eastAsia="Andale Sans UI"/>
              <w:b/>
              <w:szCs w:val="24"/>
              <w:lang w:eastAsia="lt-LT" w:bidi="en-US"/>
            </w:rPr>
            <w:t xml:space="preserve">DĖL </w:t>
          </w:r>
          <w:r>
            <w:rPr>
              <w:rFonts w:eastAsia="Andale Sans UI"/>
              <w:b/>
              <w:szCs w:val="24"/>
              <w:lang w:bidi="en-US"/>
            </w:rPr>
            <w:t>LIETUVOS RESPUBLIKOS APLINKOS MINISTRO ĮSAKYMO „</w:t>
          </w:r>
          <w:r>
            <w:rPr>
              <w:rFonts w:ascii="Thorndale" w:eastAsia="Andale Sans UI" w:hAnsi="Thorndale" w:cs="Tahoma"/>
              <w:b/>
              <w:szCs w:val="24"/>
              <w:lang w:eastAsia="ar-SA" w:bidi="en-US"/>
            </w:rPr>
            <w:t xml:space="preserve">DĖL </w:t>
          </w:r>
          <w:r>
            <w:rPr>
              <w:rFonts w:ascii="Thorndale" w:eastAsia="Andale Sans UI" w:hAnsi="Thorndale" w:cs="Tahoma"/>
              <w:b/>
              <w:color w:val="000000"/>
              <w:szCs w:val="24"/>
              <w:lang w:bidi="en-US"/>
            </w:rPr>
            <w:t xml:space="preserve">APLINKOSAUGINIŲ REIKALAVIMŲ PLANUOJANT, STATANT IR EKSPLOATUOJANT SAULĖS ŠVIESOS ENERGIJOS ELEKTRINES </w:t>
          </w:r>
          <w:r>
            <w:rPr>
              <w:rFonts w:ascii="Thorndale" w:eastAsia="Andale Sans UI" w:hAnsi="Thorndale" w:cs="Tahoma"/>
              <w:b/>
              <w:bCs/>
              <w:szCs w:val="24"/>
              <w:lang w:eastAsia="ar-SA" w:bidi="en-US"/>
            </w:rPr>
            <w:t>PATVIRTINIMO</w:t>
          </w:r>
          <w:r>
            <w:rPr>
              <w:rFonts w:eastAsia="Andale Sans UI"/>
              <w:b/>
              <w:szCs w:val="24"/>
              <w:lang w:eastAsia="lt-LT" w:bidi="en-US"/>
            </w:rPr>
            <w:t xml:space="preserve">“ </w:t>
          </w:r>
        </w:p>
        <w:p>
          <w:pPr>
            <w:widowControl w:val="0"/>
            <w:suppressAutoHyphens/>
            <w:ind w:firstLine="709"/>
            <w:jc w:val="center"/>
            <w:rPr>
              <w:rFonts w:eastAsia="Andale Sans UI"/>
              <w:b/>
              <w:szCs w:val="24"/>
              <w:lang w:eastAsia="lt-LT" w:bidi="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4"/>
            <w:gridCol w:w="7643"/>
            <w:gridCol w:w="12"/>
          </w:tblGrid>
          <w:tr>
            <w:trPr>
              <w:gridAfter w:val="1"/>
              <w:wAfter w:w="12" w:type="dxa"/>
              <w:trHeight w:val="772"/>
            </w:trPr>
            <w:tc>
              <w:tcPr>
                <w:tcW w:w="1142" w:type="pct"/>
                <w:tcBorders>
                  <w:bottom w:val="single" w:sz="4" w:space="0" w:color="auto"/>
                </w:tcBorders>
              </w:tcPr>
              <w:p>
                <w:pPr>
                  <w:widowControl w:val="0"/>
                  <w:suppressAutoHyphens/>
                  <w:rPr>
                    <w:rFonts w:ascii="Thorndale" w:eastAsia="Andale Sans UI" w:hAnsi="Thorndale" w:cs="Tahoma"/>
                    <w:b/>
                    <w:szCs w:val="24"/>
                    <w:lang w:bidi="en-US"/>
                  </w:rPr>
                </w:pPr>
                <w:r>
                  <w:rPr>
                    <w:rFonts w:ascii="Thorndale" w:eastAsia="Andale Sans UI" w:hAnsi="Thorndale" w:cs="Tahoma"/>
                    <w:b/>
                    <w:szCs w:val="24"/>
                    <w:lang w:bidi="en-US"/>
                  </w:rPr>
                  <w:t xml:space="preserve">Įsakymo projekto rengimo priežastys ir esminės nuostatos </w:t>
                </w:r>
              </w:p>
              <w:p>
                <w:pPr>
                  <w:widowControl w:val="0"/>
                  <w:suppressAutoHyphens/>
                  <w:jc w:val="center"/>
                  <w:rPr>
                    <w:rFonts w:ascii="Thorndale" w:eastAsia="Andale Sans UI" w:hAnsi="Thorndale" w:cs="Tahoma"/>
                    <w:szCs w:val="24"/>
                    <w:lang w:bidi="en-US"/>
                  </w:rPr>
                </w:pPr>
              </w:p>
            </w:tc>
            <w:tc>
              <w:tcPr>
                <w:tcW w:w="3858" w:type="pct"/>
                <w:gridSpan w:val="2"/>
                <w:tcBorders>
                  <w:bottom w:val="single" w:sz="4" w:space="0" w:color="auto"/>
                </w:tcBorders>
              </w:tcPr>
              <w:p>
                <w:pPr>
                  <w:widowControl w:val="0"/>
                  <w:suppressAutoHyphens/>
                  <w:jc w:val="both"/>
                  <w:rPr>
                    <w:rFonts w:ascii="Thorndale" w:eastAsia="Andale Sans UI" w:hAnsi="Thorndale" w:cs="Tahoma"/>
                    <w:szCs w:val="24"/>
                    <w:lang w:bidi="en-US"/>
                  </w:rPr>
                </w:pPr>
                <w:r>
                  <w:rPr>
                    <w:rFonts w:ascii="Thorndale" w:eastAsia="Andale Sans UI" w:hAnsi="Thorndale" w:cs="Tahoma"/>
                    <w:szCs w:val="24"/>
                    <w:lang w:bidi="en-US"/>
                  </w:rPr>
                  <w:t>2022 m. liepos 8 d. įsigaliojo Lietuvos Respublikos planuojamos ūkinės veiklos poveikio aplinkai vertinimo įstatymo Nr. I-1495 2, 3, 10, 11 straipsnio, 1 ir 2 priedų pakeitimo įstatymas (toliau – PAV įstatymo pakeitimo įstatymas). Lietuvos Respublikos Vyriausybei ir (ar) jos įgaliotoms institucijoms pavesta iki 2022 m. liepos 7 d. priimti PAV įstatymo pakeitimo įstatymo įgyvendinamuosius teisės aktus.</w:t>
                </w:r>
              </w:p>
              <w:p>
                <w:pPr>
                  <w:widowControl w:val="0"/>
                  <w:suppressAutoHyphens/>
                  <w:spacing w:line="276" w:lineRule="auto"/>
                  <w:jc w:val="both"/>
                  <w:rPr>
                    <w:rFonts w:ascii="Thorndale" w:eastAsia="Andale Sans UI" w:hAnsi="Thorndale" w:cs="Tahoma"/>
                    <w:color w:val="000000"/>
                    <w:szCs w:val="24"/>
                    <w:lang w:bidi="en-US"/>
                  </w:rPr>
                </w:pPr>
                <w:r>
                  <w:rPr>
                    <w:rFonts w:ascii="Thorndale" w:eastAsia="Andale Sans UI" w:hAnsi="Thorndale" w:cs="Tahoma"/>
                    <w:szCs w:val="24"/>
                    <w:lang w:bidi="en-US"/>
                  </w:rPr>
                  <w:t xml:space="preserve">Lietuvos Respublikos aplinkos ministro įsakymo „Dėl </w:t>
                </w:r>
                <w:r>
                  <w:rPr>
                    <w:rFonts w:ascii="Thorndale" w:eastAsia="Andale Sans UI" w:hAnsi="Thorndale" w:cs="Tahoma"/>
                    <w:szCs w:val="24"/>
                    <w:lang w:eastAsia="ar-SA" w:bidi="en-US"/>
                  </w:rPr>
                  <w:t>Aplinkosauginių reikalavimų planuojant, statant ir eksploatuojant saulės šviesos energijos elektrines</w:t>
                </w:r>
                <w:r>
                  <w:rPr>
                    <w:rFonts w:ascii="Thorndale" w:eastAsia="Andale Sans UI" w:hAnsi="Thorndale" w:cs="Tahoma"/>
                    <w:szCs w:val="24"/>
                    <w:lang w:bidi="en-US"/>
                  </w:rPr>
                  <w:t xml:space="preserve"> patvirtinimo“ (toliau – Aplinkosauginiai reikalavimai) projektu siūloma nustatyti, kad Aplinkosauginiai reikalavimai taikomi tik </w:t>
                </w:r>
                <w:r>
                  <w:rPr>
                    <w:rFonts w:ascii="Thorndale" w:eastAsia="Andale Sans UI" w:hAnsi="Thorndale" w:cs="Tahoma"/>
                    <w:szCs w:val="24"/>
                    <w:lang w:eastAsia="ar-SA" w:bidi="en-US"/>
                  </w:rPr>
                  <w:t>s</w:t>
                </w:r>
                <w:r>
                  <w:rPr>
                    <w:rFonts w:ascii="Thorndale" w:eastAsia="Andale Sans UI" w:hAnsi="Thorndale" w:cs="Tahoma"/>
                    <w:color w:val="000000"/>
                    <w:szCs w:val="24"/>
                    <w:lang w:bidi="en-US"/>
                  </w:rPr>
                  <w:t xml:space="preserve">aulės šviesos energijos elektrinėms kurių įrengtoji galia viršija 100 kW, ir netaikomi įrengus ar įrengiant </w:t>
                </w:r>
                <w:r>
                  <w:rPr>
                    <w:rFonts w:ascii="Thorndale" w:eastAsia="Andale Sans UI" w:hAnsi="Thorndale" w:cs="Tahoma"/>
                    <w:szCs w:val="24"/>
                    <w:lang w:eastAsia="ar-SA" w:bidi="en-US"/>
                  </w:rPr>
                  <w:t>s</w:t>
                </w:r>
                <w:r>
                  <w:rPr>
                    <w:rFonts w:ascii="Thorndale" w:eastAsia="Andale Sans UI" w:hAnsi="Thorndale" w:cs="Tahoma"/>
                    <w:color w:val="000000"/>
                    <w:szCs w:val="24"/>
                    <w:lang w:bidi="en-US"/>
                  </w:rPr>
                  <w:t>aulės šviesos energijos elektrines ant gyvenamosios ir negyvenamosios paskirties pastatų ar statinių stogų.</w:t>
                </w:r>
              </w:p>
              <w:p>
                <w:pPr>
                  <w:widowControl w:val="0"/>
                  <w:suppressAutoHyphens/>
                  <w:spacing w:line="276" w:lineRule="auto"/>
                  <w:jc w:val="both"/>
                  <w:rPr>
                    <w:rFonts w:ascii="Thorndale" w:eastAsia="Andale Sans UI" w:hAnsi="Thorndale" w:cs="Tahoma"/>
                    <w:color w:val="000000"/>
                    <w:szCs w:val="24"/>
                    <w:lang w:bidi="en-US"/>
                  </w:rPr>
                </w:pPr>
                <w:r>
                  <w:rPr>
                    <w:rFonts w:ascii="Thorndale" w:eastAsia="Andale Sans UI" w:hAnsi="Thorndale" w:cs="Tahoma"/>
                    <w:color w:val="000000"/>
                    <w:szCs w:val="24"/>
                    <w:lang w:bidi="en-US"/>
                  </w:rPr>
                  <w:t>Aplinkosauginiais reikalavimais nustatomi:</w:t>
                </w:r>
              </w:p>
              <w:p>
                <w:pPr>
                  <w:widowControl w:val="0"/>
                  <w:suppressAutoHyphens/>
                  <w:spacing w:line="276" w:lineRule="auto"/>
                  <w:jc w:val="both"/>
                  <w:rPr>
                    <w:rFonts w:ascii="Thorndale" w:eastAsia="Andale Sans UI" w:hAnsi="Thorndale" w:cs="Tahoma"/>
                    <w:color w:val="000000"/>
                    <w:szCs w:val="24"/>
                    <w:lang w:bidi="en-US"/>
                  </w:rPr>
                </w:pPr>
                <w:r>
                  <w:rPr>
                    <w:rFonts w:ascii="Thorndale" w:eastAsia="Andale Sans UI" w:hAnsi="Thorndale" w:cs="Tahoma"/>
                    <w:color w:val="000000"/>
                    <w:szCs w:val="24"/>
                    <w:lang w:bidi="en-US"/>
                  </w:rPr>
                  <w:t>- saulės šviesos elektrinių planavimo, t. y. įrengimo ir (ar) statybos vietos pasirinkimo, prioritetai;</w:t>
                </w:r>
              </w:p>
              <w:p>
                <w:pPr>
                  <w:widowControl w:val="0"/>
                  <w:suppressAutoHyphens/>
                  <w:spacing w:line="276" w:lineRule="auto"/>
                  <w:jc w:val="both"/>
                  <w:rPr>
                    <w:rFonts w:ascii="Thorndale" w:eastAsia="Andale Sans UI" w:hAnsi="Thorndale" w:cs="Tahoma"/>
                    <w:color w:val="000000"/>
                    <w:szCs w:val="24"/>
                    <w:lang w:bidi="en-US"/>
                  </w:rPr>
                </w:pPr>
                <w:r>
                  <w:rPr>
                    <w:rFonts w:ascii="Thorndale" w:eastAsia="Andale Sans UI" w:hAnsi="Thorndale" w:cs="Tahoma"/>
                    <w:color w:val="000000"/>
                    <w:szCs w:val="24"/>
                    <w:lang w:bidi="en-US"/>
                  </w:rPr>
                  <w:t>- energijos gamybos ir kitų veiklų derinimo principai;</w:t>
                </w:r>
              </w:p>
              <w:p>
                <w:pPr>
                  <w:widowControl w:val="0"/>
                  <w:suppressAutoHyphens/>
                  <w:spacing w:line="276" w:lineRule="auto"/>
                  <w:jc w:val="both"/>
                  <w:rPr>
                    <w:rFonts w:ascii="Thorndale" w:eastAsia="Andale Sans UI" w:hAnsi="Thorndale" w:cs="Tahoma"/>
                    <w:color w:val="000000"/>
                    <w:szCs w:val="24"/>
                    <w:lang w:bidi="en-US"/>
                  </w:rPr>
                </w:pPr>
                <w:r>
                  <w:rPr>
                    <w:rFonts w:ascii="Thorndale" w:eastAsia="Andale Sans UI" w:hAnsi="Thorndale" w:cs="Tahoma"/>
                    <w:color w:val="000000"/>
                    <w:szCs w:val="24"/>
                    <w:lang w:bidi="en-US"/>
                  </w:rPr>
                  <w:t>- galimo neigiamo poveikio kraštovaizdžiui, biologinei įvairovei, žemės naudojimui, vandeniui ir orui mažinimo reikalavimai;</w:t>
                </w:r>
              </w:p>
              <w:p>
                <w:pPr>
                  <w:widowControl w:val="0"/>
                  <w:suppressAutoHyphens/>
                  <w:spacing w:line="276" w:lineRule="auto"/>
                  <w:jc w:val="both"/>
                  <w:rPr>
                    <w:rFonts w:ascii="Thorndale" w:eastAsia="Andale Sans UI" w:hAnsi="Thorndale" w:cs="Tahoma"/>
                    <w:color w:val="000000"/>
                    <w:szCs w:val="24"/>
                    <w:lang w:bidi="en-US"/>
                  </w:rPr>
                </w:pPr>
                <w:r>
                  <w:rPr>
                    <w:rFonts w:ascii="Thorndale" w:eastAsia="Andale Sans UI" w:hAnsi="Thorndale" w:cs="Tahoma"/>
                    <w:color w:val="000000"/>
                    <w:szCs w:val="24"/>
                    <w:lang w:bidi="en-US"/>
                  </w:rPr>
                  <w:t>- darbų atlikimo statant elektrines reikalavimai, leisiantys sumažinti intervenciją į aplinką.</w:t>
                </w:r>
              </w:p>
              <w:p>
                <w:pPr>
                  <w:widowControl w:val="0"/>
                  <w:suppressAutoHyphens/>
                  <w:ind w:firstLine="709"/>
                  <w:jc w:val="both"/>
                  <w:rPr>
                    <w:rFonts w:ascii="Thorndale" w:eastAsia="Andale Sans UI" w:hAnsi="Thorndale" w:cs="Tahoma"/>
                    <w:szCs w:val="24"/>
                    <w:lang w:bidi="en-US"/>
                  </w:rPr>
                </w:pPr>
              </w:p>
            </w:tc>
          </w:tr>
          <w:tr>
            <w:tblPrEx>
              <w:tblLook w:val="00A0" w:firstRow="1" w:lastRow="0" w:firstColumn="1" w:lastColumn="0" w:noHBand="0" w:noVBand="0"/>
            </w:tblPrEx>
            <w:tc>
              <w:tcPr>
                <w:tcW w:w="2268" w:type="dxa"/>
                <w:gridSpan w:val="2"/>
                <w:shd w:val="clear" w:color="auto" w:fill="DBE5F1"/>
                <w:hideMark/>
              </w:tcPr>
              <w:p>
                <w:pPr>
                  <w:widowControl w:val="0"/>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teisinei sistemai</w:t>
                </w:r>
              </w:p>
              <w:p>
                <w:pPr>
                  <w:widowControl w:val="0"/>
                  <w:suppressAutoHyphens/>
                  <w:rPr>
                    <w:rFonts w:ascii="Thorndale" w:eastAsia="Andale Sans UI" w:hAnsi="Thorndale" w:cs="Tahoma"/>
                    <w:b/>
                    <w:szCs w:val="24"/>
                    <w:lang w:eastAsia="lt-LT" w:bidi="en-US"/>
                  </w:rPr>
                </w:pPr>
              </w:p>
            </w:tc>
            <w:tc>
              <w:tcPr>
                <w:tcW w:w="7655" w:type="dxa"/>
                <w:gridSpan w:val="2"/>
                <w:hideMark/>
              </w:tcPr>
              <w:p>
                <w:pPr>
                  <w:widowControl w:val="0"/>
                  <w:suppressAutoHyphens/>
                  <w:jc w:val="both"/>
                  <w:rPr>
                    <w:rFonts w:ascii="Thorndale" w:eastAsia="Andale Sans UI" w:hAnsi="Thorndale" w:cs="Tahoma"/>
                    <w:szCs w:val="24"/>
                    <w:lang w:bidi="en-US"/>
                  </w:rPr>
                </w:pPr>
                <w:r>
                  <w:rPr>
                    <w:rFonts w:ascii="Thorndale" w:eastAsia="Andale Sans UI" w:hAnsi="Thorndale" w:cs="Tahoma"/>
                    <w:szCs w:val="24"/>
                    <w:lang w:bidi="en-US"/>
                  </w:rPr>
                  <w:t>Poveikis teigiamas: parengtas teisės aktas įgyvendina Lietuvos Respublikos planuojamos ūkinės veiklos poveikio aplinkai vertinimo įstatymo nuostatą, todėl bus užtikrinamas teisės aktų nuoseklumas.</w:t>
                </w:r>
              </w:p>
              <w:p>
                <w:pPr>
                  <w:widowControl w:val="0"/>
                  <w:suppressAutoHyphens/>
                  <w:jc w:val="both"/>
                  <w:rPr>
                    <w:rFonts w:ascii="Thorndale" w:eastAsia="Andale Sans UI" w:hAnsi="Thorndale" w:cs="Tahoma"/>
                    <w:szCs w:val="24"/>
                    <w:lang w:eastAsia="lt-LT" w:bidi="en-US"/>
                  </w:rPr>
                </w:pPr>
              </w:p>
            </w:tc>
          </w:tr>
          <w:tr>
            <w:tblPrEx>
              <w:tblLook w:val="00A0" w:firstRow="1" w:lastRow="0" w:firstColumn="1" w:lastColumn="0" w:noHBand="0" w:noVBand="0"/>
            </w:tblPrEx>
            <w:tc>
              <w:tcPr>
                <w:tcW w:w="2268" w:type="dxa"/>
                <w:gridSpan w:val="2"/>
                <w:shd w:val="clear" w:color="auto" w:fill="DBE5F1"/>
              </w:tcPr>
              <w:p>
                <w:pPr>
                  <w:widowControl w:val="0"/>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ekonomikai</w:t>
                </w:r>
              </w:p>
              <w:p>
                <w:pPr>
                  <w:widowControl w:val="0"/>
                  <w:suppressAutoHyphens/>
                  <w:rPr>
                    <w:rFonts w:ascii="Thorndale" w:eastAsia="Andale Sans UI" w:hAnsi="Thorndale" w:cs="Tahoma"/>
                    <w:b/>
                    <w:szCs w:val="24"/>
                    <w:lang w:eastAsia="lt-LT" w:bidi="en-US"/>
                  </w:rPr>
                </w:pPr>
              </w:p>
            </w:tc>
            <w:tc>
              <w:tcPr>
                <w:tcW w:w="7655" w:type="dxa"/>
                <w:gridSpan w:val="2"/>
              </w:tcPr>
              <w:p>
                <w:pPr>
                  <w:widowControl w:val="0"/>
                  <w:suppressAutoHyphens/>
                  <w:jc w:val="both"/>
                  <w:rPr>
                    <w:rFonts w:ascii="Thorndale" w:eastAsia="Calibri" w:hAnsi="Thorndale" w:cs="Tahoma"/>
                    <w:szCs w:val="24"/>
                    <w:lang w:bidi="en-US"/>
                  </w:rPr>
                </w:pPr>
                <w:r>
                  <w:rPr>
                    <w:rFonts w:ascii="Thorndale" w:eastAsia="Calibri" w:hAnsi="Thorndale" w:cs="Tahoma"/>
                    <w:szCs w:val="24"/>
                    <w:lang w:bidi="en-US"/>
                  </w:rPr>
                  <w:t xml:space="preserve">Poveikio </w:t>
                </w:r>
                <w:r>
                  <w:rPr>
                    <w:rFonts w:ascii="Thorndale" w:eastAsia="Andale Sans UI" w:hAnsi="Thorndale" w:cs="Tahoma"/>
                    <w:szCs w:val="24"/>
                    <w:lang w:eastAsia="lt-LT" w:bidi="en-US"/>
                  </w:rPr>
                  <w:t>ekonomikai</w:t>
                </w:r>
                <w:r>
                  <w:rPr>
                    <w:rFonts w:ascii="Thorndale" w:eastAsia="Calibri" w:hAnsi="Thorndale" w:cs="Tahoma"/>
                    <w:szCs w:val="24"/>
                    <w:lang w:bidi="en-US"/>
                  </w:rPr>
                  <w:t xml:space="preserve"> nebus. </w:t>
                </w:r>
              </w:p>
              <w:p>
                <w:pPr>
                  <w:widowControl w:val="0"/>
                  <w:suppressAutoHyphens/>
                  <w:jc w:val="both"/>
                  <w:rPr>
                    <w:rFonts w:ascii="Thorndale" w:eastAsia="Andale Sans UI" w:hAnsi="Thorndale" w:cs="Tahoma"/>
                    <w:szCs w:val="24"/>
                    <w:lang w:bidi="en-US"/>
                  </w:rPr>
                </w:pPr>
              </w:p>
            </w:tc>
          </w:tr>
          <w:tr>
            <w:tblPrEx>
              <w:tblLook w:val="00A0" w:firstRow="1" w:lastRow="0" w:firstColumn="1" w:lastColumn="0" w:noHBand="0" w:noVBand="0"/>
            </w:tblPrEx>
            <w:tc>
              <w:tcPr>
                <w:tcW w:w="2268" w:type="dxa"/>
                <w:gridSpan w:val="2"/>
                <w:shd w:val="clear" w:color="auto" w:fill="DBE5F1"/>
                <w:hideMark/>
              </w:tcPr>
              <w:p>
                <w:pPr>
                  <w:widowControl w:val="0"/>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valstybės finansams</w:t>
                </w:r>
              </w:p>
              <w:p>
                <w:pPr>
                  <w:widowControl w:val="0"/>
                  <w:suppressAutoHyphens/>
                  <w:rPr>
                    <w:rFonts w:ascii="Thorndale" w:eastAsia="Andale Sans UI" w:hAnsi="Thorndale" w:cs="Tahoma"/>
                    <w:b/>
                    <w:szCs w:val="24"/>
                    <w:lang w:eastAsia="lt-LT" w:bidi="en-US"/>
                  </w:rPr>
                </w:pPr>
              </w:p>
            </w:tc>
            <w:tc>
              <w:tcPr>
                <w:tcW w:w="7655" w:type="dxa"/>
                <w:gridSpan w:val="2"/>
              </w:tcPr>
              <w:p>
                <w:pPr>
                  <w:widowControl w:val="0"/>
                  <w:suppressAutoHyphens/>
                  <w:jc w:val="both"/>
                  <w:rPr>
                    <w:rFonts w:ascii="Thorndale" w:eastAsia="Andale Sans UI" w:hAnsi="Thorndale" w:cs="Tahoma"/>
                    <w:szCs w:val="24"/>
                    <w:lang w:eastAsia="lt-LT" w:bidi="en-US"/>
                  </w:rPr>
                </w:pPr>
                <w:r>
                  <w:rPr>
                    <w:rFonts w:ascii="Thorndale" w:eastAsia="Calibri" w:hAnsi="Thorndale" w:cs="Tahoma"/>
                    <w:szCs w:val="24"/>
                    <w:lang w:bidi="en-US"/>
                  </w:rPr>
                  <w:t>Poveikio valstybės finansams nebus.</w:t>
                </w:r>
              </w:p>
            </w:tc>
          </w:tr>
          <w:tr>
            <w:tblPrEx>
              <w:tblLook w:val="00A0" w:firstRow="1" w:lastRow="0" w:firstColumn="1" w:lastColumn="0" w:noHBand="0" w:noVBand="0"/>
            </w:tblPrEx>
            <w:tc>
              <w:tcPr>
                <w:tcW w:w="2268" w:type="dxa"/>
                <w:gridSpan w:val="2"/>
                <w:shd w:val="clear" w:color="auto" w:fill="DBE5F1"/>
                <w:hideMark/>
              </w:tcPr>
              <w:p>
                <w:pPr>
                  <w:widowControl w:val="0"/>
                  <w:suppressAutoHyphens/>
                  <w:rPr>
                    <w:rFonts w:ascii="Thorndale" w:eastAsia="Andale Sans UI" w:hAnsi="Thorndale" w:cs="Tahoma"/>
                    <w:b/>
                    <w:szCs w:val="24"/>
                    <w:lang w:eastAsia="lt-LT" w:bidi="en-US"/>
                  </w:rPr>
                </w:pPr>
                <w:r>
                  <w:rPr>
                    <w:rFonts w:ascii="Thorndale" w:eastAsia="Calibri" w:hAnsi="Thorndale" w:cs="Tahoma"/>
                    <w:b/>
                    <w:szCs w:val="24"/>
                    <w:lang w:bidi="en-US"/>
                  </w:rPr>
                  <w:t>Poveikis verslo sąlygoms</w:t>
                </w:r>
              </w:p>
            </w:tc>
            <w:tc>
              <w:tcPr>
                <w:tcW w:w="7655" w:type="dxa"/>
                <w:gridSpan w:val="2"/>
              </w:tcPr>
              <w:p>
                <w:pPr>
                  <w:widowControl w:val="0"/>
                  <w:suppressAutoHyphens/>
                  <w:jc w:val="both"/>
                  <w:rPr>
                    <w:rFonts w:ascii="Thorndale" w:eastAsia="Andale Sans UI" w:hAnsi="Thorndale" w:cs="Tahoma"/>
                    <w:szCs w:val="24"/>
                    <w:lang w:eastAsia="lt-LT" w:bidi="en-US"/>
                  </w:rPr>
                </w:pPr>
                <w:r>
                  <w:rPr>
                    <w:rFonts w:ascii="Thorndale" w:eastAsia="Andale Sans UI" w:hAnsi="Thorndale" w:cs="Tahoma"/>
                    <w:szCs w:val="24"/>
                    <w:lang w:eastAsia="lt-LT" w:bidi="en-US"/>
                  </w:rPr>
                  <w:t xml:space="preserve">Poveikis teigiamas </w:t>
                </w:r>
                <w:r>
                  <w:rPr>
                    <w:rFonts w:ascii="Thorndale" w:eastAsia="Andale Sans UI" w:hAnsi="Thorndale" w:cs="Tahoma"/>
                    <w:color w:val="000000"/>
                    <w:szCs w:val="24"/>
                    <w:lang w:bidi="en-US"/>
                  </w:rPr>
                  <w:t xml:space="preserve">saulės šviesos elektrinių </w:t>
                </w:r>
                <w:r>
                  <w:rPr>
                    <w:rFonts w:ascii="Thorndale" w:eastAsia="Andale Sans UI" w:hAnsi="Thorndale" w:cs="Tahoma"/>
                    <w:szCs w:val="24"/>
                    <w:lang w:eastAsia="lt-LT" w:bidi="en-US"/>
                  </w:rPr>
                  <w:t>projektams – nebelikus prievolės atlikti planuojamos ūkinės veiklos poveikio aplinkai vertinimo atrankos, sutrumpės laiko tarpas per kurį bus įgyvendinami projektai.</w:t>
                </w:r>
              </w:p>
              <w:p>
                <w:pPr>
                  <w:widowControl w:val="0"/>
                  <w:suppressAutoHyphens/>
                  <w:jc w:val="both"/>
                  <w:rPr>
                    <w:rFonts w:ascii="Thorndale" w:eastAsia="Andale Sans UI" w:hAnsi="Thorndale" w:cs="Tahoma"/>
                    <w:szCs w:val="24"/>
                    <w:lang w:eastAsia="lt-LT" w:bidi="en-US"/>
                  </w:rPr>
                </w:pPr>
              </w:p>
            </w:tc>
          </w:tr>
          <w:tr>
            <w:tblPrEx>
              <w:tblLook w:val="00A0" w:firstRow="1" w:lastRow="0" w:firstColumn="1" w:lastColumn="0" w:noHBand="0" w:noVBand="0"/>
            </w:tblPrEx>
            <w:tc>
              <w:tcPr>
                <w:tcW w:w="2268" w:type="dxa"/>
                <w:gridSpan w:val="2"/>
                <w:shd w:val="clear" w:color="auto" w:fill="DBE5F1"/>
                <w:hideMark/>
              </w:tcPr>
              <w:p>
                <w:pPr>
                  <w:widowControl w:val="0"/>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socialinei aplinkai</w:t>
                </w:r>
              </w:p>
              <w:p>
                <w:pPr>
                  <w:widowControl w:val="0"/>
                  <w:suppressAutoHyphens/>
                  <w:rPr>
                    <w:rFonts w:ascii="Thorndale" w:eastAsia="Andale Sans UI" w:hAnsi="Thorndale" w:cs="Tahoma"/>
                    <w:b/>
                    <w:szCs w:val="24"/>
                    <w:lang w:eastAsia="lt-LT" w:bidi="en-US"/>
                  </w:rPr>
                </w:pPr>
              </w:p>
            </w:tc>
            <w:tc>
              <w:tcPr>
                <w:tcW w:w="7655" w:type="dxa"/>
                <w:gridSpan w:val="2"/>
              </w:tcPr>
              <w:p>
                <w:pPr>
                  <w:widowControl w:val="0"/>
                  <w:suppressAutoHyphens/>
                  <w:jc w:val="both"/>
                  <w:rPr>
                    <w:rFonts w:ascii="Thorndale" w:eastAsia="Calibri" w:hAnsi="Thorndale" w:cs="Tahoma"/>
                    <w:szCs w:val="24"/>
                    <w:lang w:bidi="en-US"/>
                  </w:rPr>
                </w:pPr>
                <w:r>
                  <w:rPr>
                    <w:rFonts w:ascii="Thorndale" w:eastAsia="Calibri" w:hAnsi="Thorndale" w:cs="Tahoma"/>
                    <w:szCs w:val="24"/>
                    <w:lang w:bidi="en-US"/>
                  </w:rPr>
                  <w:t>Poveikio socialinei aplinkai nebus.</w:t>
                </w:r>
              </w:p>
              <w:p>
                <w:pPr>
                  <w:widowControl w:val="0"/>
                  <w:suppressAutoHyphens/>
                  <w:textAlignment w:val="center"/>
                  <w:rPr>
                    <w:rFonts w:ascii="Thorndale" w:eastAsia="Calibri" w:hAnsi="Thorndale" w:cs="Tahoma"/>
                    <w:szCs w:val="24"/>
                    <w:lang w:bidi="en-US"/>
                  </w:rPr>
                </w:pPr>
              </w:p>
            </w:tc>
          </w:tr>
          <w:tr>
            <w:tblPrEx>
              <w:tblLook w:val="00A0" w:firstRow="1" w:lastRow="0" w:firstColumn="1" w:lastColumn="0" w:noHBand="0" w:noVBand="0"/>
            </w:tblPrEx>
            <w:tc>
              <w:tcPr>
                <w:tcW w:w="2268" w:type="dxa"/>
                <w:gridSpan w:val="2"/>
                <w:shd w:val="clear" w:color="auto" w:fill="DBE5F1"/>
              </w:tcPr>
              <w:p>
                <w:pPr>
                  <w:widowControl w:val="0"/>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administracinei naštai</w:t>
                </w:r>
              </w:p>
              <w:p>
                <w:pPr>
                  <w:widowControl w:val="0"/>
                  <w:suppressAutoHyphens/>
                  <w:rPr>
                    <w:rFonts w:ascii="Thorndale" w:eastAsia="Andale Sans UI" w:hAnsi="Thorndale" w:cs="Tahoma"/>
                    <w:b/>
                    <w:szCs w:val="24"/>
                    <w:lang w:eastAsia="lt-LT" w:bidi="en-US"/>
                  </w:rPr>
                </w:pPr>
              </w:p>
            </w:tc>
            <w:tc>
              <w:tcPr>
                <w:tcW w:w="7655" w:type="dxa"/>
                <w:gridSpan w:val="2"/>
              </w:tcPr>
              <w:p>
                <w:pPr>
                  <w:widowControl w:val="0"/>
                  <w:suppressAutoHyphens/>
                  <w:spacing w:line="276" w:lineRule="auto"/>
                  <w:rPr>
                    <w:rFonts w:ascii="Thorndale" w:eastAsia="Andale Sans UI" w:hAnsi="Thorndale" w:cs="Tahoma"/>
                    <w:szCs w:val="24"/>
                    <w:lang w:bidi="en-US"/>
                  </w:rPr>
                </w:pPr>
                <w:r>
                  <w:rPr>
                    <w:rFonts w:ascii="Thorndale" w:eastAsia="Andale Sans UI" w:hAnsi="Thorndale" w:cs="Tahoma"/>
                    <w:szCs w:val="24"/>
                    <w:lang w:bidi="en-US"/>
                  </w:rPr>
                  <w:t xml:space="preserve">Aplinkosauginiai reikalavimai įgyvendina PAV įstatymo pakeitimo įstatymu įvedama naują </w:t>
                </w:r>
                <w:r>
                  <w:rPr>
                    <w:rFonts w:ascii="Thorndale" w:eastAsia="Andale Sans UI" w:hAnsi="Thorndale" w:cs="Tahoma"/>
                    <w:szCs w:val="24"/>
                    <w:lang w:eastAsia="lt-LT" w:bidi="en-US"/>
                  </w:rPr>
                  <w:t>3 straipsnio 4</w:t>
                </w:r>
                <w:r>
                  <w:rPr>
                    <w:rFonts w:ascii="Thorndale" w:eastAsia="Andale Sans UI" w:hAnsi="Thorndale" w:cs="Tahoma"/>
                    <w:szCs w:val="24"/>
                    <w:vertAlign w:val="superscript"/>
                    <w:lang w:eastAsia="lt-LT" w:bidi="en-US"/>
                  </w:rPr>
                  <w:t>1</w:t>
                </w:r>
                <w:r>
                  <w:rPr>
                    <w:rFonts w:ascii="Thorndale" w:eastAsia="Andale Sans UI" w:hAnsi="Thorndale" w:cs="Tahoma"/>
                    <w:szCs w:val="24"/>
                    <w:lang w:eastAsia="lt-LT" w:bidi="en-US"/>
                  </w:rPr>
                  <w:t xml:space="preserve"> dalimi</w:t>
                </w:r>
                <w:r>
                  <w:rPr>
                    <w:rFonts w:ascii="Thorndale" w:eastAsia="Andale Sans UI" w:hAnsi="Thorndale" w:cs="Tahoma"/>
                    <w:szCs w:val="24"/>
                    <w:lang w:bidi="en-US"/>
                  </w:rPr>
                  <w:t xml:space="preserve"> nuostatą, kurioje nurodoma, kad </w:t>
                </w:r>
                <w:r>
                  <w:rPr>
                    <w:rFonts w:ascii="Thorndale" w:eastAsia="Andale Sans UI" w:hAnsi="Thorndale" w:cs="Tahoma"/>
                    <w:i/>
                    <w:iCs/>
                    <w:color w:val="000000"/>
                    <w:szCs w:val="24"/>
                    <w:lang w:bidi="en-US"/>
                  </w:rPr>
                  <w:t>atranka dėl poveikio aplinkai vertinimo ir (ar) poveikio aplinkai vertinimas neatliekami saulės šviesos energijos elektrinių statybai. Saulės šviesos energijos elektrinės planuojamos, statomos ir eksploatuojamos laikantis aplinkos ministro nustatytų aplinkosauginių reikalavimų. Ši išimtis netaikoma, kai poveikio aplinkai vertinimas privalomas pagal šio straipsnio 1 dalies 3 punktą</w:t>
                </w:r>
                <w:r>
                  <w:rPr>
                    <w:rFonts w:ascii="Thorndale" w:eastAsia="Andale Sans UI" w:hAnsi="Thorndale" w:cs="Tahoma"/>
                    <w:color w:val="000000"/>
                    <w:sz w:val="20"/>
                    <w:lang w:bidi="en-US"/>
                  </w:rPr>
                  <w:t xml:space="preserve">. </w:t>
                </w:r>
              </w:p>
              <w:p>
                <w:pPr>
                  <w:rPr>
                    <w:sz w:val="10"/>
                    <w:szCs w:val="10"/>
                  </w:rPr>
                </w:pPr>
              </w:p>
              <w:p>
                <w:pPr>
                  <w:widowControl w:val="0"/>
                  <w:suppressAutoHyphens/>
                  <w:jc w:val="both"/>
                  <w:rPr>
                    <w:rFonts w:ascii="Thorndale" w:eastAsia="Andale Sans UI" w:hAnsi="Thorndale" w:cs="Tahoma"/>
                    <w:szCs w:val="24"/>
                    <w:lang w:eastAsia="lt-LT" w:bidi="en-US"/>
                  </w:rPr>
                </w:pPr>
                <w:r>
                  <w:rPr>
                    <w:rFonts w:ascii="Thorndale" w:eastAsia="Andale Sans UI" w:hAnsi="Thorndale" w:cs="Tahoma"/>
                    <w:szCs w:val="24"/>
                    <w:lang w:eastAsia="lt-LT" w:bidi="en-US"/>
                  </w:rPr>
                  <w:t>Nebelikus prievolės atlikti planuojamos ūkinės veiklos poveikio aplinkai vertinimo atrankos, nebereikės rengti ir teikti informacijos atrankai ir sutrumpės laiko tarpas per kurį bus įgyvendinami projektai.</w:t>
                </w:r>
              </w:p>
              <w:p>
                <w:pPr>
                  <w:widowControl w:val="0"/>
                  <w:suppressAutoHyphens/>
                  <w:jc w:val="both"/>
                  <w:rPr>
                    <w:rFonts w:ascii="Thorndale" w:eastAsia="Andale Sans UI" w:hAnsi="Thorndale" w:cs="Tahoma"/>
                    <w:szCs w:val="24"/>
                    <w:lang w:eastAsia="lt-LT" w:bidi="en-US"/>
                  </w:rPr>
                </w:pPr>
                <w:r>
                  <w:rPr>
                    <w:rFonts w:ascii="Thorndale" w:eastAsia="Andale Sans UI" w:hAnsi="Thorndale" w:cs="Tahoma"/>
                    <w:szCs w:val="24"/>
                    <w:lang w:eastAsia="lt-LT" w:bidi="en-US"/>
                  </w:rPr>
                  <w:t xml:space="preserve">Administracinės naštos mažėjimas įvertintas, teikiant </w:t>
                </w:r>
                <w:r>
                  <w:rPr>
                    <w:rFonts w:ascii="Thorndale" w:eastAsia="Andale Sans UI" w:hAnsi="Thorndale" w:cs="Tahoma"/>
                    <w:szCs w:val="24"/>
                    <w:lang w:bidi="en-US"/>
                  </w:rPr>
                  <w:t>Lietuvos Respublikos planuojamos ūkinės veiklos poveikio aplinkai vertinimo įstatymo Nr. I-1495 pakeitimo įstatymą (TAIS Reg, Nr. 22-5906(3)), į kurį integruojama ir aukščiau paminėta nuostata, todėl atskirai administracinės naštos sumažėjimas neskaičiuojamas.</w:t>
                </w:r>
              </w:p>
              <w:p>
                <w:pPr>
                  <w:widowControl w:val="0"/>
                  <w:suppressAutoHyphens/>
                  <w:jc w:val="both"/>
                  <w:rPr>
                    <w:rFonts w:ascii="Thorndale" w:eastAsia="Andale Sans UI" w:hAnsi="Thorndale" w:cs="Tahoma"/>
                    <w:szCs w:val="24"/>
                    <w:lang w:eastAsia="lt-LT" w:bidi="en-US"/>
                  </w:rPr>
                </w:pPr>
              </w:p>
            </w:tc>
          </w:tr>
          <w:tr>
            <w:tblPrEx>
              <w:tblLook w:val="00A0" w:firstRow="1" w:lastRow="0" w:firstColumn="1" w:lastColumn="0" w:noHBand="0" w:noVBand="0"/>
            </w:tblPrEx>
            <w:tc>
              <w:tcPr>
                <w:tcW w:w="2268" w:type="dxa"/>
                <w:gridSpan w:val="2"/>
                <w:shd w:val="clear" w:color="auto" w:fill="DBE5F1"/>
              </w:tcPr>
              <w:p>
                <w:pPr>
                  <w:widowControl w:val="0"/>
                  <w:shd w:val="clear" w:color="auto" w:fill="DBE5F1"/>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viešojo valdymo sistemai</w:t>
                </w:r>
              </w:p>
              <w:p>
                <w:pPr>
                  <w:widowControl w:val="0"/>
                  <w:suppressAutoHyphens/>
                  <w:rPr>
                    <w:rFonts w:ascii="Thorndale" w:eastAsia="Andale Sans UI" w:hAnsi="Thorndale" w:cs="Tahoma"/>
                    <w:b/>
                    <w:szCs w:val="24"/>
                    <w:lang w:eastAsia="lt-LT" w:bidi="en-US"/>
                  </w:rPr>
                </w:pPr>
              </w:p>
            </w:tc>
            <w:tc>
              <w:tcPr>
                <w:tcW w:w="7655" w:type="dxa"/>
                <w:gridSpan w:val="2"/>
              </w:tcPr>
              <w:p>
                <w:pPr>
                  <w:widowControl w:val="0"/>
                  <w:suppressAutoHyphens/>
                  <w:jc w:val="both"/>
                  <w:rPr>
                    <w:rFonts w:ascii="Thorndale" w:eastAsia="Andale Sans UI" w:hAnsi="Thorndale" w:cs="Tahoma"/>
                    <w:szCs w:val="24"/>
                    <w:lang w:eastAsia="lt-LT" w:bidi="en-US"/>
                  </w:rPr>
                </w:pPr>
                <w:r>
                  <w:rPr>
                    <w:rFonts w:ascii="Thorndale" w:eastAsia="Andale Sans UI" w:hAnsi="Thorndale" w:cs="Tahoma"/>
                    <w:szCs w:val="24"/>
                    <w:lang w:eastAsia="lt-LT" w:bidi="en-US"/>
                  </w:rPr>
                  <w:t>Sumažės administracinė našta poveikio aplinkai vertinimo subjektams ir atsakingajai institucijai, kadangi nebus teikiama išvadai informacija atrankai.</w:t>
                </w:r>
              </w:p>
              <w:p>
                <w:pPr>
                  <w:widowControl w:val="0"/>
                  <w:suppressAutoHyphens/>
                  <w:textAlignment w:val="center"/>
                  <w:rPr>
                    <w:rFonts w:ascii="Thorndale" w:eastAsia="Andale Sans UI" w:hAnsi="Thorndale" w:cs="Tahoma"/>
                    <w:szCs w:val="24"/>
                    <w:lang w:bidi="en-US"/>
                  </w:rPr>
                </w:pPr>
              </w:p>
            </w:tc>
          </w:tr>
          <w:tr>
            <w:tblPrEx>
              <w:tblLook w:val="00A0" w:firstRow="1" w:lastRow="0" w:firstColumn="1" w:lastColumn="0" w:noHBand="0" w:noVBand="0"/>
            </w:tblPrEx>
            <w:tc>
              <w:tcPr>
                <w:tcW w:w="2268" w:type="dxa"/>
                <w:gridSpan w:val="2"/>
                <w:shd w:val="clear" w:color="auto" w:fill="DBE5F1"/>
              </w:tcPr>
              <w:p>
                <w:pPr>
                  <w:widowControl w:val="0"/>
                  <w:shd w:val="clear" w:color="auto" w:fill="DBE5F1"/>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aplinkai</w:t>
                </w:r>
              </w:p>
              <w:p>
                <w:pPr>
                  <w:widowControl w:val="0"/>
                  <w:shd w:val="clear" w:color="auto" w:fill="DBE5F1"/>
                  <w:suppressAutoHyphens/>
                  <w:rPr>
                    <w:rFonts w:ascii="Thorndale" w:eastAsia="Andale Sans UI" w:hAnsi="Thorndale" w:cs="Tahoma"/>
                    <w:b/>
                    <w:szCs w:val="24"/>
                    <w:lang w:eastAsia="lt-LT" w:bidi="en-US"/>
                  </w:rPr>
                </w:pPr>
              </w:p>
            </w:tc>
            <w:tc>
              <w:tcPr>
                <w:tcW w:w="7655" w:type="dxa"/>
                <w:gridSpan w:val="2"/>
              </w:tcPr>
              <w:p>
                <w:pPr>
                  <w:widowControl w:val="0"/>
                  <w:suppressAutoHyphens/>
                  <w:jc w:val="both"/>
                  <w:rPr>
                    <w:rFonts w:ascii="Thorndale" w:eastAsia="Andale Sans UI" w:hAnsi="Thorndale" w:cs="Tahoma"/>
                    <w:szCs w:val="24"/>
                    <w:lang w:eastAsia="lt-LT" w:bidi="en-US"/>
                  </w:rPr>
                </w:pPr>
                <w:r>
                  <w:rPr>
                    <w:rFonts w:ascii="Thorndale" w:eastAsia="Andale Sans UI" w:hAnsi="Thorndale" w:cs="Tahoma"/>
                    <w:szCs w:val="24"/>
                    <w:lang w:eastAsia="lt-LT" w:bidi="en-US"/>
                  </w:rPr>
                  <w:t>Poveikio aplinkai nebus. Vietoj atrankos metu nustatomų individualių neigiamo poveikio išvengimo ar sumažinimo priemonių taikymo bus taikomi bendriniai Aplinkosauginiai reikalavimai.</w:t>
                </w:r>
              </w:p>
            </w:tc>
          </w:tr>
          <w:tr>
            <w:tblPrEx>
              <w:tblLook w:val="00A0" w:firstRow="1" w:lastRow="0" w:firstColumn="1" w:lastColumn="0" w:noHBand="0" w:noVBand="0"/>
            </w:tblPrEx>
            <w:tc>
              <w:tcPr>
                <w:tcW w:w="2268" w:type="dxa"/>
                <w:gridSpan w:val="2"/>
                <w:shd w:val="clear" w:color="auto" w:fill="DBE5F1"/>
                <w:hideMark/>
              </w:tcPr>
              <w:p>
                <w:pPr>
                  <w:widowControl w:val="0"/>
                  <w:shd w:val="clear" w:color="auto" w:fill="DBE5F1"/>
                  <w:suppressAutoHyphens/>
                  <w:rPr>
                    <w:rFonts w:ascii="Thorndale" w:eastAsia="Andale Sans UI" w:hAnsi="Thorndale" w:cs="Tahoma"/>
                    <w:b/>
                    <w:szCs w:val="24"/>
                    <w:lang w:eastAsia="lt-LT" w:bidi="en-US"/>
                  </w:rPr>
                </w:pPr>
                <w:r>
                  <w:rPr>
                    <w:rFonts w:ascii="Thorndale" w:eastAsia="Andale Sans UI" w:hAnsi="Thorndale" w:cs="Tahoma"/>
                    <w:b/>
                    <w:szCs w:val="24"/>
                    <w:lang w:eastAsia="lt-LT" w:bidi="en-US"/>
                  </w:rPr>
                  <w:t>Poveikis klimato kaitai</w:t>
                </w:r>
              </w:p>
              <w:p>
                <w:pPr>
                  <w:widowControl w:val="0"/>
                  <w:shd w:val="clear" w:color="auto" w:fill="DBE5F1"/>
                  <w:suppressAutoHyphens/>
                  <w:rPr>
                    <w:rFonts w:ascii="Thorndale" w:eastAsia="Andale Sans UI" w:hAnsi="Thorndale" w:cs="Tahoma"/>
                    <w:b/>
                    <w:szCs w:val="24"/>
                    <w:lang w:eastAsia="lt-LT" w:bidi="en-US"/>
                  </w:rPr>
                </w:pPr>
              </w:p>
            </w:tc>
            <w:tc>
              <w:tcPr>
                <w:tcW w:w="7655" w:type="dxa"/>
                <w:gridSpan w:val="2"/>
              </w:tcPr>
              <w:p>
                <w:pPr>
                  <w:widowControl w:val="0"/>
                  <w:suppressAutoHyphens/>
                  <w:jc w:val="both"/>
                  <w:rPr>
                    <w:rFonts w:ascii="Thorndale" w:eastAsia="Andale Sans UI" w:hAnsi="Thorndale" w:cs="Tahoma"/>
                    <w:szCs w:val="24"/>
                    <w:lang w:eastAsia="lt-LT" w:bidi="en-US"/>
                  </w:rPr>
                </w:pPr>
                <w:r>
                  <w:rPr>
                    <w:rFonts w:ascii="Thorndale" w:eastAsia="Andale Sans UI" w:hAnsi="Thorndale" w:cs="Tahoma"/>
                    <w:szCs w:val="24"/>
                    <w:lang w:eastAsia="lt-LT" w:bidi="en-US"/>
                  </w:rPr>
                  <w:t>Numatomas netiesioginis teigiamas poveikis klimatui. Sudarius palankesnes sąlygas AIE projektų vystymui tikimasi greičiau pakeisti iškastinio kuro naudojimą AIE šaltiniais ir įgyvendinti Lietuvos užsibrėžtus tikslus, susijusius poveikio klimato mažinimu.</w:t>
                </w:r>
              </w:p>
            </w:tc>
          </w:tr>
        </w:tbl>
        <w:p>
          <w:pPr>
            <w:widowControl w:val="0"/>
            <w:suppressAutoHyphens/>
            <w:rPr>
              <w:rFonts w:ascii="Thorndale" w:eastAsia="Andale Sans UI" w:hAnsi="Thorndale" w:cs="Tahoma"/>
              <w:b/>
              <w:szCs w:val="24"/>
              <w:lang w:bidi="en-US"/>
            </w:rPr>
          </w:pPr>
        </w:p>
        <w:p>
          <w:pPr>
            <w:widowControl w:val="0"/>
            <w:suppressAutoHyphens/>
            <w:rPr>
              <w:rFonts w:ascii="Thorndale" w:eastAsia="Andale Sans UI" w:hAnsi="Thorndale" w:cs="Tahoma"/>
              <w:b/>
              <w:szCs w:val="24"/>
              <w:lang w:bidi="en-US"/>
            </w:rPr>
          </w:pPr>
        </w:p>
        <w:sdt>
          <w:sdtPr>
            <w:alias w:val="signatura"/>
            <w:tag w:val="part_e84e711c1b214762bf14552fbc49a712"/>
            <w:lock w:val="sdtLocked"/>
            <w:richText/>
          </w:sdtPr>
          <w:sdtContent>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t xml:space="preserve">Parengė: </w:t>
                <w:tab/>
                <w:tab/>
                <w:tab/>
                <w:tab/>
                <w:tab/>
                <w:tab/>
                <w:tab/>
                <w:tab/>
                <w:tab/>
                <w:tab/>
                <w:tab/>
                <w:tab/>
                <w:tab/>
                <w:tab/>
                <w:tab/>
                <w:tab/>
                <w:tab/>
                <w:tab/>
                <w:tab/>
                <w:tab/>
                <w:tab/>
                <w:t xml:space="preserve">Beata Vilimaitė Šilobritienė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851" w:bottom="79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separator/>
      </w:r>
    </w:p>
  </w:endnote>
  <w:endnote w:type="continuationSeparator" w:id="0">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separator/>
      </w:r>
    </w:p>
  </w:footnote>
  <w:footnote w:type="continuationSeparator" w:id="0">
    <w:p>
      <w:pPr>
        <w:widowControl w:val="0"/>
        <w:suppressAutoHyphens/>
        <w:rPr>
          <w:rFonts w:ascii="Thorndale" w:eastAsia="Andale Sans UI" w:hAnsi="Thorndale" w:cs="Tahoma"/>
          <w:szCs w:val="24"/>
          <w:lang w:bidi="en-US"/>
        </w:rPr>
      </w:pPr>
      <w:r>
        <w:rPr>
          <w:rFonts w:ascii="Thorndale" w:eastAsia="Andale Sans UI" w:hAnsi="Thorndale" w:cs="Tahoma"/>
          <w:szCs w:val="24"/>
          <w:lang w:bidi="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ascii="Thorndale" w:eastAsia="Andale Sans UI" w:hAnsi="Thorndale" w:cs="Tahoma"/>
        <w:szCs w:val="24"/>
        <w:lang w:bidi="en-US"/>
      </w:rPr>
    </w:pPr>
    <w:r>
      <w:rPr>
        <w:rFonts w:ascii="Thorndale" w:eastAsia="Andale Sans UI" w:hAnsi="Thorndale" w:cs="Tahoma"/>
        <w:szCs w:val="24"/>
        <w:lang w:bidi="en-US"/>
      </w:rPr>
      <w:fldChar w:fldCharType="begin"/>
    </w:r>
    <w:r>
      <w:rPr>
        <w:rFonts w:ascii="Thorndale" w:eastAsia="Andale Sans UI" w:hAnsi="Thorndale" w:cs="Tahoma"/>
        <w:szCs w:val="24"/>
        <w:lang w:bidi="en-US"/>
      </w:rPr>
      <w:instrText>PAGE   \* MERGEFORMAT</w:instrText>
    </w:r>
    <w:r>
      <w:rPr>
        <w:rFonts w:ascii="Thorndale" w:eastAsia="Andale Sans UI" w:hAnsi="Thorndale" w:cs="Tahoma"/>
        <w:szCs w:val="24"/>
        <w:lang w:bidi="en-US"/>
      </w:rPr>
      <w:fldChar w:fldCharType="separate"/>
    </w:r>
    <w:r>
      <w:rPr>
        <w:rFonts w:ascii="Thorndale" w:eastAsia="Andale Sans UI" w:hAnsi="Thorndale" w:cs="Tahoma"/>
        <w:szCs w:val="24"/>
        <w:lang w:bidi="en-US"/>
      </w:rPr>
      <w:t>2</w:t>
    </w:r>
    <w:r>
      <w:rPr>
        <w:rFonts w:ascii="Thorndale" w:eastAsia="Andale Sans UI" w:hAnsi="Thorndale" w:cs="Tahoma"/>
        <w:szCs w:val="24"/>
        <w:lang w:bidi="en-US"/>
      </w:rPr>
      <w:fldChar w:fldCharType="end"/>
    </w:r>
  </w:p>
  <w:p>
    <w:pPr>
      <w:widowControl w:val="0"/>
      <w:tabs>
        <w:tab w:val="center" w:pos="4819"/>
        <w:tab w:val="right" w:pos="9638"/>
      </w:tabs>
      <w:suppressAutoHyphens/>
      <w:rPr>
        <w:rFonts w:ascii="Thorndale" w:eastAsia="Andale Sans UI" w:hAnsi="Thorndale"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28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1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13C3CBCA-EEA5-4DC3-A763-FD5C68CC4B2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5601086">
      <w:bodyDiv w:val="1"/>
      <w:marLeft w:val="0"/>
      <w:marRight w:val="0"/>
      <w:marTop w:val="0"/>
      <w:marBottom w:val="0"/>
      <w:divBdr>
        <w:top w:val="none" w:sz="0" w:space="0" w:color="auto"/>
        <w:left w:val="none" w:sz="0" w:space="0" w:color="auto"/>
        <w:bottom w:val="none" w:sz="0" w:space="0" w:color="auto"/>
        <w:right w:val="none" w:sz="0" w:space="0" w:color="auto"/>
      </w:divBdr>
    </w:div>
    <w:div w:id="381295803">
      <w:bodyDiv w:val="1"/>
      <w:marLeft w:val="0"/>
      <w:marRight w:val="0"/>
      <w:marTop w:val="0"/>
      <w:marBottom w:val="0"/>
      <w:divBdr>
        <w:top w:val="none" w:sz="0" w:space="0" w:color="auto"/>
        <w:left w:val="none" w:sz="0" w:space="0" w:color="auto"/>
        <w:bottom w:val="none" w:sz="0" w:space="0" w:color="auto"/>
        <w:right w:val="none" w:sz="0" w:space="0" w:color="auto"/>
      </w:divBdr>
    </w:div>
    <w:div w:id="602539234">
      <w:bodyDiv w:val="1"/>
      <w:marLeft w:val="0"/>
      <w:marRight w:val="0"/>
      <w:marTop w:val="0"/>
      <w:marBottom w:val="0"/>
      <w:divBdr>
        <w:top w:val="none" w:sz="0" w:space="0" w:color="auto"/>
        <w:left w:val="none" w:sz="0" w:space="0" w:color="auto"/>
        <w:bottom w:val="none" w:sz="0" w:space="0" w:color="auto"/>
        <w:right w:val="none" w:sz="0" w:space="0" w:color="auto"/>
      </w:divBdr>
    </w:div>
    <w:div w:id="1045133254">
      <w:bodyDiv w:val="1"/>
      <w:marLeft w:val="0"/>
      <w:marRight w:val="0"/>
      <w:marTop w:val="0"/>
      <w:marBottom w:val="0"/>
      <w:divBdr>
        <w:top w:val="none" w:sz="0" w:space="0" w:color="auto"/>
        <w:left w:val="none" w:sz="0" w:space="0" w:color="auto"/>
        <w:bottom w:val="none" w:sz="0" w:space="0" w:color="auto"/>
        <w:right w:val="none" w:sz="0" w:space="0" w:color="auto"/>
      </w:divBdr>
      <w:divsChild>
        <w:div w:id="1780449116">
          <w:marLeft w:val="0"/>
          <w:marRight w:val="0"/>
          <w:marTop w:val="0"/>
          <w:marBottom w:val="0"/>
          <w:divBdr>
            <w:top w:val="none" w:sz="0" w:space="0" w:color="auto"/>
            <w:left w:val="none" w:sz="0" w:space="0" w:color="auto"/>
            <w:bottom w:val="none" w:sz="0" w:space="0" w:color="auto"/>
            <w:right w:val="none" w:sz="0" w:space="0" w:color="auto"/>
          </w:divBdr>
        </w:div>
        <w:div w:id="497114353">
          <w:marLeft w:val="0"/>
          <w:marRight w:val="0"/>
          <w:marTop w:val="0"/>
          <w:marBottom w:val="0"/>
          <w:divBdr>
            <w:top w:val="none" w:sz="0" w:space="0" w:color="auto"/>
            <w:left w:val="none" w:sz="0" w:space="0" w:color="auto"/>
            <w:bottom w:val="none" w:sz="0" w:space="0" w:color="auto"/>
            <w:right w:val="none" w:sz="0" w:space="0" w:color="auto"/>
          </w:divBdr>
        </w:div>
      </w:divsChild>
    </w:div>
    <w:div w:id="1051733544">
      <w:bodyDiv w:val="1"/>
      <w:marLeft w:val="0"/>
      <w:marRight w:val="0"/>
      <w:marTop w:val="0"/>
      <w:marBottom w:val="0"/>
      <w:divBdr>
        <w:top w:val="none" w:sz="0" w:space="0" w:color="auto"/>
        <w:left w:val="none" w:sz="0" w:space="0" w:color="auto"/>
        <w:bottom w:val="none" w:sz="0" w:space="0" w:color="auto"/>
        <w:right w:val="none" w:sz="0" w:space="0" w:color="auto"/>
      </w:divBdr>
    </w:div>
    <w:div w:id="1622105583">
      <w:bodyDiv w:val="1"/>
      <w:marLeft w:val="0"/>
      <w:marRight w:val="0"/>
      <w:marTop w:val="0"/>
      <w:marBottom w:val="0"/>
      <w:divBdr>
        <w:top w:val="none" w:sz="0" w:space="0" w:color="auto"/>
        <w:left w:val="none" w:sz="0" w:space="0" w:color="auto"/>
        <w:bottom w:val="none" w:sz="0" w:space="0" w:color="auto"/>
        <w:right w:val="none" w:sz="0" w:space="0" w:color="auto"/>
      </w:divBdr>
      <w:divsChild>
        <w:div w:id="198858343">
          <w:marLeft w:val="0"/>
          <w:marRight w:val="0"/>
          <w:marTop w:val="0"/>
          <w:marBottom w:val="0"/>
          <w:divBdr>
            <w:top w:val="none" w:sz="0" w:space="0" w:color="auto"/>
            <w:left w:val="none" w:sz="0" w:space="0" w:color="auto"/>
            <w:bottom w:val="none" w:sz="0" w:space="0" w:color="auto"/>
            <w:right w:val="none" w:sz="0" w:space="0" w:color="auto"/>
          </w:divBdr>
          <w:divsChild>
            <w:div w:id="207687251">
              <w:marLeft w:val="0"/>
              <w:marRight w:val="0"/>
              <w:marTop w:val="0"/>
              <w:marBottom w:val="0"/>
              <w:divBdr>
                <w:top w:val="none" w:sz="0" w:space="0" w:color="auto"/>
                <w:left w:val="none" w:sz="0" w:space="0" w:color="auto"/>
                <w:bottom w:val="none" w:sz="0" w:space="0" w:color="auto"/>
                <w:right w:val="none" w:sz="0" w:space="0" w:color="auto"/>
              </w:divBdr>
              <w:divsChild>
                <w:div w:id="1960448759">
                  <w:marLeft w:val="0"/>
                  <w:marRight w:val="0"/>
                  <w:marTop w:val="0"/>
                  <w:marBottom w:val="0"/>
                  <w:divBdr>
                    <w:top w:val="none" w:sz="0" w:space="0" w:color="auto"/>
                    <w:left w:val="none" w:sz="0" w:space="0" w:color="auto"/>
                    <w:bottom w:val="none" w:sz="0" w:space="0" w:color="auto"/>
                    <w:right w:val="none" w:sz="0" w:space="0" w:color="auto"/>
                  </w:divBdr>
                  <w:divsChild>
                    <w:div w:id="1091243969">
                      <w:marLeft w:val="0"/>
                      <w:marRight w:val="0"/>
                      <w:marTop w:val="0"/>
                      <w:marBottom w:val="0"/>
                      <w:divBdr>
                        <w:top w:val="none" w:sz="0" w:space="0" w:color="auto"/>
                        <w:left w:val="none" w:sz="0" w:space="0" w:color="auto"/>
                        <w:bottom w:val="none" w:sz="0" w:space="0" w:color="auto"/>
                        <w:right w:val="none" w:sz="0" w:space="0" w:color="auto"/>
                      </w:divBdr>
                      <w:divsChild>
                        <w:div w:id="1673138282">
                          <w:marLeft w:val="0"/>
                          <w:marRight w:val="0"/>
                          <w:marTop w:val="0"/>
                          <w:marBottom w:val="0"/>
                          <w:divBdr>
                            <w:top w:val="none" w:sz="0" w:space="0" w:color="auto"/>
                            <w:left w:val="none" w:sz="0" w:space="0" w:color="auto"/>
                            <w:bottom w:val="none" w:sz="0" w:space="0" w:color="auto"/>
                            <w:right w:val="none" w:sz="0" w:space="0" w:color="auto"/>
                          </w:divBdr>
                        </w:div>
                        <w:div w:id="128576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677486">
      <w:bodyDiv w:val="1"/>
      <w:marLeft w:val="0"/>
      <w:marRight w:val="0"/>
      <w:marTop w:val="0"/>
      <w:marBottom w:val="0"/>
      <w:divBdr>
        <w:top w:val="none" w:sz="0" w:space="0" w:color="auto"/>
        <w:left w:val="none" w:sz="0" w:space="0" w:color="auto"/>
        <w:bottom w:val="none" w:sz="0" w:space="0" w:color="auto"/>
        <w:right w:val="none" w:sz="0" w:space="0" w:color="auto"/>
      </w:divBdr>
    </w:div>
    <w:div w:id="212148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0" ma:contentTypeDescription="Create a new document." ma:contentTypeScope="" ma:versionID="4fdfa99c19e46e54380ea7d0d8415786">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004e27f967578980c4dd2626d93c0c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9b8cbc8f0fdb433e83b175db1c3c448f" PartId="d99d508179da48ea9663616a91c57998">
    <Part Type="signatura" DocPartId="83bd80f584c84720acf74d0bbef31d86" PartId="e84e711c1b214762bf14552fbc49a712"/>
  </Part>
</Parts>
</file>

<file path=customXml/itemProps1.xml><?xml version="1.0" encoding="utf-8"?>
<ds:datastoreItem xmlns:ds="http://schemas.openxmlformats.org/officeDocument/2006/customXml" ds:itemID="{145802AC-A9B0-487E-83D1-A12AED089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70C9C-0869-4551-92F9-160FC848030A}">
  <ds:schemaRefs>
    <ds:schemaRef ds:uri="http://schemas.microsoft.com/sharepoint/v3/contenttype/forms"/>
  </ds:schemaRefs>
</ds:datastoreItem>
</file>

<file path=customXml/itemProps3.xml><?xml version="1.0" encoding="utf-8"?>
<ds:datastoreItem xmlns:ds="http://schemas.openxmlformats.org/officeDocument/2006/customXml" ds:itemID="{0CDD3606-D1E7-432F-B992-8D74158F031F}">
  <ds:schemaRefs>
    <ds:schemaRef ds:uri="http://purl.org/dc/dcmitype/"/>
    <ds:schemaRef ds:uri="58c6f6df-7e1f-4a2e-8979-e3f4c92e56f2"/>
    <ds:schemaRef ds:uri="http://schemas.openxmlformats.org/package/2006/metadata/core-properties"/>
    <ds:schemaRef ds:uri="http://schemas.microsoft.com/office/2006/documentManagement/types"/>
    <ds:schemaRef ds:uri="http://schemas.microsoft.com/office/2006/metadata/properties"/>
    <ds:schemaRef ds:uri="http://purl.org/dc/elements/1.1/"/>
    <ds:schemaRef ds:uri="http://www.w3.org/XML/1998/namespace"/>
    <ds:schemaRef ds:uri="http://schemas.microsoft.com/office/infopath/2007/PartnerControls"/>
    <ds:schemaRef ds:uri="2ad30025-d0d5-4532-b26e-26983efa1e1c"/>
    <ds:schemaRef ds:uri="http://purl.org/dc/terms/"/>
  </ds:schemaRefs>
</ds:datastoreItem>
</file>

<file path=customXml/itemProps4.xml><?xml version="1.0" encoding="utf-8"?>
<ds:datastoreItem xmlns:ds="http://schemas.openxmlformats.org/officeDocument/2006/customXml" ds:itemID="{8EF68A5B-FD62-4235-AF77-2F8B693C290B}">
  <ds:schemaRefs>
    <ds:schemaRef ds:uri="http://schemas.openxmlformats.org/officeDocument/2006/bibliography"/>
  </ds:schemaRefs>
</ds:datastoreItem>
</file>

<file path=customXml/itemProps5.xml><?xml version="1.0" encoding="utf-8"?>
<ds:datastoreItem xmlns:ds="http://schemas.openxmlformats.org/officeDocument/2006/customXml" ds:itemID="{E69B1F90-A24B-4FA1-B74C-E75475972F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468</Words>
  <Characters>3574</Characters>
  <Application>Microsoft Office Word</Application>
  <DocSecurity>4</DocSecurity>
  <Lines>105</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2022-08-31T09:59:00Z</dcterms:created>
  <dc:creator>Danutė Mačiokaitė</dc:creator>
  <lastModifiedBy>adlibuser</lastModifiedBy>
  <lastPrinted>2020-08-14T06:01:00Z</lastPrinted>
  <dcterms:modified xsi:type="dcterms:W3CDTF">2022-08-31T09:59:00Z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4791355</vt:lpwstr>
  </property>
  <property fmtid="{D5CDD505-2E9C-101B-9397-08002B2CF9AE}" pid="4" name="DISCdDocAuthor">
    <vt:lpwstr>d.bieliauskaite</vt:lpwstr>
  </property>
  <property fmtid="{D5CDD505-2E9C-101B-9397-08002B2CF9AE}" pid="5" name="VDVISDocRegData">
    <vt:lpwstr>2020-01-31 10:50</vt:lpwstr>
  </property>
  <property fmtid="{D5CDD505-2E9C-101B-9397-08002B2CF9AE}" pid="6" name="VDVISDokPavadinimas">
    <vt:lpwstr>Dėl komisijų ilgalaikio nematerialiojo ir materialiojo turto, trumpalaikio turto pripažinimui nereikalingu arba netinkamu naudoti, perdavimui, nurašymui, išardymui ir likvidavimui, naudojimo veikloje nutraukimui ir nuvertėjimo nustatymui sudarymo</vt:lpwstr>
  </property>
  <property fmtid="{D5CDD505-2E9C-101B-9397-08002B2CF9AE}" pid="7" name="DIScgiUrl">
    <vt:lpwstr>https://vdvis.am.lt/cs/idcplg</vt:lpwstr>
  </property>
  <property fmtid="{D5CDD505-2E9C-101B-9397-08002B2CF9AE}" pid="8" name="DISProperties">
    <vt:lpwstr>DISidcName,DISdID,DISCdDocAuthor,VDVISDocRegData,VDVISDokPavadinimas,DIScgiUrl,DISTaskPaneUrl,DISdUser,VDVISDocRegNr,DISdDocName</vt:lpwstr>
  </property>
  <property fmtid="{D5CDD505-2E9C-101B-9397-08002B2CF9AE}" pid="9" name="DISTaskPaneUrl">
    <vt:lpwstr>https://vdvis.am.lt/cs/idcplg?IdcService=DESKTOP_DOC_INFO&amp;dDocName=AM_4702350&amp;dID=4791355&amp;ClientControlled=DocMan,taskpane&amp;coreContentOnly=1</vt:lpwstr>
  </property>
  <property fmtid="{D5CDD505-2E9C-101B-9397-08002B2CF9AE}" pid="10" name="DISdUser">
    <vt:lpwstr>d.bieliauskaite</vt:lpwstr>
  </property>
  <property fmtid="{D5CDD505-2E9C-101B-9397-08002B2CF9AE}" pid="11" name="VDVISDocRegNr">
    <vt:lpwstr>D2-12</vt:lpwstr>
  </property>
  <property fmtid="{D5CDD505-2E9C-101B-9397-08002B2CF9AE}" pid="12" name="DISdDocName">
    <vt:lpwstr>AM_4702350</vt:lpwstr>
  </property>
  <property fmtid="{D5CDD505-2E9C-101B-9397-08002B2CF9AE}" pid="13" name="ContentTypeId">
    <vt:lpwstr>0x0101003FDA964F1C275C4D86F2E57031B6AE29</vt:lpwstr>
  </property>
</Properties>
</file>