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2de67204d6c0438ca7d64264c6e1ee0c"/>
        <w:lock w:val="sdtLocked"/>
        <w:richText/>
      </w:sdtPr>
      <w:sdtContent>
        <w:tbl>
          <w:tblPr>
            <w:tblW w:w="9693" w:type="dxa"/>
            <w:tblLayout w:type="fixed"/>
            <w:tblCellMar>
              <w:top w:w="55" w:type="dxa"/>
              <w:left w:w="55" w:type="dxa"/>
              <w:bottom w:w="55" w:type="dxa"/>
              <w:right w:w="55" w:type="dxa"/>
            </w:tblCellMar>
            <w:tblLook w:val="0000" w:firstRow="0" w:lastRow="0" w:firstColumn="0" w:lastColumn="0" w:noHBand="0" w:noVBand="0"/>
          </w:tblPr>
          <w:tblGrid>
            <w:gridCol w:w="55"/>
            <w:gridCol w:w="4817"/>
            <w:gridCol w:w="282"/>
            <w:gridCol w:w="1841"/>
            <w:gridCol w:w="565"/>
            <w:gridCol w:w="1938"/>
            <w:gridCol w:w="141"/>
            <w:gridCol w:w="54"/>
          </w:tblGrid>
          <w:tr>
            <w:trPr>
              <w:gridAfter w:val="2"/>
              <w:wAfter w:w="195" w:type="dxa"/>
            </w:trPr>
            <w:tc>
              <w:tcPr>
                <w:tcW w:w="9498" w:type="dxa"/>
                <w:gridSpan w:val="6"/>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40098A01" wp14:editId="490026EC">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rPr>
              <w:gridAfter w:val="2"/>
              <w:wAfter w:w="195" w:type="dxa"/>
            </w:trPr>
            <w:tc>
              <w:tcPr>
                <w:tcW w:w="9498" w:type="dxa"/>
                <w:gridSpan w:val="6"/>
                <w:tcMar>
                  <w:top w:w="0" w:type="dxa"/>
                  <w:left w:w="0" w:type="dxa"/>
                  <w:bottom w:w="0" w:type="dxa"/>
                  <w:right w:w="0" w:type="dxa"/>
                </w:tcMar>
              </w:tcPr>
              <w:p>
                <w:pPr>
                  <w:suppressLineNumbers/>
                  <w:jc w:val="both"/>
                  <w:rPr>
                    <w:rFonts w:eastAsia="Andale Sans UI" w:cs="Tahoma"/>
                    <w:szCs w:val="24"/>
                    <w:lang w:bidi="en-US"/>
                  </w:rPr>
                </w:pPr>
              </w:p>
            </w:tc>
          </w:tr>
          <w:tr>
            <w:tblPrEx>
              <w:tblLook w:val="04A0" w:firstRow="1" w:lastRow="0" w:firstColumn="1" w:lastColumn="0" w:noHBand="0" w:noVBand="1"/>
            </w:tblPrEx>
            <w:trPr>
              <w:gridBefore w:val="1"/>
              <w:wBefore w:w="55" w:type="dxa"/>
              <w:cantSplit/>
              <w:trHeight w:val="340"/>
            </w:trPr>
            <w:tc>
              <w:tcPr>
                <w:tcW w:w="4817" w:type="dxa"/>
                <w:vMerge w:val="restart"/>
                <w:tcMar>
                  <w:top w:w="0" w:type="dxa"/>
                  <w:left w:w="0" w:type="dxa"/>
                  <w:bottom w:w="0" w:type="dxa"/>
                  <w:right w:w="0" w:type="dxa"/>
                </w:tcMar>
              </w:tcPr>
              <w:p>
                <w:pPr>
                  <w:suppressLineNumbers/>
                  <w:jc w:val="both"/>
                  <w:rPr>
                    <w:rFonts w:eastAsia="Andale Sans UI" w:cs="Tahoma"/>
                    <w:spacing w:val="10"/>
                    <w:szCs w:val="24"/>
                    <w:lang w:bidi="en-US"/>
                  </w:rPr>
                </w:pPr>
                <w:r>
                  <w:rPr>
                    <w:rFonts w:eastAsia="Andale Sans UI" w:cs="Tahoma"/>
                    <w:spacing w:val="10"/>
                    <w:szCs w:val="24"/>
                    <w:lang w:bidi="en-US"/>
                  </w:rPr>
                  <w:t>Adresatams pagal sąrašą</w:t>
                </w: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pacing w:val="10"/>
                    <w:szCs w:val="24"/>
                    <w:lang w:bidi="en-US"/>
                  </w:rPr>
                </w:pPr>
              </w:p>
            </w:tc>
            <w:tc>
              <w:tcPr>
                <w:tcW w:w="2133" w:type="dxa"/>
                <w:gridSpan w:val="3"/>
              </w:tcPr>
              <w:p>
                <w:pPr>
                  <w:suppressLineNumbers/>
                  <w:ind w:right="67"/>
                  <w:jc w:val="both"/>
                  <w:rPr>
                    <w:rFonts w:eastAsia="Andale Sans UI" w:cs="Tahoma"/>
                    <w:szCs w:val="24"/>
                    <w:lang w:bidi="en-US"/>
                  </w:rPr>
                </w:pPr>
              </w:p>
            </w:tc>
          </w:tr>
          <w:tr>
            <w:tblPrEx>
              <w:tblLook w:val="04A0" w:firstRow="1" w:lastRow="0" w:firstColumn="1" w:lastColumn="0" w:noHBand="0" w:noVBand="1"/>
            </w:tblPrEx>
            <w:trPr>
              <w:gridBefore w:val="1"/>
              <w:wBefore w:w="55" w:type="dxa"/>
              <w:cantSplit/>
              <w:trHeight w:val="340"/>
            </w:trPr>
            <w:tc>
              <w:tcPr>
                <w:tcW w:w="4817" w:type="dxa"/>
                <w:vMerge/>
                <w:vAlign w:val="center"/>
                <w:hideMark/>
              </w:tcPr>
              <w:p>
                <w:pPr>
                  <w:jc w:val="both"/>
                  <w:rPr>
                    <w:rFonts w:eastAsia="Andale Sans UI" w:cs="Tahoma"/>
                    <w:spacing w:val="10"/>
                    <w:szCs w:val="24"/>
                    <w:lang w:bidi="en-US"/>
                  </w:rPr>
                </w:pPr>
              </w:p>
            </w:tc>
            <w:tc>
              <w:tcPr>
                <w:tcW w:w="282" w:type="dxa"/>
                <w:tcMar>
                  <w:top w:w="0" w:type="dxa"/>
                  <w:left w:w="0" w:type="dxa"/>
                  <w:bottom w:w="0" w:type="dxa"/>
                  <w:right w:w="0" w:type="dxa"/>
                </w:tcMar>
                <w:hideMark/>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hideMark/>
              </w:tcPr>
              <w:p>
                <w:pPr>
                  <w:suppressLineNumbers/>
                  <w:ind w:right="67"/>
                  <w:jc w:val="both"/>
                  <w:rPr>
                    <w:rFonts w:eastAsia="Andale Sans UI" w:cs="Tahoma"/>
                    <w:szCs w:val="24"/>
                    <w:lang w:bidi="en-US"/>
                  </w:rPr>
                </w:pPr>
                <w:r>
                  <w:rPr>
                    <w:rFonts w:eastAsia="Andale Sans UI" w:cs="Tahoma"/>
                    <w:szCs w:val="24"/>
                    <w:lang w:bidi="en-US"/>
                  </w:rPr>
                  <w:t>Nr.</w:t>
                </w:r>
              </w:p>
            </w:tc>
            <w:tc>
              <w:tcPr>
                <w:tcW w:w="2133" w:type="dxa"/>
                <w:gridSpan w:val="3"/>
              </w:tcPr>
              <w:p>
                <w:pPr>
                  <w:suppressLineNumbers/>
                  <w:ind w:right="67"/>
                  <w:jc w:val="both"/>
                  <w:rPr>
                    <w:rFonts w:eastAsia="Andale Sans UI" w:cs="Tahoma"/>
                    <w:szCs w:val="24"/>
                    <w:lang w:bidi="en-US"/>
                  </w:rPr>
                </w:pPr>
              </w:p>
            </w:tc>
          </w:tr>
          <w:tr>
            <w:tblPrEx>
              <w:tblLook w:val="04A0" w:firstRow="1" w:lastRow="0" w:firstColumn="1" w:lastColumn="0" w:noHBand="0" w:noVBand="1"/>
            </w:tblPrEx>
            <w:trPr>
              <w:gridBefore w:val="1"/>
              <w:wBefore w:w="55" w:type="dxa"/>
              <w:cantSplit/>
              <w:trHeight w:val="347"/>
            </w:trPr>
            <w:tc>
              <w:tcPr>
                <w:tcW w:w="4817" w:type="dxa"/>
                <w:vMerge/>
                <w:vAlign w:val="center"/>
                <w:hideMark/>
              </w:tcPr>
              <w:p>
                <w:pPr>
                  <w:jc w:val="both"/>
                  <w:rPr>
                    <w:rFonts w:eastAsia="Andale Sans UI" w:cs="Tahoma"/>
                    <w:spacing w:val="10"/>
                    <w:szCs w:val="24"/>
                    <w:lang w:bidi="en-US"/>
                  </w:rPr>
                </w:pPr>
              </w:p>
            </w:tc>
            <w:tc>
              <w:tcPr>
                <w:tcW w:w="4821" w:type="dxa"/>
                <w:gridSpan w:val="6"/>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gridAfter w:val="1"/>
              <w:wAfter w:w="54" w:type="dxa"/>
              <w:trHeight w:val="340"/>
            </w:trPr>
            <w:tc>
              <w:tcPr>
                <w:tcW w:w="9639" w:type="dxa"/>
                <w:gridSpan w:val="7"/>
                <w:tcMar>
                  <w:top w:w="0" w:type="dxa"/>
                  <w:left w:w="0" w:type="dxa"/>
                  <w:bottom w:w="0" w:type="dxa"/>
                  <w:right w:w="0" w:type="dxa"/>
                </w:tcMar>
              </w:tcPr>
              <w:p>
                <w:pPr>
                  <w:suppressLineNumbers/>
                  <w:ind w:right="570"/>
                  <w:jc w:val="both"/>
                  <w:rPr>
                    <w:rFonts w:eastAsia="Andale Sans UI" w:cs="Tahoma"/>
                    <w:b/>
                    <w:bCs/>
                    <w:szCs w:val="24"/>
                    <w:lang w:bidi="en-US"/>
                  </w:rPr>
                </w:pPr>
                <w:r>
                  <w:rPr>
                    <w:rFonts w:eastAsia="Andale Sans UI" w:cs="Tahoma"/>
                    <w:b/>
                    <w:bCs/>
                    <w:caps/>
                    <w:szCs w:val="24"/>
                    <w:lang w:bidi="en-US"/>
                  </w:rPr>
                  <w:t xml:space="preserve">DĖL </w:t>
                </w:r>
                <w:r>
                  <w:rPr>
                    <w:rFonts w:eastAsia="Andale Sans UI" w:cs="Tahoma"/>
                    <w:b/>
                    <w:szCs w:val="24"/>
                    <w:lang w:eastAsia="lt-LT" w:bidi="en-US"/>
                  </w:rPr>
                  <w:t>LIETUVOS RESPUBLIKOS APLINKOS MINISTRO ĮSAKYMO PROJEKTO DERINIMO</w:t>
                </w:r>
              </w:p>
            </w:tc>
          </w:tr>
        </w:tbl>
        <w:p>
          <w:pPr>
            <w:ind w:firstLine="567"/>
            <w:jc w:val="both"/>
            <w:rPr>
              <w:rFonts w:eastAsia="Andale Sans UI" w:cs="Tahoma"/>
              <w:szCs w:val="24"/>
              <w:lang w:bidi="en-US"/>
            </w:rPr>
          </w:pPr>
        </w:p>
      </w:sdtContent>
    </w:sdt>
    <w:sdt>
      <w:sdtPr>
        <w:alias w:val="pastraipa"/>
        <w:tag w:val="part_c0d299b78df74d8a9c6ae7a71105d365"/>
        <w:lock w:val="sdtLocked"/>
        <w:richText/>
      </w:sdtPr>
      <w:sdtContent>
        <w:p>
          <w:pPr>
            <w:spacing w:line="276" w:lineRule="auto"/>
            <w:ind w:firstLine="709"/>
            <w:jc w:val="both"/>
            <w:rPr>
              <w:rFonts w:eastAsia="Andale Sans UI" w:cs="Tahoma"/>
              <w:szCs w:val="24"/>
              <w:lang w:bidi="en-US"/>
            </w:rPr>
          </w:pPr>
          <w:r>
            <w:rPr>
              <w:rFonts w:eastAsia="Andale Sans UI" w:cs="Tahoma"/>
              <w:szCs w:val="24"/>
              <w:lang w:bidi="en-US"/>
            </w:rPr>
            <w:t xml:space="preserve">Aplinkos ministerija teikia derinti Lietuvos Respublikos aplinkos ministro įsakymo „Dėl </w:t>
          </w:r>
          <w:r>
            <w:rPr>
              <w:rFonts w:eastAsia="Andale Sans UI" w:cs="Tahoma"/>
              <w:szCs w:val="24"/>
              <w:lang w:eastAsia="ar-SA" w:bidi="en-US"/>
            </w:rPr>
            <w:t>Aplinkosauginių reikalavimų planuojant, statant ir eksploatuojant saulės šviesos energijos elektrines</w:t>
          </w:r>
          <w:r>
            <w:rPr>
              <w:rFonts w:eastAsia="Andale Sans UI" w:cs="Tahoma"/>
              <w:color w:val="000000"/>
              <w:szCs w:val="24"/>
              <w:lang w:bidi="en-US"/>
            </w:rPr>
            <w:t xml:space="preserve"> patvirtinimo</w:t>
          </w:r>
          <w:r>
            <w:rPr>
              <w:rFonts w:eastAsia="Andale Sans UI" w:cs="Tahoma"/>
              <w:szCs w:val="24"/>
              <w:lang w:bidi="en-US"/>
            </w:rPr>
            <w:t>“ projektą (toliau – Įsakymo projektas).</w:t>
          </w:r>
        </w:p>
      </w:sdtContent>
    </w:sdt>
    <w:sdt>
      <w:sdtPr>
        <w:alias w:val="pastraipa"/>
        <w:tag w:val="part_47d836ba72b4441ab77819a44e91349a"/>
        <w:lock w:val="sdtLocked"/>
        <w:richText/>
      </w:sdtPr>
      <w:sdtContent>
        <w:p>
          <w:pPr>
            <w:spacing w:line="276" w:lineRule="auto"/>
            <w:ind w:firstLine="709"/>
            <w:jc w:val="both"/>
            <w:rPr>
              <w:rFonts w:eastAsia="Andale Sans UI" w:cs="Tahoma"/>
              <w:color w:val="000000"/>
              <w:sz w:val="20"/>
              <w:lang w:bidi="en-US"/>
            </w:rPr>
          </w:pPr>
          <w:r>
            <w:rPr>
              <w:rFonts w:eastAsia="Andale Sans UI" w:cs="Tahoma"/>
              <w:szCs w:val="24"/>
              <w:lang w:bidi="en-US"/>
            </w:rPr>
            <w:t>2022 m. liepos 8 d.</w:t>
          </w:r>
          <w:r>
            <w:rPr>
              <w:rFonts w:eastAsia="Andale Sans UI" w:cs="Tahoma"/>
              <w:szCs w:val="24"/>
              <w:lang w:eastAsia="lt-LT" w:bidi="en-US"/>
            </w:rPr>
            <w:t xml:space="preserve"> įsi</w:t>
          </w:r>
          <w:r>
            <w:rPr>
              <w:rFonts w:eastAsia="Andale Sans UI" w:cs="Tahoma"/>
              <w:szCs w:val="24"/>
              <w:lang w:bidi="en-US"/>
            </w:rPr>
            <w:t xml:space="preserve">galiojo Lietuvos Respublikos planuojamos ūkinės veiklos poveikio aplinkai vertinimo įstatymo Nr. I-1495 2, 3, 10, 11 straipsnio, 1 ir 2 priedų pakeitimo įstatymas (toliau – PAV įstatymo pakeitimo įstatymas). Lietuvos Respublikos Vyriausybei ir (ar) jos įgaliotoms institucijoms pavesta iki 2022 m. liepos 7 d. priimti PAV įstatymo pakeitimo įstatymo įgyvendinamuosius teisės aktus. PAV įstatymo pakeitimo įstatymu PAV įstatymas papildomas </w:t>
          </w:r>
          <w:r>
            <w:rPr>
              <w:rFonts w:eastAsia="Andale Sans UI" w:cs="Tahoma"/>
              <w:szCs w:val="24"/>
              <w:lang w:eastAsia="lt-LT" w:bidi="en-US"/>
            </w:rPr>
            <w:t>3 straipsnio 4</w:t>
          </w:r>
          <w:r>
            <w:rPr>
              <w:rFonts w:eastAsia="Andale Sans UI" w:cs="Tahoma"/>
              <w:szCs w:val="24"/>
              <w:vertAlign w:val="superscript"/>
              <w:lang w:eastAsia="lt-LT" w:bidi="en-US"/>
            </w:rPr>
            <w:t>1</w:t>
          </w:r>
          <w:r>
            <w:rPr>
              <w:rFonts w:eastAsia="Andale Sans UI" w:cs="Tahoma"/>
              <w:szCs w:val="24"/>
              <w:lang w:eastAsia="lt-LT" w:bidi="en-US"/>
            </w:rPr>
            <w:t xml:space="preserve"> dalimi</w:t>
          </w:r>
          <w:r>
            <w:rPr>
              <w:rFonts w:eastAsia="Andale Sans UI" w:cs="Tahoma"/>
              <w:szCs w:val="24"/>
              <w:lang w:bidi="en-US"/>
            </w:rPr>
            <w:t xml:space="preserve">, kad </w:t>
          </w:r>
          <w:r>
            <w:rPr>
              <w:rFonts w:eastAsia="Andale Sans UI" w:cs="Tahoma"/>
              <w:i/>
              <w:iCs/>
              <w:color w:val="000000"/>
              <w:szCs w:val="24"/>
              <w:lang w:bidi="en-US"/>
            </w:rPr>
            <w:t>atranka dėl poveikio aplinkai vertinimo ir (ar) poveikio aplinkai vertinimas neatliekami saulės šviesos energijos elektrinių statybai. Saulės šviesos energijos elektrinės planuojamos, statomos ir eksploatuojamos laikantis aplinkos ministro nustatytų aplinkosauginių reikalavimų. Ši išimtis netaikoma, kai poveikio aplinkai vertinimas privalomas pagal šio straipsnio 1 dalies 3 punktą</w:t>
          </w:r>
          <w:r>
            <w:rPr>
              <w:rFonts w:eastAsia="Andale Sans UI" w:cs="Tahoma"/>
              <w:color w:val="000000"/>
              <w:sz w:val="20"/>
              <w:lang w:bidi="en-US"/>
            </w:rPr>
            <w:t>.</w:t>
          </w:r>
        </w:p>
      </w:sdtContent>
    </w:sdt>
    <w:sdt>
      <w:sdtPr>
        <w:alias w:val="pastraipa"/>
        <w:tag w:val="part_d2d9f62b133341aeb7a43203dfc0c269"/>
        <w:lock w:val="sdtLocked"/>
        <w:richText/>
      </w:sdtPr>
      <w:sdtContent>
        <w:p>
          <w:pPr>
            <w:spacing w:line="276" w:lineRule="auto"/>
            <w:ind w:firstLine="709"/>
            <w:jc w:val="both"/>
            <w:rPr>
              <w:rFonts w:eastAsia="Andale Sans UI" w:cs="Tahoma"/>
              <w:szCs w:val="24"/>
              <w:lang w:bidi="en-US"/>
            </w:rPr>
          </w:pPr>
          <w:r>
            <w:rPr>
              <w:rFonts w:eastAsia="Andale Sans UI" w:cs="Tahoma"/>
              <w:szCs w:val="24"/>
              <w:lang w:bidi="en-US"/>
            </w:rPr>
            <w:t xml:space="preserve">Įsakymo projektu siūloma nustatyti aplinkosauginius </w:t>
          </w:r>
          <w:r>
            <w:rPr>
              <w:rFonts w:eastAsia="Andale Sans UI" w:cs="Tahoma"/>
              <w:szCs w:val="24"/>
              <w:lang w:eastAsia="ar-SA" w:bidi="en-US"/>
            </w:rPr>
            <w:t>reikalavimus planuojant, statant ir eksploatuojant saulės šviesos energijos elektrines (toliau – Aplinkosauginiai reikalavimai)</w:t>
          </w:r>
          <w:r>
            <w:rPr>
              <w:rFonts w:eastAsia="Andale Sans UI" w:cs="Tahoma"/>
              <w:szCs w:val="24"/>
              <w:lang w:bidi="en-US"/>
            </w:rPr>
            <w:t>.</w:t>
          </w:r>
        </w:p>
      </w:sdtContent>
    </w:sdt>
    <w:sdt>
      <w:sdtPr>
        <w:alias w:val="pastraipa"/>
        <w:tag w:val="part_c4ed7438acaf462cb4638d342de7a5d9"/>
        <w:lock w:val="sdtLocked"/>
        <w:richText/>
      </w:sdtPr>
      <w:sdtContent>
        <w:p>
          <w:pPr>
            <w:spacing w:line="276" w:lineRule="auto"/>
            <w:ind w:firstLine="709"/>
            <w:jc w:val="both"/>
            <w:rPr>
              <w:rFonts w:eastAsia="Andale Sans UI" w:cs="Tahoma"/>
              <w:color w:val="000000"/>
              <w:szCs w:val="24"/>
              <w:lang w:bidi="en-US"/>
            </w:rPr>
          </w:pPr>
          <w:r>
            <w:rPr>
              <w:rFonts w:eastAsia="Andale Sans UI" w:cs="Tahoma"/>
              <w:szCs w:val="24"/>
              <w:lang w:bidi="en-US"/>
            </w:rPr>
            <w:t xml:space="preserve">Siūloma nustatyti, kad Aplinkosauginiai reikalavimai taikomi tik </w:t>
          </w:r>
          <w:r>
            <w:rPr>
              <w:rFonts w:eastAsia="Andale Sans UI" w:cs="Tahoma"/>
              <w:szCs w:val="24"/>
              <w:lang w:eastAsia="ar-SA" w:bidi="en-US"/>
            </w:rPr>
            <w:t>s</w:t>
          </w:r>
          <w:r>
            <w:rPr>
              <w:rFonts w:eastAsia="Andale Sans UI" w:cs="Tahoma"/>
              <w:color w:val="000000"/>
              <w:szCs w:val="24"/>
              <w:lang w:bidi="en-US"/>
            </w:rPr>
            <w:t xml:space="preserve">aulės šviesos energijos elektrinėms, kurių įrengtoji galia viršija 100 kW, netaikomi – įrengus ar įrengiant </w:t>
          </w:r>
          <w:r>
            <w:rPr>
              <w:rFonts w:eastAsia="Andale Sans UI" w:cs="Tahoma"/>
              <w:szCs w:val="24"/>
              <w:lang w:eastAsia="ar-SA" w:bidi="en-US"/>
            </w:rPr>
            <w:t>s</w:t>
          </w:r>
          <w:r>
            <w:rPr>
              <w:rFonts w:eastAsia="Andale Sans UI" w:cs="Tahoma"/>
              <w:color w:val="000000"/>
              <w:szCs w:val="24"/>
              <w:lang w:bidi="en-US"/>
            </w:rPr>
            <w:t>aulės šviesos energijos elektrines ant gyvenamosios ir negyvenamosios paskirties pastatų ar statinių stogų.</w:t>
          </w:r>
        </w:p>
      </w:sdtContent>
    </w:sdt>
    <w:sdt>
      <w:sdtPr>
        <w:alias w:val="pastraipa"/>
        <w:tag w:val="part_940d94d85a604ebf8dbeb066ac13973c"/>
        <w:lock w:val="sdtLocked"/>
        <w:richText/>
      </w:sdtPr>
      <w:sdtContent>
        <w:p>
          <w:pPr>
            <w:spacing w:line="276" w:lineRule="auto"/>
            <w:ind w:firstLine="709"/>
            <w:jc w:val="both"/>
            <w:rPr>
              <w:rFonts w:eastAsia="Andale Sans UI" w:cs="Tahoma"/>
              <w:color w:val="000000"/>
              <w:szCs w:val="24"/>
              <w:lang w:bidi="en-US"/>
            </w:rPr>
          </w:pPr>
          <w:r>
            <w:rPr>
              <w:rFonts w:eastAsia="Andale Sans UI" w:cs="Tahoma"/>
              <w:color w:val="000000"/>
              <w:szCs w:val="24"/>
              <w:lang w:bidi="en-US"/>
            </w:rPr>
            <w:t>Aplinkosauginiais reikalavimais nustatomi:</w:t>
          </w:r>
        </w:p>
      </w:sdtContent>
    </w:sdt>
    <w:sdt>
      <w:sdtPr>
        <w:alias w:val="pastraipa"/>
        <w:tag w:val="part_efe41a0d59fa45a08f6c8827e0b76b46"/>
        <w:lock w:val="sdtLocked"/>
        <w:richText/>
      </w:sdtPr>
      <w:sdtContent>
        <w:p>
          <w:pPr>
            <w:spacing w:line="276" w:lineRule="auto"/>
            <w:ind w:firstLine="709"/>
            <w:jc w:val="both"/>
            <w:rPr>
              <w:rFonts w:eastAsia="Andale Sans UI" w:cs="Tahoma"/>
              <w:color w:val="000000"/>
              <w:szCs w:val="24"/>
              <w:lang w:bidi="en-US"/>
            </w:rPr>
          </w:pPr>
          <w:r>
            <w:rPr>
              <w:rFonts w:eastAsia="Andale Sans UI" w:cs="Tahoma"/>
              <w:color w:val="000000"/>
              <w:szCs w:val="24"/>
              <w:lang w:bidi="en-US"/>
            </w:rPr>
            <w:t>- saulės šviesos elektrinių planavimo, t. y. įrengimo ir (ar) statybos vietos pasirinkimo, prioritetai;</w:t>
          </w:r>
        </w:p>
      </w:sdtContent>
    </w:sdt>
    <w:sdt>
      <w:sdtPr>
        <w:alias w:val="pastraipa"/>
        <w:tag w:val="part_9a86c44d061f4f8dbfbca5f005ae936e"/>
        <w:lock w:val="sdtLocked"/>
        <w:richText/>
      </w:sdtPr>
      <w:sdtContent>
        <w:p>
          <w:pPr>
            <w:spacing w:line="276" w:lineRule="auto"/>
            <w:ind w:firstLine="709"/>
            <w:jc w:val="both"/>
            <w:rPr>
              <w:rFonts w:eastAsia="Andale Sans UI" w:cs="Tahoma"/>
              <w:color w:val="000000"/>
              <w:szCs w:val="24"/>
              <w:lang w:bidi="en-US"/>
            </w:rPr>
          </w:pPr>
          <w:r>
            <w:rPr>
              <w:rFonts w:eastAsia="Andale Sans UI" w:cs="Tahoma"/>
              <w:color w:val="000000"/>
              <w:szCs w:val="24"/>
              <w:lang w:bidi="en-US"/>
            </w:rPr>
            <w:t>- energijos gamybos ir kitų veiklų derinimo principai;</w:t>
          </w:r>
        </w:p>
      </w:sdtContent>
    </w:sdt>
    <w:sdt>
      <w:sdtPr>
        <w:alias w:val="pastraipa"/>
        <w:tag w:val="part_a1b4fb90bc674feca7b7bf38b681c021"/>
        <w:lock w:val="sdtLocked"/>
        <w:richText/>
      </w:sdtPr>
      <w:sdtContent>
        <w:p>
          <w:pPr>
            <w:spacing w:line="276" w:lineRule="auto"/>
            <w:ind w:firstLine="709"/>
            <w:jc w:val="both"/>
            <w:rPr>
              <w:rFonts w:eastAsia="Andale Sans UI" w:cs="Tahoma"/>
              <w:color w:val="000000"/>
              <w:szCs w:val="24"/>
              <w:lang w:bidi="en-US"/>
            </w:rPr>
          </w:pPr>
          <w:r>
            <w:rPr>
              <w:rFonts w:eastAsia="Andale Sans UI" w:cs="Tahoma"/>
              <w:color w:val="000000"/>
              <w:szCs w:val="24"/>
              <w:lang w:bidi="en-US"/>
            </w:rPr>
            <w:t>- galimo neigiamo poveikio kraštovaizdžiui, biologinei įvairovei, žemės naudojimui, vandeniui ir orui mažinimo reikalavimai;</w:t>
          </w:r>
        </w:p>
      </w:sdtContent>
    </w:sdt>
    <w:sdt>
      <w:sdtPr>
        <w:alias w:val="pastraipa"/>
        <w:tag w:val="part_109ae19f250e4579af1dc1bfe2b19eaa"/>
        <w:lock w:val="sdtLocked"/>
        <w:richText/>
      </w:sdtPr>
      <w:sdtContent>
        <w:p>
          <w:pPr>
            <w:spacing w:line="276" w:lineRule="auto"/>
            <w:ind w:firstLine="709"/>
            <w:jc w:val="both"/>
            <w:rPr>
              <w:rFonts w:eastAsia="Andale Sans UI" w:cs="Tahoma"/>
              <w:color w:val="000000"/>
              <w:szCs w:val="24"/>
              <w:lang w:bidi="en-US"/>
            </w:rPr>
          </w:pPr>
          <w:r>
            <w:rPr>
              <w:rFonts w:eastAsia="Andale Sans UI" w:cs="Tahoma"/>
              <w:color w:val="000000"/>
              <w:szCs w:val="24"/>
              <w:lang w:bidi="en-US"/>
            </w:rPr>
            <w:t>- darbų atlikimo statant elektrines reikalavimai, leisiantys sumažinti intervenciją į aplinką.</w:t>
          </w:r>
        </w:p>
      </w:sdtContent>
    </w:sdt>
    <w:sdt>
      <w:sdtPr>
        <w:alias w:val="pastraipa"/>
        <w:tag w:val="part_0079809e27b14ee99549b3751b6ddeb3"/>
        <w:lock w:val="sdtLocked"/>
        <w:richText/>
      </w:sdtPr>
      <w:sdtContent>
        <w:p>
          <w:pPr>
            <w:spacing w:line="276" w:lineRule="auto"/>
            <w:ind w:firstLine="709"/>
            <w:jc w:val="both"/>
            <w:textAlignment w:val="center"/>
            <w:rPr>
              <w:szCs w:val="24"/>
              <w:lang w:bidi="en-US"/>
            </w:rPr>
          </w:pPr>
          <w:r>
            <w:rPr>
              <w:szCs w:val="24"/>
              <w:lang w:bidi="en-US"/>
            </w:rPr>
            <w:t xml:space="preserve">Įsakymo projektas neprieštarauja Vyriausybės programai. </w:t>
          </w:r>
        </w:p>
      </w:sdtContent>
    </w:sdt>
    <w:sdt>
      <w:sdtPr>
        <w:alias w:val="pastraipa"/>
        <w:tag w:val="part_ea279fb095b94950bfc46b04b11f5d5f"/>
        <w:lock w:val="sdtLocked"/>
        <w:richText/>
      </w:sdtPr>
      <w:sdtContent>
        <w:p>
          <w:pPr>
            <w:spacing w:line="276" w:lineRule="auto"/>
            <w:ind w:firstLine="709"/>
            <w:jc w:val="both"/>
            <w:textAlignment w:val="center"/>
            <w:rPr>
              <w:szCs w:val="24"/>
              <w:lang w:bidi="en-US"/>
            </w:rPr>
          </w:pPr>
          <w:r>
            <w:rPr>
              <w:szCs w:val="24"/>
              <w:lang w:bidi="en-US"/>
            </w:rPr>
            <w:t xml:space="preserve">Įsakymo projektas neperkelia ir neįgyvendina Europos Sąjungos teisės aktų nuostatų. </w:t>
          </w:r>
        </w:p>
      </w:sdtContent>
    </w:sdt>
    <w:sdt>
      <w:sdtPr>
        <w:alias w:val="pastraipa"/>
        <w:tag w:val="part_353a7460cb884eeb96c161e63f859193"/>
        <w:lock w:val="sdtLocked"/>
        <w:richText/>
      </w:sdtPr>
      <w:sdtContent>
        <w:p>
          <w:pPr>
            <w:spacing w:line="276" w:lineRule="auto"/>
            <w:ind w:firstLine="709"/>
            <w:jc w:val="both"/>
            <w:textAlignment w:val="center"/>
            <w:rPr>
              <w:rFonts w:eastAsia="Andale Sans UI" w:cs="Tahoma"/>
              <w:szCs w:val="24"/>
              <w:lang w:bidi="en-US"/>
            </w:rPr>
          </w:pPr>
          <w:r>
            <w:rPr>
              <w:szCs w:val="24"/>
              <w:lang w:bidi="en-US"/>
            </w:rPr>
            <w:t>Įsakymo projektui įgyvendinti papildomų valstybės biudžeto lėšų nereikės.</w:t>
          </w:r>
        </w:p>
      </w:sdtContent>
    </w:sdt>
    <w:sdt>
      <w:sdtPr>
        <w:alias w:val="pastraipa"/>
        <w:tag w:val="part_3e6f232242f941dc8367a2dffac7a688"/>
        <w:lock w:val="sdtLocked"/>
        <w:richText/>
      </w:sdtPr>
      <w:sdtContent>
        <w:p>
          <w:pPr>
            <w:spacing w:line="276" w:lineRule="auto"/>
            <w:ind w:firstLine="709"/>
            <w:jc w:val="both"/>
            <w:textAlignment w:val="center"/>
            <w:rPr>
              <w:rFonts w:eastAsia="Andale Sans UI" w:cs="Tahoma"/>
              <w:szCs w:val="24"/>
              <w:lang w:bidi="en-US"/>
            </w:rPr>
          </w:pPr>
          <w:r>
            <w:rPr>
              <w:szCs w:val="24"/>
              <w:lang w:bidi="en-US"/>
            </w:rPr>
            <w:t>Įsakymų projektas parengtas laikantis Lietuvos Respublikos valstybinės kalbos, Lietuvos Respublikos teisėkūros pagrindų įstatymų reikalavimų ir atitinka bendrinės lietuvių kalbos normas.</w:t>
          </w:r>
        </w:p>
      </w:sdtContent>
    </w:sdt>
    <w:sdt>
      <w:sdtPr>
        <w:alias w:val="pastraipa"/>
        <w:tag w:val="part_b5a3a001cf5046f397d4f61244fd07fe"/>
        <w:lock w:val="sdtLocked"/>
        <w:richText/>
      </w:sdtPr>
      <w:sdtContent>
        <w:p>
          <w:pPr>
            <w:spacing w:line="276" w:lineRule="auto"/>
            <w:ind w:firstLine="709"/>
            <w:jc w:val="both"/>
            <w:textAlignment w:val="center"/>
            <w:rPr>
              <w:rFonts w:eastAsia="Andale Sans UI" w:cs="Tahoma"/>
              <w:szCs w:val="24"/>
              <w:lang w:bidi="en-US"/>
            </w:rPr>
          </w:pPr>
          <w:r>
            <w:rPr>
              <w:szCs w:val="24"/>
              <w:lang w:bidi="en-US"/>
            </w:rPr>
            <w:t xml:space="preserve">Įsakymo projektas nenotifikuotinas Europos Komisijai pagal Lietuvos Respublikos Vyriausybės 1999 m. gegužės 20 d. nutarimo Nr. 617 „Dėl Informacijos apie techninius reglamentus ir atitikties įvertinimo procedūras teikimo taisyklių patvirtinimo“ reikalavimus. </w:t>
          </w:r>
        </w:p>
      </w:sdtContent>
    </w:sdt>
    <w:sdt>
      <w:sdtPr>
        <w:alias w:val="pastraipa"/>
        <w:tag w:val="part_71b13650d81344b2b29adae1a8efedee"/>
        <w:lock w:val="sdtLocked"/>
        <w:richText/>
      </w:sdtPr>
      <w:sdtContent>
        <w:p>
          <w:pPr>
            <w:spacing w:line="276" w:lineRule="auto"/>
            <w:ind w:firstLine="709"/>
            <w:jc w:val="both"/>
            <w:textAlignment w:val="center"/>
            <w:rPr>
              <w:rFonts w:eastAsia="Andale Sans UI" w:cs="Tahoma"/>
              <w:szCs w:val="24"/>
              <w:lang w:bidi="en-US"/>
            </w:rPr>
          </w:pPr>
          <w:r>
            <w:rPr>
              <w:szCs w:val="24"/>
              <w:lang w:bidi="en-US"/>
            </w:rPr>
            <w:t>Įsakymų projekte nėra naujai apibrėžiamų sąvokų.</w:t>
          </w:r>
        </w:p>
      </w:sdtContent>
    </w:sdt>
    <w:sdt>
      <w:sdtPr>
        <w:alias w:val="pastraipa"/>
        <w:tag w:val="part_d11a2e76ec7a4fbf97323fb2de7ca8c5"/>
        <w:lock w:val="sdtLocked"/>
        <w:richText/>
      </w:sdtPr>
      <w:sdtContent>
        <w:p>
          <w:pPr>
            <w:spacing w:line="276" w:lineRule="auto"/>
            <w:ind w:firstLine="709"/>
            <w:jc w:val="both"/>
            <w:rPr>
              <w:szCs w:val="24"/>
              <w:lang w:bidi="en-US"/>
            </w:rPr>
          </w:pPr>
          <w:r>
            <w:rPr>
              <w:szCs w:val="24"/>
              <w:lang w:bidi="en-US"/>
            </w:rPr>
            <w:t>Įsakymo projektą įtraukiant į teisės sistemą kitų teisės aktų priimti nereikės.</w:t>
          </w:r>
        </w:p>
      </w:sdtContent>
    </w:sdt>
    <w:sdt>
      <w:sdtPr>
        <w:alias w:val="pastraipa"/>
        <w:tag w:val="part_b3e10ba621a34d81a4355833e8a9b962"/>
        <w:lock w:val="sdtLocked"/>
        <w:richText/>
      </w:sdtPr>
      <w:sdtContent>
        <w:p>
          <w:pPr>
            <w:spacing w:line="276" w:lineRule="auto"/>
            <w:ind w:firstLine="709"/>
            <w:jc w:val="both"/>
            <w:textAlignment w:val="center"/>
            <w:rPr>
              <w:rFonts w:eastAsia="Andale Sans UI" w:cs="Tahoma"/>
              <w:szCs w:val="24"/>
              <w:lang w:bidi="en-US"/>
            </w:rPr>
          </w:pPr>
          <w:r>
            <w:rPr>
              <w:szCs w:val="24"/>
              <w:lang w:bidi="en-US"/>
            </w:rPr>
            <w:t>Įsakymo projektas skelbiamas Lietuvos Respublikos Seimo kanceliarijos teisės aktų informacinėje sistemoje (TAIS), kur su Įsakymo projektu gali susipažinti suinteresuotos institucijos, suinteresuoti asmenys ir visuomenė. Kitų konsultavimosi su visuomene būdų nenumatyta.</w:t>
          </w:r>
        </w:p>
      </w:sdtContent>
    </w:sdt>
    <w:sdt>
      <w:sdtPr>
        <w:alias w:val="pastraipa"/>
        <w:tag w:val="part_3311c33861ae41ed8fec039487eb278a"/>
        <w:lock w:val="sdtLocked"/>
        <w:richText/>
      </w:sdtPr>
      <w:sdtContent>
        <w:p>
          <w:pPr>
            <w:spacing w:line="276" w:lineRule="auto"/>
            <w:ind w:firstLine="709"/>
            <w:jc w:val="both"/>
            <w:rPr>
              <w:rFonts w:eastAsia="Andale Sans UI" w:cs="Tahoma"/>
              <w:szCs w:val="24"/>
              <w:lang w:bidi="en-US"/>
            </w:rPr>
          </w:pPr>
          <w:r>
            <w:rPr>
              <w:rFonts w:eastAsia="Andale Sans UI" w:cs="Tahoma"/>
              <w:szCs w:val="24"/>
              <w:lang w:bidi="en-US"/>
            </w:rPr>
            <w:t xml:space="preserve">Prašome išvadas dėl Įsakymo projekto pateikti </w:t>
          </w:r>
          <w:r>
            <w:rPr>
              <w:rFonts w:eastAsia="Andale Sans UI" w:cs="Tahoma"/>
              <w:b/>
              <w:szCs w:val="24"/>
              <w:lang w:bidi="en-US"/>
            </w:rPr>
            <w:t xml:space="preserve">per 10 darbo dienų </w:t>
          </w:r>
          <w:r>
            <w:rPr>
              <w:rFonts w:eastAsia="Andale Sans UI" w:cs="Tahoma"/>
              <w:szCs w:val="24"/>
              <w:lang w:bidi="en-US"/>
            </w:rPr>
            <w:t>nuo jo paskelbimo TAIS. Negavus argumentuotų pastabų ir pasiūlymų iki nurodyto laiko, bus laikoma, kad Įsakymo projektui pritarta.</w:t>
          </w:r>
        </w:p>
      </w:sdtContent>
    </w:sdt>
    <w:sdt>
      <w:sdtPr>
        <w:alias w:val="pastraipa"/>
        <w:tag w:val="part_b8b4e13782264b22bfe40f17e91cc730"/>
        <w:lock w:val="sdtLocked"/>
        <w:richText/>
      </w:sdtPr>
      <w:sdtContent>
        <w:p>
          <w:pPr>
            <w:spacing w:line="276" w:lineRule="auto"/>
            <w:ind w:firstLine="709"/>
            <w:jc w:val="both"/>
            <w:rPr>
              <w:rFonts w:eastAsia="Andale Sans UI" w:cs="Tahoma"/>
              <w:szCs w:val="24"/>
              <w:lang w:bidi="en-US"/>
            </w:rPr>
          </w:pPr>
          <w:r>
            <w:rPr>
              <w:rFonts w:eastAsia="Andale Sans UI" w:cs="Tahoma"/>
              <w:szCs w:val="24"/>
              <w:lang w:bidi="en-US"/>
            </w:rPr>
            <w:t xml:space="preserve">Įsakymo projektą parengė Aplinkos ministerijos Taršos prevencijos politikos grupės (vadovas Vitalijus Auglys, el. p. vitalijus.auglys@am.lt) vyresnioji patarėja Beata Vilimaitė Šilobritienė (tel. +370 645 89487, el. p. </w:t>
          </w:r>
          <w:r>
            <w:rPr>
              <w:rFonts w:eastAsia="Andale Sans UI"/>
              <w:color w:val="000080"/>
              <w:szCs w:val="24"/>
              <w:u w:val="single"/>
              <w:lang w:bidi="en-US"/>
            </w:rPr>
            <w:t>beata.silobritiene@am.lt</w:t>
          </w:r>
          <w:r>
            <w:rPr>
              <w:rFonts w:eastAsia="Andale Sans UI" w:cs="Tahoma"/>
              <w:szCs w:val="24"/>
              <w:lang w:bidi="en-US"/>
            </w:rPr>
            <w:t>), vyriausiasis specialistas Mindaugas Raulinaitis (tel. +370 695 41925, el. p. mindaugas.raulinaitis</w:t>
          </w:r>
          <w:r>
            <w:rPr>
              <w:rFonts w:eastAsia="Andale Sans UI" w:cs="Tahoma"/>
              <w:szCs w:val="24"/>
              <w:lang w:val="en-US" w:bidi="en-US"/>
            </w:rPr>
            <w:t>@am.lt</w:t>
          </w:r>
          <w:r>
            <w:rPr>
              <w:rFonts w:eastAsia="Andale Sans UI" w:cs="Tahoma"/>
              <w:szCs w:val="24"/>
              <w:lang w:bidi="en-US"/>
            </w:rPr>
            <w:t xml:space="preserve">). </w:t>
          </w:r>
        </w:p>
      </w:sdtContent>
    </w:sdt>
    <w:sdt>
      <w:sdtPr>
        <w:alias w:val="pastraipa"/>
        <w:tag w:val="part_2eb7826c16f94ab7a4ec7892e27afd7d"/>
        <w:lock w:val="sdtLocked"/>
        <w:richText/>
      </w:sdtPr>
      <w:sdtContent>
        <w:p>
          <w:pPr>
            <w:spacing w:line="276" w:lineRule="auto"/>
            <w:ind w:firstLine="567"/>
            <w:jc w:val="both"/>
            <w:rPr>
              <w:rFonts w:eastAsia="Andale Sans UI" w:cs="Tahoma"/>
              <w:szCs w:val="24"/>
              <w:lang w:bidi="en-US"/>
            </w:rPr>
          </w:pPr>
          <w:r>
            <w:rPr>
              <w:rFonts w:eastAsia="Andale Sans UI" w:cs="Tahoma"/>
              <w:szCs w:val="24"/>
              <w:lang w:bidi="en-US"/>
            </w:rPr>
            <w:t>PRIDEDAMA:</w:t>
          </w:r>
        </w:p>
        <w:sdt>
          <w:sdtPr>
            <w:alias w:val="1 p."/>
            <w:tag w:val="part_431cb3a5cee8493ba649a4cab1045f96"/>
            <w:lock w:val="sdtLocked"/>
            <w:richText/>
          </w:sdtPr>
          <w:sdtContent>
            <w:p>
              <w:pPr>
                <w:spacing w:line="276" w:lineRule="auto"/>
                <w:ind w:firstLine="567"/>
                <w:jc w:val="both"/>
                <w:rPr>
                  <w:rFonts w:eastAsia="Andale Sans UI" w:cs="Tahoma"/>
                  <w:szCs w:val="24"/>
                  <w:lang w:bidi="en-US"/>
                </w:rPr>
              </w:pPr>
              <w:sdt>
                <w:sdtPr>
                  <w:alias w:val="Numeris"/>
                  <w:tag w:val="nr_431cb3a5cee8493ba649a4cab1045f96"/>
                  <w:lock w:val="sdtLocked"/>
                  <w:richText/>
                </w:sdtPr>
                <w:sdtContent>
                  <w:r>
                    <w:rPr>
                      <w:rFonts w:eastAsia="Andale Sans UI" w:cs="Tahoma"/>
                      <w:szCs w:val="24"/>
                      <w:lang w:bidi="en-US"/>
                    </w:rPr>
                    <w:t>1</w:t>
                  </w:r>
                </w:sdtContent>
              </w:sdt>
              <w:r>
                <w:rPr>
                  <w:rFonts w:eastAsia="Andale Sans UI" w:cs="Tahoma"/>
                  <w:szCs w:val="24"/>
                  <w:lang w:bidi="en-US"/>
                </w:rPr>
                <w:t>. Įsakymo projektas, 5 lapai.</w:t>
              </w:r>
            </w:p>
          </w:sdtContent>
        </w:sdt>
        <w:sdt>
          <w:sdtPr>
            <w:alias w:val="2 p."/>
            <w:tag w:val="part_46680e1a3fd3455d9e769b791a54a6ad"/>
            <w:lock w:val="sdtLocked"/>
            <w:richText/>
          </w:sdtPr>
          <w:sdtContent>
            <w:p>
              <w:pPr>
                <w:spacing w:line="276" w:lineRule="auto"/>
                <w:ind w:firstLine="567"/>
                <w:jc w:val="both"/>
                <w:rPr>
                  <w:rFonts w:eastAsia="Andale Sans UI" w:cs="Tahoma"/>
                  <w:bCs/>
                  <w:szCs w:val="24"/>
                  <w:lang w:bidi="en-US"/>
                </w:rPr>
              </w:pPr>
              <w:sdt>
                <w:sdtPr>
                  <w:alias w:val="Numeris"/>
                  <w:tag w:val="nr_46680e1a3fd3455d9e769b791a54a6ad"/>
                  <w:lock w:val="sdtLocked"/>
                  <w:richText/>
                </w:sdtPr>
                <w:sdtContent>
                  <w:r>
                    <w:rPr>
                      <w:rFonts w:eastAsia="Andale Sans UI" w:cs="Tahoma"/>
                      <w:szCs w:val="24"/>
                      <w:lang w:bidi="en-US"/>
                    </w:rPr>
                    <w:t>2</w:t>
                  </w:r>
                </w:sdtContent>
              </w:sdt>
              <w:r>
                <w:rPr>
                  <w:rFonts w:eastAsia="Andale Sans UI" w:cs="Tahoma"/>
                  <w:szCs w:val="24"/>
                  <w:lang w:bidi="en-US"/>
                </w:rPr>
                <w:t>.</w:t>
              </w:r>
              <w:r>
                <w:rPr>
                  <w:rFonts w:eastAsia="Andale Sans UI" w:cs="Tahoma"/>
                  <w:bCs/>
                  <w:szCs w:val="24"/>
                  <w:lang w:bidi="en-US"/>
                </w:rPr>
                <w:t xml:space="preserve"> Poveikio vertinimo pažyma, 2 lapai.</w:t>
              </w:r>
            </w:p>
          </w:sdtContent>
        </w:sdt>
        <w:sdt>
          <w:sdtPr>
            <w:alias w:val="3 p."/>
            <w:tag w:val="part_f8e67d1d86f64e098f3c41c6caa175a7"/>
            <w:lock w:val="sdtLocked"/>
            <w:richText/>
          </w:sdtPr>
          <w:sdtContent>
            <w:p>
              <w:pPr>
                <w:spacing w:line="276" w:lineRule="auto"/>
                <w:ind w:firstLine="567"/>
                <w:jc w:val="both"/>
                <w:rPr>
                  <w:rFonts w:eastAsia="Andale Sans UI" w:cs="Tahoma"/>
                  <w:bCs/>
                  <w:szCs w:val="24"/>
                  <w:lang w:bidi="en-US"/>
                </w:rPr>
              </w:pPr>
              <w:sdt>
                <w:sdtPr>
                  <w:alias w:val="Numeris"/>
                  <w:tag w:val="nr_f8e67d1d86f64e098f3c41c6caa175a7"/>
                  <w:lock w:val="sdtLocked"/>
                  <w:richText/>
                </w:sdtPr>
                <w:sdtContent>
                  <w:r>
                    <w:rPr>
                      <w:rFonts w:eastAsia="Andale Sans UI" w:cs="Tahoma"/>
                      <w:bCs/>
                      <w:szCs w:val="24"/>
                      <w:lang w:bidi="en-US"/>
                    </w:rPr>
                    <w:t>3</w:t>
                  </w:r>
                </w:sdtContent>
              </w:sdt>
              <w:r>
                <w:rPr>
                  <w:rFonts w:eastAsia="Andale Sans UI" w:cs="Tahoma"/>
                  <w:bCs/>
                  <w:szCs w:val="24"/>
                  <w:lang w:bidi="en-US"/>
                </w:rPr>
                <w:t>. Antikorupcinio vertinimo pažyma, 6 lapai.</w:t>
              </w:r>
            </w:p>
            <w:p>
              <w:pPr>
                <w:spacing w:line="276" w:lineRule="auto"/>
                <w:ind w:firstLine="567"/>
                <w:jc w:val="both"/>
                <w:rPr>
                  <w:rFonts w:eastAsia="Andale Sans UI" w:cs="Tahoma"/>
                  <w:bCs/>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tbl>
              <w:tblPr>
                <w:tblW w:w="0" w:type="auto"/>
                <w:tblInd w:w="8" w:type="dxa"/>
                <w:tblLayout w:type="fixed"/>
                <w:tblCellMar>
                  <w:left w:w="0" w:type="dxa"/>
                  <w:right w:w="0" w:type="dxa"/>
                </w:tblCellMar>
                <w:tblLook w:val="04A0" w:firstRow="1" w:lastRow="0" w:firstColumn="1" w:lastColumn="0" w:noHBand="0" w:noVBand="1"/>
              </w:tblPr>
              <w:tblGrid>
                <w:gridCol w:w="4817"/>
                <w:gridCol w:w="4826"/>
              </w:tblGrid>
              <w:tr>
                <w:trPr>
                  <w:trHeight w:val="340"/>
                </w:trPr>
                <w:tc>
                  <w:tcPr>
                    <w:tcW w:w="4817" w:type="dxa"/>
                    <w:vAlign w:val="bottom"/>
                  </w:tcPr>
                  <w:p>
                    <w:pPr>
                      <w:suppressLineNumbers/>
                      <w:jc w:val="both"/>
                      <w:rPr>
                        <w:rFonts w:eastAsia="Andale Sans UI" w:cs="Tahoma"/>
                        <w:szCs w:val="24"/>
                        <w:lang w:bidi="en-US"/>
                      </w:rPr>
                    </w:pPr>
                  </w:p>
                </w:tc>
                <w:tc>
                  <w:tcPr>
                    <w:tcW w:w="4826" w:type="dxa"/>
                    <w:vAlign w:val="bottom"/>
                  </w:tcPr>
                  <w:p>
                    <w:pPr>
                      <w:ind w:right="34"/>
                      <w:jc w:val="right"/>
                      <w:rPr>
                        <w:rFonts w:eastAsia="Andale Sans UI" w:cs="Tahoma"/>
                        <w:szCs w:val="24"/>
                        <w:lang w:bidi="en-US"/>
                      </w:rPr>
                    </w:pPr>
                  </w:p>
                </w:tc>
              </w:tr>
            </w:tbl>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p>
            <w:p>
              <w:pPr>
                <w:jc w:val="both"/>
                <w:rPr>
                  <w:rFonts w:eastAsia="Andale Sans UI"/>
                  <w:szCs w:val="24"/>
                  <w:lang w:bidi="en-US"/>
                </w:rPr>
              </w:pPr>
              <w:r>
                <w:rPr>
                  <w:rFonts w:eastAsia="Andale Sans UI"/>
                  <w:szCs w:val="24"/>
                  <w:lang w:bidi="en-US"/>
                </w:rPr>
                <w:t xml:space="preserve">M. Raulinaitis, +370 </w:t>
              </w:r>
              <w:r>
                <w:rPr>
                  <w:rFonts w:eastAsia="Andale Sans UI" w:cs="Tahoma"/>
                  <w:szCs w:val="24"/>
                  <w:lang w:bidi="en-US"/>
                </w:rPr>
                <w:t>695 41925, el. p. mindaugas.raulinaitis</w:t>
              </w:r>
              <w:r>
                <w:rPr>
                  <w:rFonts w:eastAsia="Andale Sans UI" w:cs="Tahoma"/>
                  <w:szCs w:val="24"/>
                  <w:lang w:val="en-US" w:bidi="en-US"/>
                </w:rPr>
                <w:t>@am.lt</w:t>
              </w:r>
            </w:p>
            <w:p>
              <w:pPr>
                <w:jc w:val="both"/>
                <w:rPr>
                  <w:rFonts w:eastAsia="Andale Sans UI"/>
                  <w:szCs w:val="24"/>
                  <w:lang w:bidi="en-US"/>
                </w:rPr>
              </w:pPr>
              <w:r>
                <w:rPr>
                  <w:rFonts w:eastAsia="Andale Sans UI" w:cs="Tahoma"/>
                  <w:szCs w:val="24"/>
                  <w:lang w:bidi="en-US"/>
                </w:rPr>
                <w:t xml:space="preserve">B. Vilimaitė Šilobritienė, +370 </w:t>
              </w:r>
              <w:r>
                <w:rPr>
                  <w:rFonts w:eastAsia="Andale Sans UI"/>
                  <w:szCs w:val="24"/>
                  <w:lang w:bidi="en-US"/>
                </w:rPr>
                <w:t>645 89 487</w:t>
              </w:r>
              <w:r>
                <w:rPr>
                  <w:rFonts w:eastAsia="Andale Sans UI" w:cs="Tahoma"/>
                  <w:szCs w:val="24"/>
                  <w:lang w:bidi="en-US"/>
                </w:rPr>
                <w:t xml:space="preserve">, el. p. </w:t>
              </w:r>
              <w:r>
                <w:rPr>
                  <w:rFonts w:eastAsia="Andale Sans UI" w:cs="Tahoma"/>
                  <w:color w:val="000080"/>
                  <w:szCs w:val="24"/>
                  <w:u w:val="single"/>
                  <w:lang w:bidi="en-US"/>
                </w:rPr>
                <w:t>beata.silobritiene@am.lt</w:t>
              </w:r>
            </w:p>
            <w:p>
              <w:pPr>
                <w:jc w:val="both"/>
                <w:rPr>
                  <w:rFonts w:eastAsia="Andale Sans UI"/>
                  <w:szCs w:val="24"/>
                  <w:lang w:bidi="en-US"/>
                </w:rPr>
              </w:pPr>
              <w:r>
                <w:rPr>
                  <w:rFonts w:eastAsia="Andale Sans UI"/>
                  <w:szCs w:val="24"/>
                  <w:lang w:bidi="en-US"/>
                </w:rPr>
                <w:br w:type="page"/>
              </w:r>
            </w:p>
            <w:p>
              <w:pPr>
                <w:suppressLineNumbers/>
                <w:jc w:val="both"/>
                <w:rPr>
                  <w:rFonts w:eastAsia="Andale Sans UI" w:cs="Tahoma"/>
                  <w:b/>
                  <w:bCs/>
                  <w:szCs w:val="24"/>
                  <w:lang w:bidi="en-US"/>
                </w:rPr>
              </w:pPr>
              <w:r>
                <w:rPr>
                  <w:rFonts w:eastAsia="Andale Sans UI" w:cs="Tahoma"/>
                  <w:b/>
                  <w:bCs/>
                  <w:szCs w:val="24"/>
                  <w:lang w:bidi="en-US"/>
                </w:rPr>
                <w:t>Adresatų sąrašas:</w:t>
              </w:r>
            </w:p>
            <w:p>
              <w:pPr>
                <w:suppressLineNumbers/>
                <w:jc w:val="both"/>
                <w:rPr>
                  <w:rFonts w:eastAsia="Andale Sans UI" w:cs="Tahoma"/>
                  <w:szCs w:val="24"/>
                  <w:lang w:bidi="en-US"/>
                </w:rPr>
              </w:pPr>
            </w:p>
            <w:p>
              <w:pPr>
                <w:suppressLineNumbers/>
                <w:jc w:val="both"/>
                <w:rPr>
                  <w:rFonts w:eastAsia="Andale Sans UI" w:cs="Tahoma"/>
                  <w:szCs w:val="24"/>
                  <w:lang w:bidi="en-US"/>
                </w:rPr>
              </w:pPr>
              <w:r>
                <w:rPr>
                  <w:rFonts w:eastAsia="Andale Sans UI" w:cs="Tahoma"/>
                  <w:szCs w:val="24"/>
                  <w:lang w:bidi="en-US"/>
                </w:rPr>
                <w:t xml:space="preserve">Energetikos ministerijai </w:t>
              </w:r>
            </w:p>
            <w:p>
              <w:pPr>
                <w:suppressLineNumbers/>
                <w:jc w:val="both"/>
                <w:rPr>
                  <w:rFonts w:eastAsia="Andale Sans UI" w:cs="Tahoma"/>
                  <w:szCs w:val="24"/>
                  <w:lang w:bidi="en-US"/>
                </w:rPr>
              </w:pPr>
              <w:r>
                <w:rPr>
                  <w:rFonts w:eastAsia="Andale Sans UI" w:cs="Tahoma"/>
                  <w:szCs w:val="24"/>
                  <w:lang w:bidi="en-US"/>
                </w:rPr>
                <w:t>Ekonomikos ir inovacijų ministerijai</w:t>
              </w:r>
            </w:p>
            <w:p>
              <w:pPr>
                <w:suppressLineNumbers/>
                <w:jc w:val="both"/>
                <w:rPr>
                  <w:rFonts w:eastAsia="Andale Sans UI" w:cs="Tahoma"/>
                  <w:szCs w:val="24"/>
                  <w:lang w:bidi="en-US"/>
                </w:rPr>
              </w:pPr>
              <w:r>
                <w:rPr>
                  <w:rFonts w:eastAsia="Andale Sans UI" w:cs="Tahoma"/>
                  <w:szCs w:val="24"/>
                  <w:lang w:bidi="en-US"/>
                </w:rPr>
                <w:t>Teisingumo ministerijai</w:t>
              </w:r>
            </w:p>
            <w:p>
              <w:pPr>
                <w:suppressLineNumbers/>
                <w:jc w:val="both"/>
                <w:rPr>
                  <w:rFonts w:eastAsia="Andale Sans UI" w:cs="Tahoma"/>
                  <w:szCs w:val="24"/>
                  <w:lang w:bidi="en-US"/>
                </w:rPr>
              </w:pPr>
              <w:r>
                <w:rPr>
                  <w:rFonts w:eastAsia="Andale Sans UI" w:cs="Tahoma"/>
                  <w:szCs w:val="24"/>
                  <w:lang w:bidi="en-US"/>
                </w:rPr>
                <w:t>Žemės ūkio ministerijai</w:t>
              </w:r>
            </w:p>
            <w:p>
              <w:pPr>
                <w:suppressLineNumbers/>
                <w:jc w:val="both"/>
                <w:rPr>
                  <w:rFonts w:eastAsia="Andale Sans UI" w:cs="Tahoma"/>
                  <w:szCs w:val="24"/>
                  <w:lang w:bidi="en-US"/>
                </w:rPr>
              </w:pPr>
              <w:r>
                <w:rPr>
                  <w:rFonts w:eastAsia="Andale Sans UI" w:cs="Tahoma"/>
                  <w:szCs w:val="24"/>
                  <w:lang w:bidi="en-US"/>
                </w:rPr>
                <w:t>Aplinkos apsaugos agentūrai</w:t>
              </w:r>
            </w:p>
            <w:p>
              <w:pPr>
                <w:suppressLineNumbers/>
                <w:jc w:val="both"/>
                <w:rPr>
                  <w:rFonts w:eastAsia="Andale Sans UI" w:cs="Tahoma"/>
                  <w:szCs w:val="24"/>
                  <w:lang w:bidi="en-US"/>
                </w:rPr>
              </w:pPr>
              <w:r>
                <w:rPr>
                  <w:rFonts w:eastAsia="Andale Sans UI" w:cs="Tahoma"/>
                  <w:szCs w:val="24"/>
                  <w:lang w:eastAsia="lt-LT" w:bidi="en-US"/>
                </w:rPr>
                <w:t>Kultūros paveldo departamentui prie Kultūros ministerijos</w:t>
              </w:r>
            </w:p>
            <w:p>
              <w:pPr>
                <w:suppressLineNumbers/>
                <w:jc w:val="both"/>
                <w:rPr>
                  <w:rFonts w:eastAsia="Andale Sans UI" w:cs="Tahoma"/>
                  <w:szCs w:val="24"/>
                  <w:lang w:bidi="en-US"/>
                </w:rPr>
              </w:pPr>
              <w:r>
                <w:rPr>
                  <w:rFonts w:eastAsia="Andale Sans UI" w:cs="Tahoma"/>
                  <w:szCs w:val="24"/>
                  <w:lang w:bidi="en-US"/>
                </w:rPr>
                <w:t>Nacionaliniam visuomenės sveikatos centrui</w:t>
              </w:r>
            </w:p>
            <w:p>
              <w:pPr>
                <w:suppressLineNumbers/>
                <w:jc w:val="both"/>
                <w:rPr>
                  <w:rFonts w:eastAsia="Andale Sans UI" w:cs="Tahoma"/>
                  <w:szCs w:val="24"/>
                  <w:lang w:bidi="en-US"/>
                </w:rPr>
              </w:pPr>
              <w:r>
                <w:rPr>
                  <w:rFonts w:eastAsia="Andale Sans UI" w:cs="Tahoma"/>
                  <w:szCs w:val="24"/>
                  <w:lang w:bidi="en-US"/>
                </w:rPr>
                <w:t>Priešgaisrinės apsaugos ir gelbėjimo departamentui prie Vidaus reikalų ministerijos</w:t>
              </w:r>
            </w:p>
            <w:p>
              <w:pPr>
                <w:suppressLineNumbers/>
                <w:jc w:val="both"/>
                <w:rPr>
                  <w:rFonts w:eastAsia="Andale Sans UI" w:cs="Tahoma"/>
                  <w:szCs w:val="24"/>
                  <w:lang w:bidi="en-US"/>
                </w:rPr>
              </w:pPr>
              <w:r>
                <w:rPr>
                  <w:rFonts w:eastAsia="Andale Sans UI" w:cs="Tahoma"/>
                  <w:szCs w:val="24"/>
                  <w:lang w:bidi="en-US"/>
                </w:rPr>
                <w:t>Specialiųjų tyrimų tarnybai</w:t>
              </w:r>
            </w:p>
            <w:p>
              <w:pPr>
                <w:suppressLineNumbers/>
                <w:jc w:val="both"/>
                <w:rPr>
                  <w:rFonts w:eastAsia="Andale Sans UI" w:cs="Tahoma"/>
                  <w:szCs w:val="24"/>
                  <w:lang w:bidi="en-US"/>
                </w:rPr>
              </w:pPr>
              <w:r>
                <w:rPr>
                  <w:rFonts w:eastAsia="Andale Sans UI" w:cs="Tahoma"/>
                  <w:szCs w:val="24"/>
                  <w:lang w:bidi="en-US"/>
                </w:rPr>
                <w:t>Valstybinei saugomų teritorijų tarnybai prie Aplinkos ministerijos</w:t>
              </w:r>
            </w:p>
            <w:p>
              <w:pPr>
                <w:suppressLineNumbers/>
                <w:jc w:val="both"/>
                <w:rPr>
                  <w:rFonts w:eastAsia="Andale Sans UI" w:cs="Tahoma"/>
                  <w:szCs w:val="24"/>
                  <w:lang w:bidi="en-US"/>
                </w:rPr>
              </w:pPr>
              <w:r>
                <w:rPr>
                  <w:rFonts w:eastAsia="Andale Sans UI" w:cs="Tahoma"/>
                  <w:szCs w:val="24"/>
                  <w:lang w:bidi="en-US"/>
                </w:rPr>
                <w:t>Valstybinei teritorijų planavimo ir statybos inspekcijai prie Aplinkos ministerijos</w:t>
              </w:r>
            </w:p>
          </w:sdtContent>
        </w:sdt>
        <w:sdt>
          <w:sdtPr>
            <w:alias w:val="signatura"/>
            <w:tag w:val="part_a7e2e6bb475a4ab6ac1ec703f541f5c9"/>
            <w:lock w:val="sdtLocked"/>
            <w:richText/>
          </w:sdtPr>
          <w:sdtContent>
            <w:p>
              <w:pPr>
                <w:suppressLineNumbers/>
                <w:jc w:val="both"/>
                <w:rPr>
                  <w:rFonts w:eastAsia="Andale Sans UI" w:cs="Tahoma"/>
                  <w:szCs w:val="24"/>
                  <w:lang w:bidi="en-US"/>
                </w:rPr>
              </w:pPr>
              <w:r>
                <w:rPr>
                  <w:rFonts w:eastAsia="Andale Sans UI" w:cs="Tahoma"/>
                  <w:szCs w:val="24"/>
                  <w:lang w:bidi="en-US"/>
                </w:rPr>
                <w:t>Lietuvos savivaldybių asociacijai</w:t>
              </w:r>
            </w:p>
            <w:p>
              <w:pPr>
                <w:suppressLineNumbers/>
                <w:jc w:val="both"/>
                <w:rPr>
                  <w:rFonts w:eastAsia="Andale Sans UI" w:cs="Tahoma"/>
                  <w:szCs w:val="24"/>
                  <w:lang w:bidi="en-US"/>
                </w:rPr>
              </w:pPr>
              <w:r>
                <w:rPr>
                  <w:rFonts w:eastAsia="Andale Sans UI" w:cs="Tahoma"/>
                  <w:szCs w:val="24"/>
                  <w:lang w:bidi="en-US"/>
                </w:rPr>
                <w:t>Atsinaujinančių išteklių energijos gamintojų asociacija</w:t>
              </w:r>
            </w:p>
            <w:p>
              <w:pPr>
                <w:suppressLineNumbers/>
                <w:jc w:val="both"/>
                <w:rPr>
                  <w:rFonts w:eastAsia="Andale Sans UI" w:cs="Tahoma"/>
                  <w:szCs w:val="24"/>
                  <w:lang w:bidi="en-US"/>
                </w:rPr>
              </w:pPr>
              <w:r>
                <w:rPr>
                  <w:rFonts w:eastAsia="Andale Sans UI" w:cs="Tahoma"/>
                  <w:szCs w:val="24"/>
                  <w:lang w:bidi="en-US"/>
                </w:rPr>
                <w:t>Lietuvos atsinaujinančių išteklių energetikos konfederacijai</w:t>
              </w:r>
            </w:p>
            <w:p>
              <w:pPr>
                <w:suppressLineNumbers/>
                <w:jc w:val="both"/>
                <w:rPr>
                  <w:rFonts w:eastAsia="Andale Sans UI" w:cs="Tahoma"/>
                  <w:szCs w:val="24"/>
                  <w:lang w:bidi="en-US"/>
                </w:rPr>
              </w:pPr>
              <w:r>
                <w:rPr>
                  <w:rFonts w:eastAsia="Andale Sans UI" w:cs="Tahoma"/>
                  <w:szCs w:val="24"/>
                  <w:lang w:bidi="en-US"/>
                </w:rPr>
                <w:t>Lietuvos saulės energetikos asociacijai</w:t>
              </w:r>
            </w:p>
            <w:p>
              <w:pPr>
                <w:suppressLineNumbers/>
                <w:jc w:val="both"/>
                <w:rPr>
                  <w:rFonts w:eastAsia="Andale Sans UI" w:cs="Tahoma"/>
                  <w:szCs w:val="24"/>
                  <w:lang w:bidi="en-US"/>
                </w:rPr>
              </w:pPr>
              <w:r>
                <w:rPr>
                  <w:rFonts w:eastAsia="Andale Sans UI" w:cs="Tahoma"/>
                  <w:szCs w:val="24"/>
                  <w:lang w:bidi="en-US"/>
                </w:rPr>
                <w:t xml:space="preserve">Lietuvos geografų draugijai </w:t>
              </w:r>
            </w:p>
            <w:p>
              <w:pPr>
                <w:suppressLineNumbers/>
                <w:jc w:val="both"/>
                <w:rPr>
                  <w:rFonts w:eastAsia="Andale Sans UI" w:cs="Tahoma"/>
                  <w:szCs w:val="24"/>
                  <w:lang w:bidi="en-US"/>
                </w:rPr>
              </w:pPr>
              <w:r>
                <w:rPr>
                  <w:rFonts w:eastAsia="Andale Sans UI" w:cs="Tahoma"/>
                  <w:szCs w:val="24"/>
                  <w:lang w:bidi="en-US"/>
                </w:rPr>
                <w:t>Lietuvos ornitologų draugijai</w:t>
              </w:r>
            </w:p>
            <w:p>
              <w:pPr>
                <w:suppressLineNumbers/>
                <w:jc w:val="both"/>
                <w:rPr>
                  <w:rFonts w:eastAsia="Andale Sans UI" w:cs="Tahoma"/>
                  <w:szCs w:val="24"/>
                  <w:lang w:bidi="en-US"/>
                </w:rPr>
              </w:pPr>
              <w:r>
                <w:rPr>
                  <w:rFonts w:eastAsia="Andale Sans UI" w:cs="Tahoma"/>
                  <w:szCs w:val="24"/>
                  <w:lang w:bidi="en-US"/>
                </w:rPr>
                <w:t>Šikšnosparnių apsaugos Lietuvoje draugijai</w:t>
              </w:r>
            </w:p>
            <w:p>
              <w:pPr>
                <w:ind w:firstLine="567"/>
                <w:jc w:val="both"/>
                <w:rPr>
                  <w:rFonts w:eastAsia="Andale Sans UI" w:cs="Tahoma"/>
                  <w:szCs w:val="24"/>
                  <w:lang w:bidi="en-US"/>
                </w:rPr>
              </w:pPr>
            </w:p>
          </w:sdtContent>
        </w:sdt>
      </w:sdtContent>
    </w:sdt>
    <w:sectPr>
      <w:headerReference w:type="even" r:id="rId13"/>
      <w:headerReference w:type="default" r:id="rId14"/>
      <w:footerReference w:type="even" r:id="rId15"/>
      <w:footerReference w:type="default" r:id="rId16"/>
      <w:headerReference w:type="first" r:id="rId17"/>
      <w:footerReference w:type="first" r:id="rId18"/>
      <w:footnotePr>
        <w:pos w:val="beneathText"/>
        <w:numRestart w:val="eachPage"/>
      </w:footnotePr>
      <w:endnotePr>
        <w:numFmt w:val="decimal"/>
      </w:endnotePr>
      <w:pgSz w:w="11905" w:h="16837"/>
      <w:pgMar w:top="671" w:right="567" w:bottom="1089" w:left="1701" w:header="567" w:footer="230"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Arial"/>
    <w:charset w:val="BA"/>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7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12188714">
      <w:bodyDiv w:val="1"/>
      <w:marLeft w:val="0"/>
      <w:marRight w:val="0"/>
      <w:marTop w:val="0"/>
      <w:marBottom w:val="0"/>
      <w:divBdr>
        <w:top w:val="none" w:sz="0" w:space="0" w:color="auto"/>
        <w:left w:val="none" w:sz="0" w:space="0" w:color="auto"/>
        <w:bottom w:val="none" w:sz="0" w:space="0" w:color="auto"/>
        <w:right w:val="none" w:sz="0" w:space="0" w:color="auto"/>
      </w:divBdr>
    </w:div>
    <w:div w:id="696153448">
      <w:bodyDiv w:val="1"/>
      <w:marLeft w:val="0"/>
      <w:marRight w:val="0"/>
      <w:marTop w:val="0"/>
      <w:marBottom w:val="0"/>
      <w:divBdr>
        <w:top w:val="none" w:sz="0" w:space="0" w:color="auto"/>
        <w:left w:val="none" w:sz="0" w:space="0" w:color="auto"/>
        <w:bottom w:val="none" w:sz="0" w:space="0" w:color="auto"/>
        <w:right w:val="none" w:sz="0" w:space="0" w:color="auto"/>
      </w:divBdr>
      <w:divsChild>
        <w:div w:id="936862091">
          <w:marLeft w:val="0"/>
          <w:marRight w:val="0"/>
          <w:marTop w:val="0"/>
          <w:marBottom w:val="0"/>
          <w:divBdr>
            <w:top w:val="none" w:sz="0" w:space="0" w:color="auto"/>
            <w:left w:val="none" w:sz="0" w:space="0" w:color="auto"/>
            <w:bottom w:val="none" w:sz="0" w:space="0" w:color="auto"/>
            <w:right w:val="none" w:sz="0" w:space="0" w:color="auto"/>
          </w:divBdr>
        </w:div>
      </w:divsChild>
    </w:div>
    <w:div w:id="1412509426">
      <w:bodyDiv w:val="1"/>
      <w:marLeft w:val="0"/>
      <w:marRight w:val="0"/>
      <w:marTop w:val="0"/>
      <w:marBottom w:val="0"/>
      <w:divBdr>
        <w:top w:val="none" w:sz="0" w:space="0" w:color="auto"/>
        <w:left w:val="none" w:sz="0" w:space="0" w:color="auto"/>
        <w:bottom w:val="none" w:sz="0" w:space="0" w:color="auto"/>
        <w:right w:val="none" w:sz="0" w:space="0" w:color="auto"/>
      </w:divBdr>
    </w:div>
    <w:div w:id="1503934099">
      <w:bodyDiv w:val="1"/>
      <w:marLeft w:val="0"/>
      <w:marRight w:val="0"/>
      <w:marTop w:val="0"/>
      <w:marBottom w:val="0"/>
      <w:divBdr>
        <w:top w:val="none" w:sz="0" w:space="0" w:color="auto"/>
        <w:left w:val="none" w:sz="0" w:space="0" w:color="auto"/>
        <w:bottom w:val="none" w:sz="0" w:space="0" w:color="auto"/>
        <w:right w:val="none" w:sz="0" w:space="0" w:color="auto"/>
      </w:divBdr>
    </w:div>
    <w:div w:id="1706759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c7e8500c2e9d401a8c8d533099e7f30a" PartId="2de67204d6c0438ca7d64264c6e1ee0c"/>
  <Part Type="pastraipa" DocPartId="83ce880475eb4717a06df6bb7995def3" PartId="c0d299b78df74d8a9c6ae7a71105d365"/>
  <Part Type="pastraipa" DocPartId="592fc4b90e904c8e89e0cf329612908b" PartId="47d836ba72b4441ab77819a44e91349a"/>
  <Part Type="pastraipa" DocPartId="58d07d4a22a942b98015896ded1b8ab6" PartId="d2d9f62b133341aeb7a43203dfc0c269"/>
  <Part Type="pastraipa" DocPartId="56b5a979628142f198bd312f1c34cc81" PartId="c4ed7438acaf462cb4638d342de7a5d9"/>
  <Part Type="pastraipa" DocPartId="85a342454e804679803f15becd1a9b8e" PartId="940d94d85a604ebf8dbeb066ac13973c"/>
  <Part Type="pastraipa" DocPartId="803c1f10da69460dbd2427e48116e100" PartId="efe41a0d59fa45a08f6c8827e0b76b46"/>
  <Part Type="pastraipa" DocPartId="bf7b058ed4404279a15d74dc6498bd75" PartId="9a86c44d061f4f8dbfbca5f005ae936e"/>
  <Part Type="pastraipa" DocPartId="98e883f0c0294f35a46bad419aa4e4d9" PartId="a1b4fb90bc674feca7b7bf38b681c021"/>
  <Part Type="pastraipa" DocPartId="b9fc1c7e40d74e0aa55ee350560c1100" PartId="109ae19f250e4579af1dc1bfe2b19eaa"/>
  <Part Type="pastraipa" DocPartId="1d92e35ca55d48d1b0946657a9b22b05" PartId="0079809e27b14ee99549b3751b6ddeb3"/>
  <Part Type="pastraipa" DocPartId="a31d34aa05e647afaf4fe42da2a47a17" PartId="ea279fb095b94950bfc46b04b11f5d5f"/>
  <Part Type="pastraipa" DocPartId="3adf8292152242dd90121f09dc683d1a" PartId="353a7460cb884eeb96c161e63f859193"/>
  <Part Type="pastraipa" DocPartId="feb0c9ebe2bf4173b49d9673168acfc4" PartId="3e6f232242f941dc8367a2dffac7a688"/>
  <Part Type="pastraipa" DocPartId="631f687a39ff45eb97f4182db88e58f8" PartId="b5a3a001cf5046f397d4f61244fd07fe"/>
  <Part Type="pastraipa" DocPartId="da0a4aa4cae8409089e6ee765754899b" PartId="71b13650d81344b2b29adae1a8efedee"/>
  <Part Type="pastraipa" DocPartId="0ffc0c8906b54482a87ab7f29700f210" PartId="d11a2e76ec7a4fbf97323fb2de7ca8c5"/>
  <Part Type="pastraipa" DocPartId="631807c0975f4003af9476ca5330e59a" PartId="b3e10ba621a34d81a4355833e8a9b962"/>
  <Part Type="pastraipa" DocPartId="faa07405d9cb409ca1112131f089fa7c" PartId="3311c33861ae41ed8fec039487eb278a"/>
  <Part Type="pastraipa" DocPartId="a3f0f0da618749e18d40566e48fe37a6" PartId="b8b4e13782264b22bfe40f17e91cc730"/>
  <Part Type="pastraipa" DocPartId="54709deb884442a29bc6fdb9067004cd" PartId="2eb7826c16f94ab7a4ec7892e27afd7d">
    <Part Type="punktas" Nr="1" Abbr="1 p." DocPartId="59a032e524ed45babae2a71acb31f921" PartId="431cb3a5cee8493ba649a4cab1045f96"/>
    <Part Type="punktas" Nr="2" Abbr="2 p." DocPartId="64f9685f56be4fab9dd13f89278cb412" PartId="46680e1a3fd3455d9e769b791a54a6ad"/>
    <Part Type="punktas" Nr="3" Abbr="3 p." DocPartId="90ff7248a21a4f7b9c81d8e96e0d3668" PartId="f8e67d1d86f64e098f3c41c6caa175a7"/>
    <Part Type="signatura" DocPartId="755d8478e9da44fcab4899fe4a6bb3b5" PartId="a7e2e6bb475a4ab6ac1ec703f541f5c9"/>
  </Part>
</Parts>
</file>

<file path=customXml/itemProps1.xml><?xml version="1.0" encoding="utf-8"?>
<ds:datastoreItem xmlns:ds="http://schemas.openxmlformats.org/officeDocument/2006/customXml" ds:itemID="{2D0D5D14-4500-4EF1-A719-23E029F7F6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C28A84-B9E7-48FA-A430-DED4B689BE05}">
  <ds:schemaRefs>
    <ds:schemaRef ds:uri="f5aad5d0-9c26-490e-8743-a6c7ceabd501"/>
    <ds:schemaRef ds:uri="http://schemas.microsoft.com/sharepoint/v3"/>
    <ds:schemaRef ds:uri="19cf09c5-daa1-4028-a0ff-74a0be4ec5cc"/>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3A994AAE-1843-471F-A563-06767CB6C06F}">
  <ds:schemaRefs>
    <ds:schemaRef ds:uri="http://schemas.microsoft.com/sharepoint/v3/contenttype/forms"/>
  </ds:schemaRefs>
</ds:datastoreItem>
</file>

<file path=customXml/itemProps4.xml><?xml version="1.0" encoding="utf-8"?>
<ds:datastoreItem xmlns:ds="http://schemas.openxmlformats.org/officeDocument/2006/customXml" ds:itemID="{8C1D4B6B-8678-42C5-AECD-6100D595A142}">
  <ds:schemaRefs>
    <ds:schemaRef ds:uri="http://schemas.openxmlformats.org/officeDocument/2006/bibliography"/>
  </ds:schemaRefs>
</ds:datastoreItem>
</file>

<file path=customXml/itemProps5.xml><?xml version="1.0" encoding="utf-8"?>
<ds:datastoreItem xmlns:ds="http://schemas.openxmlformats.org/officeDocument/2006/customXml" ds:itemID="{A766FD56-3835-4C70-B3A8-5249A7E637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603</Words>
  <Characters>4572</Characters>
  <Application>Microsoft Office Word</Application>
  <DocSecurity>4</DocSecurity>
  <Lines>127</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5115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2022-08-31T09:59:00Z</dcterms:created>
  <dcterms:modified xsi:type="dcterms:W3CDTF">2022-08-31T09:59:00Z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