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c05873be0f042c984b2185adac02934"/>
        <w:lock w:val="sdtLocked"/>
        <w:richText/>
      </w:sdtPr>
      <w:sdtContent>
        <w:p>
          <w:pPr>
            <w:tabs>
              <w:tab w:val="center" w:pos="4153"/>
              <w:tab w:val="right" w:pos="8306"/>
            </w:tabs>
            <w:rPr>
              <w:szCs w:val="24"/>
              <w:lang w:val="en-GB"/>
            </w:rPr>
          </w:pPr>
        </w:p>
        <w:p>
          <w:pPr>
            <w:jc w:val="center"/>
            <w:rPr>
              <w:b/>
              <w:bCs/>
              <w:szCs w:val="24"/>
              <w:lang w:eastAsia="lt-LT"/>
            </w:rPr>
          </w:pPr>
          <w:r>
            <w:rPr>
              <w:b/>
              <w:bCs/>
              <w:szCs w:val="24"/>
              <w:lang w:eastAsia="lt-LT"/>
            </w:rPr>
            <w:t xml:space="preserve">LIETUVOS RESPUBLIKOS VYRIAUSYBĖS NUTARIMO „DĖL MEDICININIŲ KLASTERIŲ RODIKLIŲ STEBĖSENOS PALAIKYMO IR PLĖTROS“ PROJEKTO </w:t>
          </w:r>
        </w:p>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lang w:eastAsia="lt-LT"/>
            </w:rPr>
          </w:pPr>
          <w:r>
            <w:rPr>
              <w:b/>
              <w:bCs/>
              <w:caps/>
              <w:szCs w:val="24"/>
              <w:lang w:eastAsia="lt-LT"/>
            </w:rPr>
            <w:t>DERINIMO PAŽYMA</w:t>
          </w:r>
        </w:p>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263"/>
            <w:gridCol w:w="6361"/>
            <w:gridCol w:w="6764"/>
          </w:tblGrid>
          <w:tr>
            <w:trPr>
              <w:trHeight w:val="300"/>
            </w:trPr>
            <w:tc>
              <w:tcPr>
                <w:tcW w:w="2263" w:type="dxa"/>
              </w:tcPr>
              <w:p>
                <w:pPr>
                  <w:jc w:val="both"/>
                  <w:rPr>
                    <w:b/>
                    <w:bCs/>
                    <w:szCs w:val="24"/>
                  </w:rPr>
                </w:pPr>
                <w:r>
                  <w:rPr>
                    <w:b/>
                    <w:bCs/>
                    <w:szCs w:val="24"/>
                  </w:rPr>
                  <w:t>Institucija, pateikusi pastabas ir pasiūlymus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b/>
                    <w:bCs/>
                    <w:caps/>
                    <w:szCs w:val="24"/>
                    <w:lang w:eastAsia="lt-LT"/>
                  </w:rPr>
                </w:pPr>
              </w:p>
            </w:tc>
            <w:tc>
              <w:tcPr>
                <w:tcW w:w="6361" w:type="dxa"/>
              </w:tcPr>
              <w:p>
                <w:pPr>
                  <w:keepNext/>
                  <w:jc w:val="center"/>
                  <w:rPr>
                    <w:b/>
                    <w:bCs/>
                    <w:kern w:val="32"/>
                    <w:szCs w:val="24"/>
                  </w:rPr>
                </w:pPr>
                <w:r>
                  <w:rPr>
                    <w:b/>
                    <w:bCs/>
                    <w:kern w:val="32"/>
                    <w:szCs w:val="24"/>
                  </w:rPr>
                  <w:t>Pastabos, pasiūlymai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b/>
                    <w:bCs/>
                    <w:caps/>
                    <w:szCs w:val="24"/>
                    <w:lang w:eastAsia="lt-LT"/>
                  </w:rPr>
                </w:pPr>
              </w:p>
            </w:tc>
            <w:tc>
              <w:tcPr>
                <w:tcW w:w="6764"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Cs w:val="24"/>
                    <w:lang w:eastAsia="lt-LT"/>
                  </w:rPr>
                </w:pPr>
                <w:r>
                  <w:rPr>
                    <w:b/>
                    <w:bCs/>
                    <w:szCs w:val="24"/>
                    <w:lang w:eastAsia="lt-LT"/>
                  </w:rPr>
                  <w:t>Argumentai, kodėl į pastabas ir pasiūlymus neatsižvelgta arba atsižvelgta iš dalies</w:t>
                </w:r>
              </w:p>
            </w:tc>
          </w:tr>
          <w:tr>
            <w:trPr>
              <w:trHeight w:val="1188"/>
            </w:trPr>
            <w:tc>
              <w:tcPr>
                <w:tcW w:w="2263" w:type="dxa"/>
                <w:vMerge w:val="restart"/>
              </w:tcPr>
              <w:p>
                <w:pPr>
                  <w:rPr>
                    <w:szCs w:val="24"/>
                  </w:rPr>
                </w:pPr>
                <w:r>
                  <w:rPr>
                    <w:szCs w:val="24"/>
                  </w:rPr>
                  <w:t>Lietuvos Respublikos teisingumo ministerijos 2026 m. gegužės 25 d. raštas Nr. 26-6865</w:t>
                </w:r>
              </w:p>
            </w:tc>
            <w:tc>
              <w:tcPr>
                <w:tcW w:w="6361" w:type="dxa"/>
              </w:tcPr>
              <w:p>
                <w:pPr>
                  <w:jc w:val="both"/>
                  <w:rPr>
                    <w:b/>
                    <w:bCs/>
                    <w:caps/>
                    <w:kern w:val="2"/>
                    <w:szCs w:val="24"/>
                  </w:rPr>
                </w:pPr>
                <w:r>
                  <w:rPr>
                    <w:kern w:val="2"/>
                    <w:szCs w:val="24"/>
                  </w:rPr>
                  <w:t>1. „Atsižvelgus į Projekto turinį, turėtų būti įvertintas Projekto santykis su Lietuvos Respublikos valstybės informacinių išteklių valdymo įstatymu ir Lietuvos Respublikos oficialiosios statistikos ir valstybės duomenų valdysenos įstatymu. Nors šie įstatymai ir nenurodyti Projekto preambulėje, tačiau iš Projekto turinio darytina išvada, kad vertinamu atveju siekiama įveiklinti statistinių duomenų rinkimo bei informacinių sistemų sąveikos mechanizmus ir spręsti jose tvarkomų duomenų panaudojimo klausimus. Teisingumo ministerijos nuomone, Projekto preambulėje nurodytas Projekto priėmimo pagrindas (Lietuvos Respublikos sveikatos sistemos įstatymo 60 straipsnio 2 punktas) nesudaro teisinių prielaidų Vyriausybei nustatyti su minėtais įstatymais konkuruojančio reguliavimo.“</w:t>
                </w:r>
              </w:p>
            </w:tc>
            <w:tc>
              <w:tcPr>
                <w:tcW w:w="6764" w:type="dxa"/>
              </w:tcPr>
              <w:p>
                <w:pPr>
                  <w:jc w:val="both"/>
                  <w:rPr>
                    <w:b/>
                    <w:bCs/>
                    <w:szCs w:val="24"/>
                    <w:lang w:eastAsia="lt-LT"/>
                  </w:rPr>
                </w:pPr>
                <w:r>
                  <w:rPr>
                    <w:b/>
                    <w:bCs/>
                    <w:szCs w:val="24"/>
                    <w:lang w:eastAsia="lt-LT"/>
                  </w:rPr>
                  <w:t>Iš dalies atsižvelgta</w:t>
                </w:r>
                <w:r>
                  <w:rPr>
                    <w:szCs w:val="24"/>
                    <w:lang w:eastAsia="lt-LT"/>
                  </w:rPr>
                  <w:t>. Lietuvos Respublikos Vyriausybės nutarimo „Dėl medicininių klasterių rodiklių stebėsenos palaikymo ir plėtros“ projekto (toliau – Nutarimo projektas) preambulė papildyta nuoroda į Lietuvos Respublikos oficialiosios statistikos ir valstybės duomenų valdysenos įstatymo 5 straipsnio 2 dalies 6 punktą.</w:t>
                </w:r>
              </w:p>
            </w:tc>
          </w:tr>
          <w:tr>
            <w:trPr>
              <w:trHeight w:val="1188"/>
            </w:trPr>
            <w:tc>
              <w:tcPr>
                <w:tcW w:w="2263" w:type="dxa"/>
                <w:vMerge/>
              </w:tcPr>
              <w:p>
                <w:pPr>
                  <w:rPr>
                    <w:szCs w:val="24"/>
                  </w:rPr>
                </w:pPr>
              </w:p>
            </w:tc>
            <w:tc>
              <w:tcPr>
                <w:tcW w:w="6361" w:type="dxa"/>
              </w:tcPr>
              <w:p>
                <w:pPr>
                  <w:jc w:val="both"/>
                  <w:rPr>
                    <w:kern w:val="2"/>
                    <w:szCs w:val="24"/>
                  </w:rPr>
                </w:pPr>
                <w:r>
                  <w:rPr>
                    <w:kern w:val="2"/>
                    <w:szCs w:val="24"/>
                  </w:rPr>
                  <w:t>2. „Vadovaujantis anksčiau minėtais įstatymais, prašytina pagrįsti Projekto tikslingumą ir papildomai įvertinti, ar Projekto rengimą paskatinusių priežasčių nebūtų galima išspręsti minėtuose įstatymuose nustatytą reguliavimą taikant žemesniu lygmeniu – informacinės sistemos nuostatais.“</w:t>
                </w:r>
              </w:p>
            </w:tc>
            <w:tc>
              <w:tcPr>
                <w:tcW w:w="6764" w:type="dxa"/>
              </w:tcPr>
              <w:p>
                <w:pPr>
                  <w:jc w:val="both"/>
                  <w:rPr>
                    <w:szCs w:val="24"/>
                    <w:lang w:eastAsia="lt-LT"/>
                  </w:rPr>
                </w:pPr>
                <w:r>
                  <w:rPr>
                    <w:b/>
                    <w:bCs/>
                    <w:szCs w:val="24"/>
                    <w:lang w:eastAsia="lt-LT"/>
                  </w:rPr>
                  <w:t xml:space="preserve">Neatsižvelgta. </w:t>
                </w:r>
                <w:r>
                  <w:rPr>
                    <w:szCs w:val="24"/>
                    <w:lang w:eastAsia="lt-LT"/>
                  </w:rPr>
                  <w:t xml:space="preserve">Projekto „Medicininių klasterių duomenų mainų ir stebėsenos platforma“ (toliau – Projektas) įgyvendinimo metu Valstybės duomenų agentūros (toliau – VDA) sukurtas </w:t>
                </w:r>
                <w:r>
                  <w:rPr>
                    <w:szCs w:val="24"/>
                    <w:lang w:val="en-GB" w:eastAsia="lt-LT"/>
                  </w:rPr>
                  <w:t xml:space="preserve">rodiklių reikšmių automatinio apskaičiavimo, duomenų apie apskaičiuotas rodiklių reikšmes ataskaitų formavimo ir saugojimo įrankis (toliau – rodiklių stebėsenos įrankis) </w:t>
                </w:r>
                <w:r>
                  <w:rPr>
                    <w:rFonts w:eastAsia="Batang"/>
                    <w:szCs w:val="24"/>
                    <w:lang w:eastAsia="lt-LT"/>
                  </w:rPr>
                  <w:t>nė</w:t>
                </w:r>
                <w:r>
                  <w:rPr>
                    <w:szCs w:val="24"/>
                    <w:lang w:eastAsia="lt-LT"/>
                  </w:rPr>
                  <w:t xml:space="preserve">ra </w:t>
                </w:r>
                <w:r>
                  <w:rPr>
                    <w:rFonts w:eastAsia="Batang"/>
                    <w:szCs w:val="24"/>
                    <w:lang w:eastAsia="lt-LT"/>
                  </w:rPr>
                  <w:t>laikomas Valstybės duomenų valdysenos informacinės sistemos (toliau – VDV IS) dalimi, todėl šio įrankio palaikymo veikla neįtraukiama į VDV IS nuostatus.</w:t>
                </w:r>
              </w:p>
            </w:tc>
          </w:tr>
          <w:tr>
            <w:trPr>
              <w:trHeight w:val="300"/>
            </w:trPr>
            <w:tc>
              <w:tcPr>
                <w:tcW w:w="2263" w:type="dxa"/>
                <w:vMerge w:val="restart"/>
              </w:tcPr>
              <w:p>
                <w:pPr>
                  <w:rPr>
                    <w:kern w:val="2"/>
                    <w:szCs w:val="24"/>
                  </w:rPr>
                </w:pPr>
                <w:r>
                  <w:rPr>
                    <w:rFonts w:eastAsia="Tahoma"/>
                    <w:color w:val="000000"/>
                    <w:kern w:val="2"/>
                    <w:szCs w:val="24"/>
                  </w:rPr>
                  <w:t>VšĮ Vilniaus universiteto ligoninės Santaros klinikų 2026 m. gegužės 15 d. raštas Nr. SR-3527</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b/>
                    <w:bCs/>
                    <w:caps/>
                    <w:szCs w:val="24"/>
                    <w:lang w:eastAsia="lt-LT"/>
                  </w:rPr>
                </w:pPr>
              </w:p>
            </w:tc>
            <w:tc>
              <w:tcPr>
                <w:tcW w:w="6361" w:type="dxa"/>
              </w:tcPr>
              <w:p>
                <w:pPr>
                  <w:jc w:val="both"/>
                  <w:rPr>
                    <w:rFonts w:eastAsia="Tahoma"/>
                    <w:kern w:val="2"/>
                    <w:szCs w:val="24"/>
                  </w:rPr>
                </w:pPr>
                <w:r>
                  <w:rPr>
                    <w:rFonts w:eastAsia="Tahoma"/>
                    <w:color w:val="000000"/>
                    <w:kern w:val="2"/>
                    <w:szCs w:val="24"/>
                  </w:rPr>
                  <w:t>1. „Taip pat Nutarimo projekto 1.3 papunktyje nustatytas pavedimas įstaigoms teikti duomenis VDA generalinio direktoriaus nustatyta tvarka, neapibrėžiant nei konkretaus duomenų kiekio, nei galimos administracinės naštos asmens sveikatos priežiūros įstaigoms, sudaro prielaidas neribotam bet kokių papildomų duomenų prašymui ateityje.“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both"/>
                  <w:rPr>
                    <w:b/>
                    <w:bCs/>
                    <w:caps/>
                    <w:szCs w:val="24"/>
                    <w:lang w:eastAsia="lt-LT"/>
                  </w:rPr>
                </w:pPr>
              </w:p>
            </w:tc>
            <w:tc>
              <w:tcPr>
                <w:tcW w:w="6764" w:type="dxa"/>
              </w:tcPr>
              <w:p>
                <w:pPr>
                  <w:jc w:val="both"/>
                  <w:rPr>
                    <w:szCs w:val="24"/>
                    <w:lang w:eastAsia="lt-LT"/>
                  </w:rPr>
                </w:pPr>
                <w:r>
                  <w:rPr>
                    <w:b/>
                    <w:bCs/>
                    <w:szCs w:val="24"/>
                    <w:lang w:eastAsia="lt-LT"/>
                  </w:rPr>
                  <w:t>Iš dalies atsižvelgta.</w:t>
                </w:r>
                <w:r>
                  <w:rPr>
                    <w:szCs w:val="24"/>
                    <w:lang w:eastAsia="lt-LT"/>
                  </w:rPr>
                  <w:t xml:space="preserve"> Nutarimo projekte patikslinta, kad </w:t>
                </w:r>
                <w:r>
                  <w:rPr>
                    <w:szCs w:val="24"/>
                    <w:lang w:val="en-GB" w:eastAsia="lt-LT"/>
                  </w:rPr>
                  <w:t>klasteriams priklausančioms sveikatos priežiūros įstaigoms pavedama teikti VDA reikiamus duomenis medicininių klasterių rodiklių reikšmėms apskaičiuoti</w:t>
                </w:r>
                <w:r>
                  <w:rPr>
                    <w:szCs w:val="24"/>
                    <w:lang w:eastAsia="lt-LT"/>
                  </w:rPr>
                  <w:t>. Taip pat Nutarimo projekto teikime pateikiama nuoroda į teisės aktus, kuriuose reglamentuojami Projekto įgyvendinimo metu peržiūrėti, patikslinti ar naujai parengti medicininių klasterių rodiklių aprašai.</w:t>
                </w:r>
              </w:p>
            </w:tc>
          </w:tr>
          <w:tr>
            <w:trPr>
              <w:trHeight w:val="300"/>
            </w:trPr>
            <w:tc>
              <w:tcPr>
                <w:tcW w:w="2263" w:type="dxa"/>
                <w:vMerge/>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b/>
                    <w:bCs/>
                    <w:caps/>
                    <w:szCs w:val="24"/>
                    <w:lang w:eastAsia="lt-LT"/>
                  </w:rPr>
                </w:pPr>
              </w:p>
            </w:tc>
            <w:tc>
              <w:tcPr>
                <w:tcW w:w="6361" w:type="dxa"/>
              </w:tcPr>
              <w:p>
                <w:pPr>
                  <w:jc w:val="both"/>
                  <w:rPr>
                    <w:b/>
                    <w:bCs/>
                    <w:caps/>
                    <w:kern w:val="2"/>
                    <w:szCs w:val="24"/>
                  </w:rPr>
                </w:pPr>
                <w:r>
                  <w:rPr>
                    <w:rFonts w:eastAsia="Tahoma"/>
                    <w:color w:val="000000"/>
                    <w:kern w:val="2"/>
                    <w:szCs w:val="24"/>
                  </w:rPr>
                  <w:t>2. „Pažymėtina, kad papildomų duomenų rinkimas, parengimas, kokybės užtikrinimas, sistemų pritaikymas ir perdavimas gali reikalauti reikšmingų žmogiškųjų, organizacinių ir informacinių technologijų išteklių. Tuo tarpu Nutarimo projekte nėra apsiribojama duomenų teikimu tik įgyvendinamo projekto Nr. 09-039-P-0001 „Medicininių klasterių duomenų mainų ir stebėsenos platforma“ apimtyje.“</w:t>
                </w:r>
              </w:p>
            </w:tc>
            <w:tc>
              <w:tcPr>
                <w:tcW w:w="6764" w:type="dxa"/>
              </w:tcPr>
              <w:p>
                <w:pPr>
                  <w:jc w:val="both"/>
                  <w:rPr>
                    <w:rFonts w:eastAsia="Batang"/>
                    <w:szCs w:val="24"/>
                    <w:lang w:eastAsia="lt-LT"/>
                  </w:rPr>
                </w:pPr>
                <w:r>
                  <w:rPr>
                    <w:b/>
                    <w:bCs/>
                    <w:szCs w:val="24"/>
                    <w:lang w:eastAsia="lt-LT"/>
                  </w:rPr>
                  <w:t xml:space="preserve">Neatsižvelgta. </w:t>
                </w:r>
                <w:r>
                  <w:rPr>
                    <w:rFonts w:eastAsia="Batang"/>
                    <w:szCs w:val="24"/>
                    <w:lang w:eastAsia="lt-LT"/>
                  </w:rPr>
                  <w:t xml:space="preserve">Nutarimo projektu siekiama VDA įpareigoti  užtikrinti Projekto įgyvendinimo metu sukurtų produktų (informacinių sistemų sąsajų, rodiklių stebėsenos įrankio) palaikymo ir plėtros darbus. Minimi plėtros darbai taip pat apima Projekto investiciniame plane aprašytas veiklas, susijusias su antrojo etapo klasterių rodiklių, kurie buvo patikslinti ar naujai sukurti Projekto įgyvendinimo metu, reikšmių apskaičiavimu ir jų įtraukimu į VDA sukurtą rodiklių stebėsenos įrankį.</w:t>
                </w:r>
              </w:p>
            </w:tc>
          </w:tr>
        </w:tbl>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caps/>
              <w:szCs w:val="24"/>
              <w:lang w:eastAsia="lt-LT"/>
            </w:rPr>
          </w:pPr>
        </w:p>
        <w:p>
          <w:pPr>
            <w:jc w:val="both"/>
            <w:rPr>
              <w:szCs w:val="24"/>
            </w:rPr>
          </w:pPr>
        </w:p>
        <w:sdt>
          <w:sdtPr>
            <w:alias w:val="pabaiga"/>
            <w:tag w:val="part_2abd4baace2a4b0688c3fc725e77768c"/>
            <w:lock w:val="sdtLocked"/>
            <w:richText/>
          </w:sdtPr>
          <w:sdtContent>
            <w:p>
              <w:pPr>
                <w:jc w:val="center"/>
                <w:rPr>
                  <w:szCs w:val="24"/>
                </w:rPr>
              </w:pPr>
              <w:r>
                <w:rPr>
                  <w:szCs w:val="24"/>
                </w:rPr>
                <w:t>_________________</w:t>
              </w:r>
            </w:p>
            <w:p>
              <w:pPr>
                <w:jc w:val="center"/>
                <w:rPr>
                  <w:szCs w:val="24"/>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135" w:right="720" w:bottom="851" w:left="720"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11</w:t>
    </w:r>
    <w:r>
      <w:rPr>
        <w:szCs w:val="24"/>
        <w:lang w:val="en-GB"/>
      </w:rPr>
      <w:fldChar w:fldCharType="end"/>
    </w:r>
  </w:p>
  <w:p>
    <w:pPr>
      <w:tabs>
        <w:tab w:val="center" w:pos="4153"/>
        <w:tab w:val="right" w:pos="8306"/>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w:t>
    </w:r>
    <w:r>
      <w:rPr>
        <w:szCs w:val="24"/>
        <w:lang w:val="en-GB"/>
      </w:rPr>
      <w:fldChar w:fldCharType="end"/>
    </w:r>
  </w:p>
  <w:p>
    <w:pPr>
      <w:tabs>
        <w:tab w:val="center" w:pos="4153"/>
        <w:tab w:val="right" w:pos="8306"/>
      </w:tabs>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099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8AFC9B-8D52-43D8-8180-0E894724F26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da19471-8a93-4138-8431-7e15c5e4b981">
      <Terms xmlns="http://schemas.microsoft.com/office/infopath/2007/PartnerControls"/>
    </lcf76f155ced4ddcb4097134ff3c332f>
    <TaxCatchAll xmlns="2c4ada47-db89-45ce-9f12-ecc627eb0f1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4BD109E2853C442AF21E7453FC5CFFE" ma:contentTypeVersion="12" ma:contentTypeDescription="Create a new document." ma:contentTypeScope="" ma:versionID="e5ba60cf164780fd5402ccdf30fc3cc2">
  <xsd:schema xmlns:xsd="http://www.w3.org/2001/XMLSchema" xmlns:xs="http://www.w3.org/2001/XMLSchema" xmlns:p="http://schemas.microsoft.com/office/2006/metadata/properties" xmlns:ns2="ada19471-8a93-4138-8431-7e15c5e4b981" xmlns:ns3="2c4ada47-db89-45ce-9f12-ecc627eb0f1f" targetNamespace="http://schemas.microsoft.com/office/2006/metadata/properties" ma:root="true" ma:fieldsID="5f92f82e24a96024ca6aea8c910fe597" ns2:_="" ns3:_="">
    <xsd:import namespace="ada19471-8a93-4138-8431-7e15c5e4b981"/>
    <xsd:import namespace="2c4ada47-db89-45ce-9f12-ecc627eb0f1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a19471-8a93-4138-8431-7e15c5e4b9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3f27d40-c0e5-4292-8fed-24edb16d59e1"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4ada47-db89-45ce-9f12-ecc627eb0f1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8390b69-21c9-4643-b86f-3225674920c9}" ma:internalName="TaxCatchAll" ma:showField="CatchAllData" ma:web="2c4ada47-db89-45ce-9f12-ecc627eb0f1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49720db84c8c4a08bc2dc7f6a2cde180" PartId="5c05873be0f042c984b2185adac02934">
    <Part Type="pabaiga" DocPartId="9ab29e3cab2b4026b10c9aae794d6531" PartId="2abd4baace2a4b0688c3fc725e77768c"/>
  </Part>
</Parts>
</file>

<file path=customXml/itemProps1.xml><?xml version="1.0" encoding="utf-8"?>
<ds:datastoreItem xmlns:ds="http://schemas.openxmlformats.org/officeDocument/2006/customXml" ds:itemID="{847AF7C5-414A-4B4E-9C93-21E86F007AC7}">
  <ds:schemaRefs>
    <ds:schemaRef ds:uri="http://schemas.microsoft.com/office/2006/metadata/properties"/>
    <ds:schemaRef ds:uri="http://schemas.microsoft.com/office/infopath/2007/PartnerControls"/>
    <ds:schemaRef ds:uri="ada19471-8a93-4138-8431-7e15c5e4b981"/>
    <ds:schemaRef ds:uri="2c4ada47-db89-45ce-9f12-ecc627eb0f1f"/>
  </ds:schemaRefs>
</ds:datastoreItem>
</file>

<file path=customXml/itemProps2.xml><?xml version="1.0" encoding="utf-8"?>
<ds:datastoreItem xmlns:ds="http://schemas.openxmlformats.org/officeDocument/2006/customXml" ds:itemID="{E06B7B65-AF87-46D2-9371-18590EE2DF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a19471-8a93-4138-8431-7e15c5e4b981"/>
    <ds:schemaRef ds:uri="2c4ada47-db89-45ce-9f12-ecc627eb0f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080947A-C4E0-4A4E-8AAA-CB4D9897643F}">
  <ds:schemaRefs>
    <ds:schemaRef ds:uri="http://schemas.microsoft.com/sharepoint/v3/contenttype/forms"/>
  </ds:schemaRefs>
</ds:datastoreItem>
</file>

<file path=customXml/itemProps4.xml><?xml version="1.0" encoding="utf-8"?>
<ds:datastoreItem xmlns:ds="http://schemas.openxmlformats.org/officeDocument/2006/customXml" ds:itemID="{21D777AB-2A96-4D77-A561-D862A5881FEF}">
  <ds:schemaRefs>
    <ds:schemaRef ds:uri="http://lrs.lt/TAIS/DocParts"/>
  </ds:schemaRefs>
</ds:datastoreItem>
</file>

<file path=docMetadata/LabelInfo.xml><?xml version="1.0" encoding="utf-8"?>
<clbl:labelList xmlns:clbl="http://schemas.microsoft.com/office/2020/mipLabelMetadata">
  <clbl:label id="{07e6ee35-6814-4790-8669-80767694c28d}" enabled="0" method="" siteId="{07e6ee35-6814-4790-8669-80767694c28d}"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464</Words>
  <Characters>3558</Characters>
  <Application>Microsoft Office Word</Application>
  <DocSecurity>4</DocSecurity>
  <Lines>91</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2026-07-13T11:33:00Z</dcterms:created>
  <dc:creator>Aušrinė Storpirštienė</dc:creator>
  <lastModifiedBy>adlibuser</lastModifiedBy>
  <dcterms:modified xsi:type="dcterms:W3CDTF">2026-07-13T11:33:00Z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0x010100B4BD109E2853C442AF21E7453FC5CFFE</vt:lpwstr>
  </property>
  <property fmtid="{D5CDD505-2E9C-101B-9397-08002B2CF9AE}" pid="3" name="MediaServiceImageTags">
    <vt:lpwstr/>
  </property>
</Properties>
</file>