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3f7cdf36dcd41bd88a7ad14acf0f3f1"/>
        <w:lock w:val="sdtLocked"/>
        <w:richText/>
      </w:sdtPr>
      <w:sdtContent>
        <w:p>
          <w:pPr>
            <w:tabs>
              <w:tab w:val="center" w:pos="4153"/>
              <w:tab w:val="right" w:pos="8306"/>
            </w:tabs>
            <w:jc w:val="center"/>
            <w:rPr>
              <w:sz w:val="20"/>
            </w:rPr>
          </w:pPr>
          <w:r>
            <w:rPr>
              <w:szCs w:val="24"/>
              <w:lang w:val="en-US"/>
            </w:rPr>
            <w:drawing>
              <wp:inline distT="0" distB="0" distL="0" distR="0" wp14:anchorId="5A6110BA" wp14:editId="58CBA847">
                <wp:extent cx="624840" cy="694785"/>
                <wp:effectExtent l="0" t="0" r="3810" b="0"/>
                <wp:docPr id="1" name="Paveikslėlis 1019195244" descr="A black and white logo of a knight riding a horse  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7177563" name="Paveikslėlis 1" descr="A black and white logo of a knight riding a horse  AI-generated content may be incorrect."/>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644570" cy="716724"/>
                        </a:xfrm>
                        <a:prstGeom prst="rect">
                          <a:avLst/>
                        </a:prstGeom>
                        <a:noFill/>
                        <a:ln>
                          <a:noFill/>
                        </a:ln>
                      </pic:spPr>
                    </pic:pic>
                  </a:graphicData>
                </a:graphic>
              </wp:inline>
            </w:drawing>
          </w:r>
        </w:p>
        <w:p>
          <w:pPr>
            <w:tabs>
              <w:tab w:val="center" w:pos="4153"/>
              <w:tab w:val="right" w:pos="8306"/>
            </w:tabs>
            <w:jc w:val="center"/>
            <w:rPr>
              <w:sz w:val="20"/>
            </w:rPr>
          </w:pPr>
        </w:p>
        <w:p>
          <w:pPr>
            <w:tabs>
              <w:tab w:val="center" w:pos="4153"/>
              <w:tab w:val="right" w:pos="8306"/>
            </w:tabs>
            <w:jc w:val="center"/>
            <w:rPr>
              <w:b/>
              <w:bCs/>
              <w:color w:val="000000"/>
              <w:sz w:val="28"/>
              <w:szCs w:val="28"/>
            </w:rPr>
          </w:pPr>
          <w:r>
            <w:rPr>
              <w:b/>
              <w:bCs/>
              <w:color w:val="000000"/>
              <w:sz w:val="28"/>
              <w:szCs w:val="28"/>
            </w:rPr>
            <w:t>LIETUVOS RESPUBLIKOS SVEIKATOS APSAUGOS MINISTERIJA</w:t>
          </w:r>
        </w:p>
        <w:p>
          <w:pPr>
            <w:tabs>
              <w:tab w:val="center" w:pos="4153"/>
              <w:tab w:val="right" w:pos="8306"/>
            </w:tabs>
            <w:rPr>
              <w:szCs w:val="24"/>
            </w:rPr>
          </w:pPr>
        </w:p>
        <w:p/>
        <w:tbl>
          <w:tblPr>
            <w:tblW w:w="0" w:type="auto"/>
            <w:jc w:val="center"/>
            <w:tblLayout w:type="fixed"/>
            <w:tblCellMar>
              <w:left w:w="0" w:type="dxa"/>
              <w:right w:w="0" w:type="dxa"/>
            </w:tblCellMar>
            <w:tblLook w:val="0000" w:firstRow="0" w:lastRow="0" w:firstColumn="0" w:lastColumn="0" w:noHBand="0" w:noVBand="0"/>
          </w:tblPr>
          <w:tblGrid>
            <w:gridCol w:w="5084"/>
            <w:gridCol w:w="1417"/>
            <w:gridCol w:w="426"/>
            <w:gridCol w:w="2954"/>
          </w:tblGrid>
          <w:tr>
            <w:trPr>
              <w:cantSplit/>
              <w:trHeight w:val="270"/>
              <w:jc w:val="center"/>
            </w:trPr>
            <w:tc>
              <w:tcPr>
                <w:tcW w:w="5084" w:type="dxa"/>
                <w:vMerge w:val="restart"/>
              </w:tcPr>
              <w:p>
                <w:pPr>
                  <w:rPr>
                    <w:szCs w:val="24"/>
                  </w:rPr>
                </w:pPr>
                <w:r>
                  <w:rPr>
                    <w:szCs w:val="24"/>
                  </w:rPr>
                  <w:t>Lietuvos Respublikos Vyriausybei</w:t>
                </w:r>
              </w:p>
              <w:p>
                <w:pPr>
                  <w:rPr>
                    <w:szCs w:val="24"/>
                  </w:rPr>
                </w:pPr>
              </w:p>
            </w:tc>
            <w:tc>
              <w:tcPr>
                <w:tcW w:w="1417" w:type="dxa"/>
              </w:tcPr>
              <w:p>
                <w:pPr>
                  <w:ind w:firstLine="139"/>
                  <w:rPr>
                    <w:szCs w:val="24"/>
                  </w:rPr>
                </w:pPr>
                <w:r>
                  <w:rPr>
                    <w:szCs w:val="24"/>
                  </w:rPr>
                  <w:t>2026-06-</w:t>
                </w:r>
              </w:p>
            </w:tc>
            <w:tc>
              <w:tcPr>
                <w:tcW w:w="426" w:type="dxa"/>
              </w:tcPr>
              <w:p>
                <w:pPr>
                  <w:rPr>
                    <w:szCs w:val="24"/>
                  </w:rPr>
                </w:pPr>
                <w:r>
                  <w:rPr>
                    <w:szCs w:val="24"/>
                  </w:rPr>
                  <w:t>Nr.</w:t>
                </w:r>
              </w:p>
            </w:tc>
            <w:tc>
              <w:tcPr>
                <w:tcW w:w="2954" w:type="dxa"/>
              </w:tcPr>
              <w:p>
                <w:pPr>
                  <w:ind w:firstLine="62"/>
                  <w:rPr>
                    <w:szCs w:val="24"/>
                  </w:rPr>
                </w:pPr>
              </w:p>
            </w:tc>
          </w:tr>
          <w:tr>
            <w:trPr>
              <w:cantSplit/>
              <w:trHeight w:val="270"/>
              <w:jc w:val="center"/>
            </w:trPr>
            <w:tc>
              <w:tcPr>
                <w:tcW w:w="5084" w:type="dxa"/>
                <w:vMerge/>
              </w:tcPr>
              <w:p>
                <w:pPr>
                  <w:ind w:right="708"/>
                  <w:rPr>
                    <w:szCs w:val="24"/>
                  </w:rPr>
                </w:pPr>
              </w:p>
            </w:tc>
            <w:tc>
              <w:tcPr>
                <w:tcW w:w="1417" w:type="dxa"/>
              </w:tcPr>
              <w:p>
                <w:pPr>
                  <w:ind w:right="-142"/>
                  <w:rPr>
                    <w:szCs w:val="24"/>
                    <w:lang w:val="en-GB"/>
                  </w:rPr>
                </w:pPr>
              </w:p>
            </w:tc>
            <w:tc>
              <w:tcPr>
                <w:tcW w:w="426" w:type="dxa"/>
              </w:tcPr>
              <w:p>
                <w:pPr>
                  <w:rPr>
                    <w:szCs w:val="24"/>
                  </w:rPr>
                </w:pPr>
              </w:p>
            </w:tc>
            <w:tc>
              <w:tcPr>
                <w:tcW w:w="2954" w:type="dxa"/>
              </w:tcPr>
              <w:p>
                <w:pPr>
                  <w:rPr>
                    <w:szCs w:val="24"/>
                  </w:rPr>
                </w:pPr>
              </w:p>
            </w:tc>
          </w:tr>
          <w:tr>
            <w:trPr>
              <w:cantSplit/>
              <w:trHeight w:val="270"/>
              <w:jc w:val="center"/>
            </w:trPr>
            <w:tc>
              <w:tcPr>
                <w:tcW w:w="5084" w:type="dxa"/>
                <w:vMerge/>
              </w:tcPr>
              <w:p>
                <w:pPr>
                  <w:ind w:right="708"/>
                  <w:rPr>
                    <w:szCs w:val="24"/>
                  </w:rPr>
                </w:pPr>
              </w:p>
            </w:tc>
            <w:tc>
              <w:tcPr>
                <w:tcW w:w="1417" w:type="dxa"/>
              </w:tcPr>
              <w:p>
                <w:pPr>
                  <w:ind w:right="-142"/>
                  <w:rPr>
                    <w:szCs w:val="24"/>
                  </w:rPr>
                </w:pPr>
              </w:p>
            </w:tc>
            <w:tc>
              <w:tcPr>
                <w:tcW w:w="426" w:type="dxa"/>
              </w:tcPr>
              <w:p>
                <w:pPr>
                  <w:rPr>
                    <w:szCs w:val="24"/>
                  </w:rPr>
                </w:pPr>
              </w:p>
            </w:tc>
            <w:tc>
              <w:tcPr>
                <w:tcW w:w="2954" w:type="dxa"/>
              </w:tcPr>
              <w:p>
                <w:pPr>
                  <w:rPr>
                    <w:szCs w:val="24"/>
                  </w:rPr>
                </w:pPr>
              </w:p>
            </w:tc>
          </w:tr>
        </w:tbl>
        <w:sdt>
          <w:sdtPr>
            <w:alias w:val="skirsnis"/>
            <w:tag w:val="part_51dd093629d04552ac3f8f9e93738e84"/>
            <w:lock w:val="sdtLocked"/>
            <w:richText/>
          </w:sdtPr>
          <w:sdtContent>
            <w:p>
              <w:pPr>
                <w:jc w:val="both"/>
                <w:rPr>
                  <w:b/>
                  <w:szCs w:val="24"/>
                </w:rPr>
              </w:pPr>
              <w:sdt>
                <w:sdtPr>
                  <w:alias w:val="Pavadinimas"/>
                  <w:tag w:val="title_51dd093629d04552ac3f8f9e93738e84"/>
                  <w:lock w:val="sdtLocked"/>
                  <w:richText/>
                </w:sdtPr>
                <w:sdtContent>
                  <w:r>
                    <w:rPr>
                      <w:b/>
                      <w:szCs w:val="24"/>
                    </w:rPr>
                    <w:t xml:space="preserve">DĖL LIETUVOS RESPUBLIKOS VYRIAUSYBĖS </w:t>
                  </w:r>
                  <w:r>
                    <w:rPr>
                      <w:b/>
                      <w:bCs/>
                      <w:szCs w:val="24"/>
                    </w:rPr>
                    <w:t xml:space="preserve">NUTARIMO </w:t>
                  </w:r>
                  <w:r>
                    <w:rPr>
                      <w:b/>
                      <w:bCs/>
                      <w:caps/>
                      <w:szCs w:val="24"/>
                    </w:rPr>
                    <w:t>PROJEKTO DERINIMO</w:t>
                  </w:r>
                </w:sdtContent>
              </w:sdt>
            </w:p>
            <w:p>
              <w:pPr>
                <w:jc w:val="both"/>
                <w:rPr>
                  <w:b/>
                  <w:bCs/>
                  <w:szCs w:val="24"/>
                </w:rPr>
              </w:pPr>
            </w:p>
            <w:p>
              <w:pPr>
                <w:ind w:firstLine="720"/>
                <w:jc w:val="both"/>
                <w:rPr>
                  <w:szCs w:val="24"/>
                </w:rPr>
              </w:pPr>
              <w:r>
                <w:rPr>
                  <w:szCs w:val="24"/>
                </w:rPr>
                <w:t xml:space="preserve">Lietuvos Respublikos sveikatos apsaugos ministerija (toliau – SAM) teikia derinti </w:t>
              </w:r>
              <w:r>
                <w:rPr>
                  <w:bCs/>
                  <w:szCs w:val="24"/>
                </w:rPr>
                <w:t xml:space="preserve">Lietuvos Respublikos Vyriausybės nutarimo „Dėl Medicininių klasterių rodiklių stebėsenos palaikymo ir plėtros“ projektą </w:t>
              </w:r>
              <w:r>
                <w:rPr>
                  <w:szCs w:val="24"/>
                </w:rPr>
                <w:t>(toliau – Nutarimo projektas).</w:t>
              </w:r>
              <w:r>
                <w:rPr>
                  <w:rFonts w:eastAsia="Batang"/>
                  <w:szCs w:val="24"/>
                </w:rPr>
                <w:t xml:space="preserve"> Nutarimo projektu siekiama efektyviau vykdyti medicininių klasterių kokybės rodiklių stebėseną per Valstybės duomenų valdysenos informacinę sistemą (toliau – VDVIS), įgalinančią duomenimis pagrįstų sprendimų priėmimą sveikatos priežiūros paslaugų kokybei gerinti.</w:t>
              </w:r>
            </w:p>
          </w:sdtContent>
        </w:sdt>
        <w:sdt>
          <w:sdtPr>
            <w:alias w:val="skirsnis"/>
            <w:tag w:val="part_dcf196d6b2a746ffb08b935438c22cc2"/>
            <w:lock w:val="sdtLocked"/>
            <w:richText/>
          </w:sdtPr>
          <w:sdtContent>
            <w:p>
              <w:pPr>
                <w:ind w:firstLine="720"/>
                <w:jc w:val="both"/>
                <w:rPr>
                  <w:rFonts w:eastAsia="Batang"/>
                  <w:b/>
                  <w:bCs/>
                  <w:szCs w:val="24"/>
                </w:rPr>
              </w:pPr>
              <w:sdt>
                <w:sdtPr>
                  <w:alias w:val="Pavadinimas"/>
                  <w:tag w:val="title_dcf196d6b2a746ffb08b935438c22cc2"/>
                  <w:lock w:val="sdtLocked"/>
                  <w:richText/>
                </w:sdtPr>
                <w:sdtContent>
                  <w:r>
                    <w:rPr>
                      <w:rFonts w:eastAsia="Batang"/>
                      <w:b/>
                      <w:bCs/>
                      <w:szCs w:val="24"/>
                    </w:rPr>
                    <w:t xml:space="preserve">Nutarimo projektu sprendžiama problema ir Nutarimo projektą rengti paskatinusios priežastys: </w:t>
                  </w:r>
                </w:sdtContent>
              </w:sdt>
            </w:p>
            <w:p>
              <w:pPr>
                <w:ind w:firstLine="720"/>
                <w:jc w:val="both"/>
                <w:rPr>
                  <w:rFonts w:eastAsia="Batang"/>
                  <w:szCs w:val="24"/>
                </w:rPr>
              </w:pPr>
              <w:r>
                <w:rPr>
                  <w:rFonts w:eastAsia="Batang"/>
                  <w:szCs w:val="24"/>
                </w:rPr>
                <w:t xml:space="preserve">SAM kartu su valstybės įmone Registrų centru (toliau – RC), Lietuvos sveikatos mokslų universiteto ligonine Kauno klinikomis (toliau – LSMU KK), viešąja įstaiga Vilniaus universiteto ligonine Santaros klinikomis (toliau – VULSK), viešąja įstaiga Respublikine Panevėžio ligonine (toliau – RPL), viešąja įstaiga Klaipėdos universiteto ligonine (toliau – KUL) ir Valstybės duomenų agentūra (toliau </w:t>
              </w:r>
              <w:r>
                <w:rPr>
                  <w:rFonts w:eastAsia="Batang"/>
                  <w:color w:val="000000"/>
                  <w:szCs w:val="24"/>
                </w:rPr>
                <w:t xml:space="preserve">– </w:t>
              </w:r>
              <w:r>
                <w:rPr>
                  <w:rFonts w:eastAsia="Batang"/>
                  <w:szCs w:val="24"/>
                </w:rPr>
                <w:t xml:space="preserve">VDA) įgyvendino projektą Nr. 09-039-P-0001 „Medicininių klasterių duomenų mainų ir stebėsenos platforma“ (toliau – Projektas), finansuotą Europos Sąjungos ekonomikos gaivinimo ir atsparumo didinimo priemonės (angl. </w:t>
              </w:r>
              <w:r>
                <w:rPr>
                  <w:rFonts w:eastAsia="Batang"/>
                  <w:i/>
                  <w:iCs/>
                  <w:szCs w:val="24"/>
                </w:rPr>
                <w:t xml:space="preserve">The Recovery and Resilience </w:t>
              </w:r>
              <w:r>
                <w:rPr>
                  <w:rFonts w:eastAsia="Batang"/>
                  <w:szCs w:val="24"/>
                </w:rPr>
                <w:t xml:space="preserve">Facility – RRF) lėšomis. Projekto buvo užbaigtas 2026 m. birželio 1 d. Pagrindinės problemos, kurios buvo sprendžiamos įgyvendinant Projektą: esama klasterių kokybės rodiklių valdymo sistema nesukuria prielaidų gerinti aktyviojo gydymo kokybės; šių kokybės rodiklių apskaičiavimo, jų validavimo, analizės, palyginimo, informavimo apie apskaičiuotas rodiklių reikšmes ir pakartotinio duomenų naudojimo funkcijos nėra įdiegtos nei </w:t>
              </w:r>
              <w:r>
                <w:rPr>
                  <w:rFonts w:eastAsia="Batang"/>
                  <w:color w:val="000000"/>
                  <w:szCs w:val="24"/>
                </w:rPr>
                <w:t xml:space="preserve">Elektroninės sveikatos paslaugų ir bendradarbiavimo infrastruktūros informacinėje sistemoje (toliau – ESPBI IS), </w:t>
              </w:r>
              <w:r>
                <w:rPr>
                  <w:rFonts w:eastAsia="Batang"/>
                  <w:szCs w:val="24"/>
                </w:rPr>
                <w:t>nei klasteriams priklausančių ligoninių informacinėse sistemose; klasteriams priklausančios asmens sveikatos priežiūros įstaigos</w:t>
              </w:r>
              <w:r>
                <w:rPr>
                  <w:rFonts w:eastAsia="Batang"/>
                  <w:szCs w:val="24"/>
                  <w:vertAlign w:val="superscript"/>
                </w:rPr>
                <w:footnoteReference w:id="2"/>
              </w:r>
              <w:r>
                <w:rPr>
                  <w:rFonts w:eastAsia="Batang"/>
                  <w:szCs w:val="24"/>
                </w:rPr>
                <w:t>, greitosios medicinos pagalbos ir kitos sveikatos sistemai priklausančios institucijos patiria dideles laiko sąnaudas skaičiuodamos klasterių rodiklių reikšmes ir rengdamos šių duomenų ataskaitas. VDA, kaip Projekto partneris, įgyvendinant Projektą kūrė, testavo ir Valstybės duomenų valdysenos informacinėje sistemoje diegė klasterių rodiklių reikšmių automatinio apskaičiavimo, duomenų apie apskaičiuotas rodiklių reikšmes ataskaitų formavimo ir saugojimo įrankį (toliau –</w:t>
              </w:r>
              <w:r>
                <w:rPr>
                  <w:rFonts w:eastAsia="Batang"/>
                  <w:color w:val="000000"/>
                  <w:szCs w:val="24"/>
                </w:rPr>
                <w:t xml:space="preserve"> rodiklių stebėsenos</w:t>
              </w:r>
              <w:r>
                <w:rPr>
                  <w:rFonts w:eastAsia="Batang"/>
                  <w:szCs w:val="24"/>
                </w:rPr>
                <w:t xml:space="preserve"> įrankis). Nutarimo projektu siekiama VDA įpareigoti užtikrinti Projekto įgyvendinimo metu sukurtų produktų (informacinių sistemų sąsajų, rodiklių stebėsenos įrankio) palaikymo ir plėtros darbus.</w:t>
              </w:r>
              <w:r>
                <w:rPr>
                  <w:rFonts w:eastAsia="Batang"/>
                  <w:color w:val="000000"/>
                  <w:szCs w:val="24"/>
                </w:rPr>
                <w:t xml:space="preserve"> Medicininių klasterių rodiklių aprašymai, parengti ar patikslinti įgyvendinant Projektą, tvirtinami sveikatos apsaugos ministro įsakymais, nurodytais išnašoje. Atkreiptinas dėmesys į tai, kad patikimų medicininių klasterių rodiklių ilgalaikės stebėsenos duomenys leidžia </w:t>
              </w:r>
              <w:r>
                <w:rPr>
                  <w:rFonts w:eastAsia="Batang"/>
                  <w:szCs w:val="24"/>
                </w:rPr>
                <w:t xml:space="preserve">pateikti jais grįstus siūlymus keičiant ar rengiant teisės aktus, susijusius su sveikatos </w:t>
              </w:r>
              <w:r>
                <w:rPr>
                  <w:rFonts w:eastAsia="Batang"/>
                  <w:color w:val="000000"/>
                  <w:szCs w:val="24"/>
                </w:rPr>
                <w:t>priežiūros paslaugų kokybės stebėsena, nustatyti asmens sveikatos priežiūros poreikius, sveikatos priežiūros prieinamumo ir kokybės reikalavimus.</w:t>
              </w:r>
            </w:p>
          </w:sdtContent>
        </w:sdt>
        <w:sdt>
          <w:sdtPr>
            <w:alias w:val="skirsnis"/>
            <w:tag w:val="part_c912d10c1e364e15857ac87a3276b05c"/>
            <w:lock w:val="sdtLocked"/>
            <w:richText/>
          </w:sdtPr>
          <w:sdtContent>
            <w:p>
              <w:pPr>
                <w:ind w:firstLine="720"/>
                <w:jc w:val="both"/>
                <w:rPr>
                  <w:rFonts w:eastAsia="Batang"/>
                  <w:b/>
                  <w:bCs/>
                  <w:color w:val="000000"/>
                  <w:szCs w:val="24"/>
                </w:rPr>
              </w:pPr>
              <w:sdt>
                <w:sdtPr>
                  <w:alias w:val="Pavadinimas"/>
                  <w:tag w:val="title_c912d10c1e364e15857ac87a3276b05c"/>
                  <w:lock w:val="sdtLocked"/>
                  <w:richText/>
                </w:sdtPr>
                <w:sdtContent>
                  <w:r>
                    <w:rPr>
                      <w:rFonts w:eastAsia="Batang"/>
                      <w:b/>
                      <w:bCs/>
                      <w:color w:val="000000"/>
                      <w:szCs w:val="24"/>
                    </w:rPr>
                    <w:t xml:space="preserve">Nutarimo projektu siūlomo teisinio reguliavimo esmė – problemos sprendimas: </w:t>
                  </w:r>
                </w:sdtContent>
              </w:sdt>
            </w:p>
            <w:p>
              <w:pPr>
                <w:ind w:firstLine="720"/>
                <w:jc w:val="both"/>
                <w:rPr>
                  <w:rFonts w:eastAsia="Batang"/>
                  <w:color w:val="000000"/>
                  <w:szCs w:val="24"/>
                </w:rPr>
              </w:pPr>
              <w:r>
                <w:rPr>
                  <w:rFonts w:eastAsia="Batang"/>
                  <w:color w:val="000000"/>
                  <w:szCs w:val="24"/>
                </w:rPr>
                <w:t>Nutarimo projektu siūloma pavesti:</w:t>
              </w:r>
            </w:p>
            <w:p>
              <w:pPr>
                <w:ind w:left="1080" w:hanging="360"/>
                <w:jc w:val="both"/>
                <w:rPr>
                  <w:rFonts w:eastAsia="Batang"/>
                  <w:color w:val="000000"/>
                  <w:szCs w:val="24"/>
                </w:rPr>
              </w:pPr>
              <w:r>
                <w:rPr>
                  <w:rFonts w:eastAsia="Batang"/>
                  <w:color w:val="000000"/>
                  <w:szCs w:val="24"/>
                </w:rPr>
                <w:t>–</w:t>
                <w:tab/>
                <w:t>VDA:</w:t>
              </w:r>
            </w:p>
            <w:p>
              <w:pPr>
                <w:ind w:firstLine="709"/>
                <w:jc w:val="both"/>
                <w:rPr>
                  <w:rFonts w:eastAsia="Batang"/>
                  <w:color w:val="000000"/>
                  <w:szCs w:val="24"/>
                </w:rPr>
              </w:pPr>
              <w:r>
                <w:rPr>
                  <w:rFonts w:ascii="Symbol" w:eastAsia="Batang" w:hAnsi="Symbol"/>
                  <w:color w:val="000000"/>
                  <w:szCs w:val="24"/>
                </w:rPr>
                <w:t></w:t>
                <w:tab/>
              </w:r>
              <w:r>
                <w:rPr>
                  <w:rFonts w:eastAsia="Batang"/>
                  <w:color w:val="000000"/>
                  <w:szCs w:val="24"/>
                </w:rPr>
                <w:t>palaikyti esamas VDVIS ir atskirų sveikatos priežiūros įstaigų informacinių sistemų bei ESPBI IS sąsajas ir per šias sąsajas teikti naujus duomenis,</w:t>
              </w:r>
              <w:r>
                <w:t xml:space="preserve"> </w:t>
              </w:r>
              <w:r>
                <w:rPr>
                  <w:rFonts w:eastAsia="Batang"/>
                  <w:color w:val="000000"/>
                  <w:szCs w:val="24"/>
                </w:rPr>
                <w:t>reikalingus medicininių klasterių rodiklių reikšmėms skaičiuoti;</w:t>
              </w:r>
            </w:p>
            <w:p>
              <w:pPr>
                <w:ind w:firstLine="709"/>
                <w:jc w:val="both"/>
                <w:rPr>
                  <w:rFonts w:eastAsia="Batang"/>
                  <w:color w:val="000000"/>
                  <w:szCs w:val="24"/>
                </w:rPr>
              </w:pPr>
              <w:r>
                <w:rPr>
                  <w:rFonts w:ascii="Symbol" w:eastAsia="Batang" w:hAnsi="Symbol"/>
                  <w:color w:val="000000"/>
                  <w:szCs w:val="24"/>
                </w:rPr>
                <w:t></w:t>
                <w:tab/>
              </w:r>
              <w:r>
                <w:rPr>
                  <w:rFonts w:eastAsia="Batang"/>
                  <w:color w:val="000000"/>
                  <w:szCs w:val="24"/>
                </w:rPr>
                <w:t>analizuoti, validuoti gautus duomenis, skaičiuoti ir periodiškai atnaujinti medicininių klasterių rodiklių reikšmes;</w:t>
              </w:r>
            </w:p>
            <w:p>
              <w:pPr>
                <w:ind w:firstLine="709"/>
                <w:jc w:val="both"/>
                <w:rPr>
                  <w:rFonts w:eastAsia="Batang"/>
                  <w:color w:val="000000"/>
                  <w:szCs w:val="24"/>
                </w:rPr>
              </w:pPr>
              <w:r>
                <w:rPr>
                  <w:rFonts w:ascii="Symbol" w:eastAsia="Batang" w:hAnsi="Symbol"/>
                  <w:color w:val="000000"/>
                  <w:szCs w:val="24"/>
                </w:rPr>
                <w:t></w:t>
                <w:tab/>
              </w:r>
              <w:r>
                <w:rPr>
                  <w:rFonts w:eastAsia="Batang"/>
                  <w:color w:val="000000"/>
                  <w:szCs w:val="24"/>
                </w:rPr>
                <w:t>užtikrinti rodiklių stebėsenos įrankio funkcionavimą, valdyti prieigos prie šio įrankio teises ir palaikyti stebėsenos rezultatų atvaizdavimą švieslentėse;</w:t>
              </w:r>
            </w:p>
            <w:p>
              <w:pPr>
                <w:ind w:firstLine="720"/>
                <w:jc w:val="both"/>
                <w:rPr>
                  <w:rFonts w:eastAsia="Batang"/>
                  <w:color w:val="000000"/>
                </w:rPr>
              </w:pPr>
              <w:r>
                <w:rPr>
                  <w:rFonts w:eastAsia="Batang"/>
                  <w:color w:val="000000"/>
                </w:rPr>
                <w:t>–</w:t>
              </w:r>
              <w:r>
                <w:rPr>
                  <w:rFonts w:eastAsia="Batang"/>
                  <w:color w:val="000000"/>
                  <w:szCs w:val="24"/>
                </w:rPr>
                <w:tab/>
                <w:t>RC</w:t>
              </w:r>
              <w:r>
                <w:rPr>
                  <w:rFonts w:eastAsia="Batang"/>
                </w:rPr>
                <w:t xml:space="preserve"> teikti VDA reikiamus duomenis medicininių klasterių rodiklių reikšmėms apskaičiuoti;</w:t>
              </w:r>
            </w:p>
            <w:p>
              <w:pPr>
                <w:ind w:firstLine="709"/>
                <w:jc w:val="both"/>
                <w:rPr>
                  <w:rFonts w:eastAsia="Batang"/>
                  <w:color w:val="000000"/>
                  <w:szCs w:val="24"/>
                </w:rPr>
              </w:pPr>
              <w:r>
                <w:rPr>
                  <w:rFonts w:eastAsia="Batang"/>
                  <w:color w:val="000000"/>
                  <w:szCs w:val="24"/>
                </w:rPr>
                <w:t>–</w:t>
                <w:tab/>
              </w:r>
              <w:r>
                <w:rPr>
                  <w:rFonts w:eastAsia="Batang"/>
                  <w:szCs w:val="24"/>
                </w:rPr>
                <w:t>klasteriams priklausančioms sveikatos priežiūros įstaigoms teikti VDA reikiamus duomenis medicininių klasterių rodiklių reikšmėms apskaičiuoti.</w:t>
              </w:r>
            </w:p>
            <w:p>
              <w:pPr>
                <w:ind w:firstLine="720"/>
                <w:jc w:val="both"/>
                <w:rPr>
                  <w:bCs/>
                  <w:szCs w:val="24"/>
                </w:rPr>
              </w:pPr>
              <w:r>
                <w:rPr>
                  <w:rFonts w:eastAsia="Batang"/>
                  <w:szCs w:val="24"/>
                </w:rPr>
                <w:t xml:space="preserve">Nutarimo projektu siūlomoms priemonėms įgyvendinti reikės papildomų valstybės biudžeto lėšų. </w:t>
              </w:r>
              <w:r>
                <w:rPr>
                  <w:bCs/>
                  <w:szCs w:val="24"/>
                </w:rPr>
                <w:t xml:space="preserve">VDA vertinimu, taikant šiuo metu galiojančius VDA darbų įkainius (32,98 Eur / val. už techninės analizės ir programavimo darbus), Projekto įgyvendinimo rezultatų palaikymo sąnaudos per metus sudarytų 115 430 Eur (3 500 darbo valandų), medicininių klasterių rodiklių reikšmių skaičiavimo ir programinės įrangos naudojimo sąnaudoms padengti prireiktų apie 15 000 Eur (lėšų poreikis gali būti tikslinamas, atsižvelgiant į faktines </w:t>
              </w:r>
              <w:r>
                <w:rPr>
                  <w:rFonts w:eastAsia="Batang"/>
                  <w:color w:val="000000"/>
                  <w:szCs w:val="24"/>
                </w:rPr>
                <w:t>rodiklių stebėsenos</w:t>
              </w:r>
              <w:r>
                <w:rPr>
                  <w:rFonts w:eastAsia="Batang"/>
                  <w:szCs w:val="24"/>
                </w:rPr>
                <w:t xml:space="preserve"> </w:t>
              </w:r>
              <w:r>
                <w:rPr>
                  <w:bCs/>
                  <w:szCs w:val="24"/>
                </w:rPr>
                <w:t>įrankio naudojimo sąnaudas ir šio įrankio naudotojų skaičių). Projekto rezultatų palaikymo sąnaudos sudarytų iš viso 130 430 Eur per metus. Pažymime, kad Projekto įgyvendinimo plane numatytos lėšos nebuvo skirtos iš valstybės biudžeto Projekto įgyvendinimo rezultatų palaikymo sąnaudoms padengti.</w:t>
              </w:r>
            </w:p>
            <w:p>
              <w:pPr>
                <w:ind w:firstLine="720"/>
                <w:jc w:val="both"/>
                <w:rPr>
                  <w:color w:val="000000"/>
                  <w:szCs w:val="24"/>
                </w:rPr>
              </w:pPr>
              <w:r>
                <w:rPr>
                  <w:color w:val="000000"/>
                  <w:szCs w:val="24"/>
                </w:rPr>
                <w:t xml:space="preserve">Nutarimo projektas neprieštarauja Dvidešimtosios Lietuvos Respublikos Vyriausybės programai, kuriai buvo pritarta Lietuvos Respublikos Seimo 2025 m. rugsėjo 25 d. nutarimu Nr. XV-439 „Dėl Dvidešimtosios Lietuvos Respublikos Vyriausybės programos“. </w:t>
              </w:r>
            </w:p>
            <w:p>
              <w:pPr>
                <w:ind w:firstLine="720"/>
                <w:jc w:val="both"/>
                <w:rPr>
                  <w:color w:val="000000"/>
                  <w:szCs w:val="24"/>
                </w:rPr>
              </w:pPr>
              <w:r>
                <w:rPr>
                  <w:color w:val="000000"/>
                  <w:szCs w:val="24"/>
                </w:rPr>
                <w:t>Nutarimo projektu neperkeliamos ir neįgyvendinamos Europos Sąjungos teisės aktų nuostatos.</w:t>
              </w:r>
            </w:p>
            <w:p>
              <w:pPr>
                <w:ind w:firstLine="720"/>
                <w:jc w:val="both"/>
                <w:rPr>
                  <w:color w:val="000000"/>
                  <w:szCs w:val="24"/>
                </w:rPr>
              </w:pPr>
              <w:r>
                <w:rPr>
                  <w:color w:val="000000"/>
                  <w:szCs w:val="24"/>
                </w:rPr>
                <w:t xml:space="preserve">Nutarimo projektas nenotifikuotinas Europos Komisijai. </w:t>
              </w:r>
            </w:p>
            <w:p>
              <w:pPr>
                <w:ind w:firstLine="720"/>
                <w:jc w:val="both"/>
                <w:rPr>
                  <w:color w:val="C00000"/>
                  <w:szCs w:val="24"/>
                </w:rPr>
              </w:pPr>
              <w:r>
                <w:rPr>
                  <w:color w:val="000000"/>
                  <w:szCs w:val="24"/>
                </w:rPr>
                <w:t>Vadovaujantis Numatomo teisinio reguliavimo poveikio vertinimo metodikos, patvirtintos Lietuvos Respublikos Vyriausybės 2003 m. vasario 26 d. nutarimu Nr. 276 „Dėl Numatomo teisinio reguliavimo poveikio vertinimo metodikos patvirtinimo“, 4 punktu, Nutarimo projekto numatomo teisinio reguliavimo poveikio vertinimas neatliekamas.</w:t>
              </w:r>
            </w:p>
            <w:p>
              <w:pPr>
                <w:ind w:firstLine="720"/>
                <w:jc w:val="both"/>
                <w:rPr>
                  <w:color w:val="000000"/>
                  <w:szCs w:val="24"/>
                </w:rPr>
              </w:pPr>
              <w:r>
                <w:rPr>
                  <w:color w:val="000000"/>
                  <w:szCs w:val="24"/>
                </w:rPr>
                <w:t xml:space="preserve">Nutarimo projektui įtraukti į teisės sistemą kitų teisės aktų priimti nereikės. </w:t>
              </w:r>
            </w:p>
            <w:p>
              <w:pPr>
                <w:ind w:firstLine="720"/>
                <w:jc w:val="both"/>
                <w:rPr>
                  <w:color w:val="000000"/>
                  <w:szCs w:val="24"/>
                </w:rPr>
              </w:pPr>
              <w:r>
                <w:rPr>
                  <w:color w:val="000000"/>
                  <w:szCs w:val="24"/>
                </w:rPr>
                <w:t>Nutarimo projekte naujų sąvokų nėra.</w:t>
              </w:r>
            </w:p>
            <w:p>
              <w:pPr>
                <w:ind w:firstLine="720"/>
                <w:jc w:val="both"/>
                <w:rPr>
                  <w:szCs w:val="24"/>
                </w:rPr>
              </w:pPr>
              <w:r>
                <w:rPr>
                  <w:szCs w:val="24"/>
                </w:rPr>
                <w:t>Nutarimo projektas buvo pateiktas derinti Lietuvos Respublikos finansų ministerijai, Lietuvos Respublikos ekonomikos ir inovacijų ministerijai, Lietuvos Respublikos teisingumo ministerijai, VDA, RC, VULSK, LSMU KK, RPL, KUL. VDA, RC ir Finansų ministerija Nutarimo projektui pastabų neturėjo. Nesuderinti pasiūlymai, pastabos ir argumentai dėl jų pateikiami Nutarimo projekto derinimo pažymoje. Kitos institucijos ir įstaigos pastabų ar siūlymų neteikė.</w:t>
              </w:r>
            </w:p>
            <w:p>
              <w:pPr>
                <w:ind w:firstLine="720"/>
                <w:jc w:val="both"/>
                <w:rPr>
                  <w:szCs w:val="24"/>
                </w:rPr>
              </w:pPr>
              <w:r>
                <w:rPr>
                  <w:szCs w:val="24"/>
                </w:rPr>
                <w:t>Nutarimo projekto tiesioginiai rengėjai SAM Teisės skyriaus vyresnysis patarėjas Kazys Rušinskas, tel. +370 5 260 4898, el. p. kazys.rusinskas@sam.lt, Valstybinės ligonių kasos prie Sveikatos apsaugos ministerijos Informacinių sistemų valdymo skyriaus patarėja Greta Makauskaitė (tel. +370 5 266 1546, el. p. greta.makauskaite@vlk.lt).</w:t>
              </w:r>
            </w:p>
            <w:p>
              <w:pPr>
                <w:ind w:firstLine="720"/>
                <w:jc w:val="both"/>
                <w:rPr>
                  <w:szCs w:val="24"/>
                </w:rPr>
              </w:pPr>
              <w:r>
                <w:rPr>
                  <w:szCs w:val="24"/>
                </w:rPr>
                <w:t>PRIDEDAMA:</w:t>
              </w:r>
            </w:p>
            <w:sdt>
              <w:sdtPr>
                <w:alias w:val="1 p."/>
                <w:tag w:val="part_b10720caea6a4f2c9601344e387965e5"/>
                <w:lock w:val="sdtLocked"/>
                <w:richText/>
              </w:sdtPr>
              <w:sdtContent>
                <w:p>
                  <w:pPr>
                    <w:ind w:firstLine="720"/>
                    <w:jc w:val="both"/>
                    <w:rPr>
                      <w:szCs w:val="24"/>
                    </w:rPr>
                  </w:pPr>
                  <w:sdt>
                    <w:sdtPr>
                      <w:alias w:val="Numeris"/>
                      <w:tag w:val="nr_b10720caea6a4f2c9601344e387965e5"/>
                      <w:lock w:val="sdtLocked"/>
                      <w:richText/>
                    </w:sdtPr>
                    <w:sdtContent>
                      <w:r>
                        <w:rPr>
                          <w:szCs w:val="24"/>
                        </w:rPr>
                        <w:t>1</w:t>
                      </w:r>
                    </w:sdtContent>
                  </w:sdt>
                  <w:r>
                    <w:rPr>
                      <w:szCs w:val="24"/>
                    </w:rPr>
                    <w:t xml:space="preserve">. Lietuvos Respublikos Vyriausybės nutarimo „Dėl Medicininių klasterių rodiklių </w:t>
                  </w:r>
                  <w:r>
                    <w:rPr>
                      <w:bCs/>
                      <w:szCs w:val="24"/>
                    </w:rPr>
                    <w:t>stebėsenos palaikymo ir plėtros.docx</w:t>
                  </w:r>
                </w:p>
              </w:sdtContent>
            </w:sdt>
            <w:sdt>
              <w:sdtPr>
                <w:alias w:val="2 p."/>
                <w:tag w:val="part_ff98111015734340b1ab79cbacdefa52"/>
                <w:lock w:val="sdtLocked"/>
                <w:richText/>
              </w:sdtPr>
              <w:sdtContent>
                <w:p>
                  <w:pPr>
                    <w:ind w:firstLine="720"/>
                    <w:jc w:val="both"/>
                    <w:rPr>
                      <w:szCs w:val="24"/>
                      <w:lang w:eastAsia="lt-LT"/>
                    </w:rPr>
                  </w:pPr>
                  <w:sdt>
                    <w:sdtPr>
                      <w:alias w:val="Numeris"/>
                      <w:tag w:val="nr_ff98111015734340b1ab79cbacdefa52"/>
                      <w:lock w:val="sdtLocked"/>
                      <w:richText/>
                    </w:sdtPr>
                    <w:sdtContent>
                      <w:r>
                        <w:rPr>
                          <w:szCs w:val="24"/>
                        </w:rPr>
                        <w:t>2</w:t>
                      </w:r>
                    </w:sdtContent>
                  </w:sdt>
                  <w:r>
                    <w:rPr>
                      <w:szCs w:val="24"/>
                    </w:rPr>
                    <w:t>. Derinimo pažyma.docx</w:t>
                  </w:r>
                </w:p>
                <w:p>
                  <w:pPr>
                    <w:jc w:val="both"/>
                    <w:rPr>
                      <w:szCs w:val="24"/>
                      <w:lang w:eastAsia="lt-LT"/>
                    </w:rPr>
                  </w:pPr>
                </w:p>
                <w:p>
                  <w:pPr>
                    <w:jc w:val="both"/>
                    <w:rPr>
                      <w:szCs w:val="24"/>
                      <w:lang w:eastAsia="lt-LT"/>
                    </w:rPr>
                  </w:pPr>
                </w:p>
                <w:p>
                  <w:pPr>
                    <w:jc w:val="both"/>
                    <w:rPr>
                      <w:szCs w:val="24"/>
                      <w:lang w:eastAsia="lt-LT"/>
                    </w:rPr>
                  </w:pPr>
                </w:p>
                <w:p>
                  <w:pPr>
                    <w:jc w:val="both"/>
                    <w:rPr>
                      <w:szCs w:val="24"/>
                      <w:lang w:eastAsia="lt-LT"/>
                    </w:rPr>
                  </w:pPr>
                </w:p>
                <w:p>
                  <w:pPr>
                    <w:tabs>
                      <w:tab w:val="left" w:pos="8940"/>
                    </w:tabs>
                    <w:rPr>
                      <w:szCs w:val="24"/>
                    </w:rPr>
                  </w:pPr>
                  <w:r>
                    <w:rPr>
                      <w:szCs w:val="24"/>
                    </w:rPr>
                    <w:t xml:space="preserve">Sveikatos apsaugos ministrė                                                                                   Marija Jakubauskienė</w:t>
                  </w: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lang w:eastAsia="lt-LT"/>
                    </w:rPr>
                  </w:pPr>
                </w:p>
                <w:p>
                  <w:pPr>
                    <w:tabs>
                      <w:tab w:val="center" w:pos="4819"/>
                      <w:tab w:val="right" w:pos="9638"/>
                    </w:tabs>
                    <w:rPr>
                      <w:szCs w:val="24"/>
                    </w:rPr>
                  </w:pPr>
                  <w:r>
                    <w:rPr>
                      <w:rFonts w:eastAsia="Calibri"/>
                      <w:szCs w:val="24"/>
                    </w:rPr>
                    <w:t>Greta Makauskaitė</w:t>
                  </w:r>
                  <w:r>
                    <w:rPr>
                      <w:szCs w:val="24"/>
                    </w:rPr>
                    <w:t xml:space="preserve">, tel. </w:t>
                  </w:r>
                  <w:r>
                    <w:rPr>
                      <w:rFonts w:eastAsia="Calibri"/>
                      <w:szCs w:val="24"/>
                    </w:rPr>
                    <w:t>+370 5 266 1483</w:t>
                  </w:r>
                  <w:r>
                    <w:rPr>
                      <w:szCs w:val="24"/>
                    </w:rPr>
                    <w:t xml:space="preserve">, el. p. greta.makauskaite@vlk.lt </w:t>
                  </w:r>
                </w:p>
              </w:sdtContent>
            </w:sdt>
          </w:sdtContent>
        </w:sdt>
        <w:sdt>
          <w:sdtPr>
            <w:alias w:val="signatura"/>
            <w:tag w:val="part_8a16f7ffae7549f4abc1415d0675228a"/>
            <w:lock w:val="sdtLocked"/>
            <w:richText/>
          </w:sdtPr>
          <w:sdtContent>
            <w:p>
              <w:pPr>
                <w:tabs>
                  <w:tab w:val="center" w:pos="4819"/>
                  <w:tab w:val="right" w:pos="9638"/>
                </w:tabs>
                <w:rPr>
                  <w:szCs w:val="24"/>
                  <w:lang w:eastAsia="lt-LT"/>
                </w:rPr>
              </w:pPr>
              <w:r>
                <w:rPr>
                  <w:szCs w:val="24"/>
                </w:rPr>
                <w:t xml:space="preserve">Kazys Rušinskas, tel. </w:t>
              </w:r>
              <w:r>
                <w:rPr>
                  <w:szCs w:val="24"/>
                  <w:lang w:val="en-US"/>
                </w:rPr>
                <w:t>+370 5 260 4898, el. p. kazys.rusinskas</w:t>
              </w:r>
              <w:r>
                <w:rPr>
                  <w:szCs w:val="24"/>
                </w:rPr>
                <w:t xml:space="preserve">@sam.lt                    </w:t>
              </w:r>
            </w:p>
          </w:sdtContent>
        </w:sdt>
      </w:sdtContent>
    </w:sdt>
    <w:sectPr>
      <w:headerReference w:type="even" r:id="rId12"/>
      <w:headerReference w:type="default" r:id="rId13"/>
      <w:footerReference w:type="even" r:id="rId14"/>
      <w:footerReference w:type="default" r:id="rId15"/>
      <w:headerReference w:type="first" r:id="rId16"/>
      <w:footerReference w:type="first" r:id="rId17"/>
      <w:pgSz w:w="11906" w:h="16838" w:code="9"/>
      <w:pgMar w:top="1134" w:right="656" w:bottom="1134" w:left="1276" w:header="737" w:footer="1111"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 w:type="continuationNotice" w:id="1">
    <w:p>
      <w:pPr>
        <w:rPr>
          <w:szCs w:val="24"/>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tblBorders>
      <w:tblLook w:val="04A0" w:firstRow="1" w:lastRow="0" w:firstColumn="1" w:lastColumn="0" w:noHBand="0" w:noVBand="1"/>
    </w:tblPr>
    <w:tblGrid>
      <w:gridCol w:w="1555"/>
      <w:gridCol w:w="1842"/>
      <w:gridCol w:w="3686"/>
      <w:gridCol w:w="2545"/>
    </w:tblGrid>
    <w:tr>
      <w:tc>
        <w:tcPr>
          <w:tcW w:w="1555" w:type="dxa"/>
          <w:vAlign w:val="center"/>
        </w:tcPr>
        <w:p>
          <w:pPr>
            <w:rPr>
              <w:sz w:val="10"/>
              <w:szCs w:val="10"/>
            </w:rPr>
          </w:pPr>
        </w:p>
        <w:p>
          <w:pPr>
            <w:rPr>
              <w:szCs w:val="24"/>
            </w:rPr>
          </w:pPr>
          <w:r>
            <w:rPr>
              <w:szCs w:val="24"/>
              <w:lang w:val="en-US"/>
            </w:rPr>
            <w:drawing>
              <wp:inline distT="0" distB="0" distL="0" distR="0" wp14:anchorId="0C092DB3" wp14:editId="0C092DB4">
                <wp:extent cx="533400" cy="628608"/>
                <wp:effectExtent l="0" t="0" r="0" b="635"/>
                <wp:docPr id="239749747" name="Paveikslėlis 1" descr="Paveikslėlis, kuriame yra logotipas, varinis kastetas, dizain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1" descr="Paveikslėlis, kuriame yra logotipas, varinis kastetas, dizainas  Automatiškai sugeneruotas aprašym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5239" cy="642560"/>
                        </a:xfrm>
                        <a:prstGeom prst="rect">
                          <a:avLst/>
                        </a:prstGeom>
                        <a:noFill/>
                        <a:ln>
                          <a:noFill/>
                        </a:ln>
                      </pic:spPr>
                    </pic:pic>
                  </a:graphicData>
                </a:graphic>
              </wp:inline>
            </w:drawing>
          </w:r>
        </w:p>
      </w:tc>
      <w:tc>
        <w:tcPr>
          <w:tcW w:w="1842" w:type="dxa"/>
          <w:vAlign w:val="center"/>
        </w:tcPr>
        <w:p>
          <w:pPr>
            <w:rPr>
              <w:rFonts w:eastAsia="Calibri"/>
              <w:color w:val="000000"/>
              <w:sz w:val="18"/>
              <w:szCs w:val="18"/>
              <w:lang w:eastAsia="lt-LT"/>
            </w:rPr>
          </w:pPr>
          <w:r>
            <w:rPr>
              <w:rFonts w:eastAsia="Calibri"/>
              <w:color w:val="000000"/>
              <w:sz w:val="18"/>
              <w:szCs w:val="18"/>
              <w:lang w:eastAsia="lt-LT"/>
            </w:rPr>
            <w:t>Biudžetinė įstaiga</w:t>
          </w:r>
        </w:p>
        <w:p>
          <w:pPr>
            <w:rPr>
              <w:rFonts w:eastAsia="Calibri"/>
              <w:color w:val="000000"/>
              <w:sz w:val="18"/>
              <w:szCs w:val="18"/>
              <w:lang w:eastAsia="lt-LT"/>
            </w:rPr>
          </w:pPr>
          <w:r>
            <w:rPr>
              <w:rFonts w:eastAsia="Calibri"/>
              <w:color w:val="000000"/>
              <w:sz w:val="18"/>
              <w:szCs w:val="18"/>
              <w:lang w:eastAsia="lt-LT"/>
            </w:rPr>
            <w:t>Vilniaus g. 33</w:t>
          </w:r>
        </w:p>
        <w:p>
          <w:pPr>
            <w:rPr>
              <w:rFonts w:eastAsia="Calibri"/>
              <w:color w:val="000000"/>
              <w:sz w:val="18"/>
              <w:szCs w:val="18"/>
              <w:lang w:eastAsia="lt-LT"/>
            </w:rPr>
          </w:pPr>
          <w:r>
            <w:rPr>
              <w:rFonts w:eastAsia="Calibri"/>
              <w:color w:val="000000"/>
              <w:sz w:val="18"/>
              <w:szCs w:val="18"/>
              <w:lang w:eastAsia="lt-LT"/>
            </w:rPr>
            <w:t>LT-01402 Vilnius</w:t>
          </w:r>
        </w:p>
      </w:tc>
      <w:tc>
        <w:tcPr>
          <w:tcW w:w="3686" w:type="dxa"/>
          <w:vAlign w:val="center"/>
        </w:tcPr>
        <w:p>
          <w:pPr>
            <w:rPr>
              <w:rFonts w:eastAsia="Calibri"/>
              <w:color w:val="000000"/>
              <w:sz w:val="18"/>
              <w:szCs w:val="18"/>
              <w:lang w:eastAsia="lt-LT"/>
            </w:rPr>
          </w:pPr>
          <w:r>
            <w:rPr>
              <w:rFonts w:eastAsia="Calibri"/>
              <w:color w:val="000000"/>
              <w:sz w:val="18"/>
              <w:szCs w:val="18"/>
              <w:lang w:eastAsia="lt-LT"/>
            </w:rPr>
            <w:t>Tel. +370 800 66 004</w:t>
          </w:r>
        </w:p>
        <w:p>
          <w:pPr>
            <w:rPr>
              <w:rFonts w:eastAsia="Calibri"/>
              <w:color w:val="0563C1"/>
              <w:sz w:val="18"/>
              <w:szCs w:val="18"/>
              <w:u w:val="single"/>
              <w:lang w:eastAsia="lt-LT"/>
            </w:rPr>
          </w:pPr>
          <w:r>
            <w:rPr>
              <w:rFonts w:eastAsia="Calibri"/>
              <w:color w:val="000000"/>
              <w:sz w:val="18"/>
              <w:szCs w:val="18"/>
              <w:lang w:eastAsia="lt-LT"/>
            </w:rPr>
            <w:t xml:space="preserve">El. p. </w:t>
          </w:r>
          <w:r>
            <w:rPr>
              <w:rFonts w:eastAsia="Calibri"/>
              <w:color w:val="0563C1"/>
              <w:sz w:val="18"/>
              <w:szCs w:val="18"/>
              <w:u w:val="single"/>
              <w:lang w:eastAsia="lt-LT"/>
            </w:rPr>
            <w:t>ministerija@sam.lt</w:t>
          </w:r>
          <w:r>
            <w:rPr>
              <w:rFonts w:eastAsia="Calibri"/>
              <w:color w:val="000000"/>
              <w:sz w:val="18"/>
              <w:szCs w:val="18"/>
              <w:lang w:eastAsia="lt-LT"/>
            </w:rPr>
            <w:t xml:space="preserve">, </w:t>
          </w:r>
          <w:r>
            <w:rPr>
              <w:rFonts w:eastAsia="Calibri"/>
              <w:color w:val="0563C1"/>
              <w:sz w:val="18"/>
              <w:szCs w:val="18"/>
              <w:u w:val="single"/>
              <w:lang w:eastAsia="lt-LT"/>
            </w:rPr>
            <w:t>https://sam.lrv.lt</w:t>
          </w:r>
        </w:p>
        <w:p>
          <w:pPr>
            <w:rPr>
              <w:szCs w:val="24"/>
              <w:lang w:val="pt-BR"/>
            </w:rPr>
          </w:pPr>
          <w:r>
            <w:rPr>
              <w:rFonts w:eastAsia="Calibri"/>
              <w:color w:val="000000"/>
              <w:sz w:val="18"/>
              <w:szCs w:val="18"/>
              <w:lang w:eastAsia="lt-LT"/>
            </w:rPr>
            <w:t>E. pristatymo dėžutės adresas 18860347</w:t>
          </w:r>
          <w:r>
            <w:rPr>
              <w:rFonts w:eastAsia="Calibri"/>
              <w:color w:val="000000"/>
              <w:sz w:val="18"/>
              <w:szCs w:val="18"/>
              <w:lang w:val="pt-BR" w:eastAsia="lt-LT"/>
            </w:rPr>
            <w:t>2</w:t>
          </w:r>
        </w:p>
      </w:tc>
      <w:tc>
        <w:tcPr>
          <w:tcW w:w="2545" w:type="dxa"/>
          <w:vAlign w:val="center"/>
        </w:tcPr>
        <w:p>
          <w:pPr>
            <w:rPr>
              <w:rFonts w:eastAsia="Calibri"/>
              <w:color w:val="000000"/>
              <w:sz w:val="18"/>
              <w:szCs w:val="18"/>
              <w:lang w:eastAsia="lt-LT"/>
            </w:rPr>
          </w:pPr>
          <w:r>
            <w:rPr>
              <w:rFonts w:eastAsia="Calibri"/>
              <w:color w:val="000000"/>
              <w:sz w:val="18"/>
              <w:szCs w:val="18"/>
              <w:lang w:eastAsia="lt-LT"/>
            </w:rPr>
            <w:t>Duomenys kaupiami ir saugomi Juridinių asmenų registre</w:t>
          </w:r>
        </w:p>
        <w:p>
          <w:pPr>
            <w:rPr>
              <w:szCs w:val="24"/>
            </w:rPr>
          </w:pPr>
          <w:r>
            <w:rPr>
              <w:rFonts w:eastAsia="Calibri"/>
              <w:color w:val="000000"/>
              <w:sz w:val="18"/>
              <w:szCs w:val="18"/>
              <w:lang w:eastAsia="lt-LT"/>
            </w:rPr>
            <w:t>Kodas 188603472</w:t>
          </w:r>
        </w:p>
      </w:tc>
    </w:tr>
  </w:tbl>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type="continuationNotice" w:id="1">
    <w:p>
      <w:pPr>
        <w:rPr>
          <w:szCs w:val="24"/>
        </w:rPr>
      </w:pPr>
    </w:p>
  </w:footnote>
  <w:footnote w:id="2">
    <w:p>
      <w:pPr>
        <w:ind w:left="142"/>
        <w:jc w:val="both"/>
        <w:rPr>
          <w:sz w:val="20"/>
        </w:rPr>
      </w:pPr>
      <w:r>
        <w:rPr>
          <w:sz w:val="20"/>
          <w:vertAlign w:val="superscript"/>
        </w:rPr>
        <w:footnoteRef/>
      </w:r>
      <w:r>
        <w:rPr>
          <w:sz w:val="20"/>
        </w:rPr>
        <w:t xml:space="preserve"> Lietuvos Respublikos sveikatos apsaugos ministro 2018 m. liepos 19 d. įsakymas Nr. V-824 „Dėl Sveikatos priežiūros paslaugų teikimo sunkių traumų atvejais tvarkos aprašo patvirtinimo ir Traumų integruotos sveikatos priežiūros valdymo komiteto sudarymo“;</w:t>
      </w:r>
    </w:p>
    <w:p>
      <w:pPr>
        <w:ind w:left="142"/>
        <w:jc w:val="both"/>
        <w:rPr>
          <w:sz w:val="20"/>
        </w:rPr>
      </w:pPr>
      <w:r>
        <w:rPr>
          <w:sz w:val="20"/>
        </w:rPr>
        <w:t>Lietuvos Respublikos sveikatos apsaugos ministro 2014 m. vasario 17 d. įsakymas Nr. V-244 „Dėl Asmens sveikatos priežiūros paslaugų įtariant ar diagnozavus ūminį miokardo infarktą, kai ST segmentas pakilęs, teikimo tvarkos aprašo patvirtinimo“;</w:t>
      </w:r>
    </w:p>
    <w:p>
      <w:pPr>
        <w:ind w:left="142"/>
        <w:jc w:val="both"/>
        <w:rPr>
          <w:sz w:val="20"/>
        </w:rPr>
      </w:pPr>
      <w:r>
        <w:rPr>
          <w:sz w:val="20"/>
        </w:rPr>
        <w:t>Lietuvos Respublikos sveikatos apsaugos ministro 2017 m. rugpjūčio 3 d. įsakymas Nr. V-940 „Dėl Asmens sveikatos priežiūros paslaugų įtariant ar diagnozavus ūminį miokardo infarktą, kai ST segmentas nepakilęs, teikimo organizavimo tvarkos aprašo patvirtinimo“;</w:t>
      </w:r>
    </w:p>
    <w:p>
      <w:pPr>
        <w:ind w:left="142"/>
        <w:jc w:val="both"/>
        <w:rPr>
          <w:sz w:val="20"/>
        </w:rPr>
      </w:pPr>
      <w:r>
        <w:rPr>
          <w:sz w:val="20"/>
        </w:rPr>
        <w:t>Lietuvos Respublikos sveikatos apsaugos ministro 2014 m. sausio 20 d. įsakymas Nr. V-40 „Dėl Asmens sveikatos priežiūros paslaugų įtariant ar diagnozavus ūminį galvos smegenų insultą teikimo tvarkos aprašo patvirtinimo ir Insulto integruotos sveikatos priežiūros stebėsenos komiteto sudarymo“;</w:t>
      </w:r>
    </w:p>
    <w:p>
      <w:pPr>
        <w:ind w:left="142"/>
        <w:jc w:val="both"/>
        <w:rPr>
          <w:sz w:val="20"/>
          <w:lang w:val="en-GB"/>
        </w:rPr>
      </w:pPr>
      <w:r>
        <w:rPr>
          <w:sz w:val="20"/>
        </w:rPr>
        <w:t>Lietuvos Respublikos sveikatos apsaugos ministro 2017 m. vasario 17 d. įsakymas Nr. V-156 „Dėl Onkologinėmis ligomis sergančių pacientų srautų valdymo ir paslaugų organizavimo reikalavimų aprašo patvirtinimo“;</w:t>
      </w:r>
    </w:p>
    <w:p>
      <w:pPr>
        <w:ind w:left="142"/>
        <w:jc w:val="both"/>
        <w:rPr>
          <w:sz w:val="20"/>
        </w:rPr>
      </w:pPr>
      <w:r>
        <w:rPr>
          <w:sz w:val="20"/>
        </w:rPr>
        <w:t>Lietuvos Respublikos sveikatos apsaugos ministro 2013 m. rugsėjo 23 d. įsakymas Nr. V-900 „Dėl Nėščiųjų, gimdyvių ir naujagimių sveikatos priežiūros tvarkos aprašo patvirtinimo ir Perinatologijos integruotos sveikatos priežiūros stebėsenos komiteto sudarymo“;</w:t>
      </w:r>
    </w:p>
    <w:p>
      <w:pPr>
        <w:ind w:left="142"/>
        <w:jc w:val="both"/>
        <w:rPr>
          <w:sz w:val="20"/>
        </w:rPr>
      </w:pPr>
      <w:r>
        <w:rPr>
          <w:sz w:val="20"/>
        </w:rPr>
        <w:t>Lietuvos Respublikos sveikatos apsaugos ministro 2022 m. kovo 2 d. įsakymas Nr. V-465 „Dėl Intensyviosios terapijos asmens sveikatos priežiūros paslaugų teikimo suaugusiesiems reikalavimų ir Intensyviosios priežiūros asmens sveikatos priežiūros paslaugų teikimo suaugusiesiems reikalavimų aprašų patvirtinimo“;</w:t>
      </w:r>
    </w:p>
    <w:p>
      <w:pPr>
        <w:ind w:left="142"/>
        <w:jc w:val="both"/>
        <w:rPr>
          <w:sz w:val="20"/>
          <w:lang w:val="en-GB"/>
        </w:rPr>
      </w:pPr>
      <w:r>
        <w:rPr>
          <w:sz w:val="20"/>
        </w:rPr>
        <w:t>Lietuvos Respublikos sveikatos apsaugos ministro 2008 m. sausio 4 d. įsakymas Nr. V-7 „Dėl Mirusio žmogaus audinių ir organų donorystės asmens sveikatos priežiūros paslaugų koordinavimo ir teikimo tvarkos aprašo patvirtinimo“.</w:t>
      </w:r>
    </w:p>
    <w:p>
      <w:pPr>
        <w:rPr>
          <w:sz w:val="20"/>
          <w:lang w:val="en-GB"/>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characterSpacingControl w:val="doNotCompress"/>
  <w:doNotValidateAgainstSchema/>
  <w:doNotDemarcateInvalidXml/>
  <w:hdrShapeDefaults>
    <o:shapedefaults v:ext="edit" spidmax="2050"/>
  </w:hdrShapeDefaults>
  <w:footnotePr>
    <w:footnote w:id="-1"/>
    <w:footnote w:id="0"/>
    <w:footnote w:id="1"/>
  </w:footnotePr>
  <w:endnotePr>
    <w:endnote w:id="-1"/>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68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chartTrackingRefBased/>
  <w15:docId w15:val="{8FEF9928-0D29-4DB0-B255-AA2B85BDE11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8475024">
      <w:bodyDiv w:val="1"/>
      <w:marLeft w:val="0"/>
      <w:marRight w:val="0"/>
      <w:marTop w:val="0"/>
      <w:marBottom w:val="0"/>
      <w:divBdr>
        <w:top w:val="none" w:sz="0" w:space="0" w:color="auto"/>
        <w:left w:val="none" w:sz="0" w:space="0" w:color="auto"/>
        <w:bottom w:val="none" w:sz="0" w:space="0" w:color="auto"/>
        <w:right w:val="none" w:sz="0" w:space="0" w:color="auto"/>
      </w:divBdr>
    </w:div>
    <w:div w:id="89275015">
      <w:bodyDiv w:val="1"/>
      <w:marLeft w:val="0"/>
      <w:marRight w:val="0"/>
      <w:marTop w:val="0"/>
      <w:marBottom w:val="0"/>
      <w:divBdr>
        <w:top w:val="none" w:sz="0" w:space="0" w:color="auto"/>
        <w:left w:val="none" w:sz="0" w:space="0" w:color="auto"/>
        <w:bottom w:val="none" w:sz="0" w:space="0" w:color="auto"/>
        <w:right w:val="none" w:sz="0" w:space="0" w:color="auto"/>
      </w:divBdr>
    </w:div>
    <w:div w:id="160656692">
      <w:bodyDiv w:val="1"/>
      <w:marLeft w:val="0"/>
      <w:marRight w:val="0"/>
      <w:marTop w:val="0"/>
      <w:marBottom w:val="0"/>
      <w:divBdr>
        <w:top w:val="none" w:sz="0" w:space="0" w:color="auto"/>
        <w:left w:val="none" w:sz="0" w:space="0" w:color="auto"/>
        <w:bottom w:val="none" w:sz="0" w:space="0" w:color="auto"/>
        <w:right w:val="none" w:sz="0" w:space="0" w:color="auto"/>
      </w:divBdr>
    </w:div>
    <w:div w:id="609557587">
      <w:bodyDiv w:val="1"/>
      <w:marLeft w:val="0"/>
      <w:marRight w:val="0"/>
      <w:marTop w:val="0"/>
      <w:marBottom w:val="0"/>
      <w:divBdr>
        <w:top w:val="none" w:sz="0" w:space="0" w:color="auto"/>
        <w:left w:val="none" w:sz="0" w:space="0" w:color="auto"/>
        <w:bottom w:val="none" w:sz="0" w:space="0" w:color="auto"/>
        <w:right w:val="none" w:sz="0" w:space="0" w:color="auto"/>
      </w:divBdr>
      <w:divsChild>
        <w:div w:id="576596360">
          <w:marLeft w:val="0"/>
          <w:marRight w:val="0"/>
          <w:marTop w:val="0"/>
          <w:marBottom w:val="0"/>
          <w:divBdr>
            <w:top w:val="none" w:sz="0" w:space="0" w:color="auto"/>
            <w:left w:val="none" w:sz="0" w:space="0" w:color="auto"/>
            <w:bottom w:val="none" w:sz="0" w:space="0" w:color="auto"/>
            <w:right w:val="none" w:sz="0" w:space="0" w:color="auto"/>
          </w:divBdr>
        </w:div>
        <w:div w:id="505052913">
          <w:marLeft w:val="0"/>
          <w:marRight w:val="0"/>
          <w:marTop w:val="0"/>
          <w:marBottom w:val="0"/>
          <w:divBdr>
            <w:top w:val="none" w:sz="0" w:space="0" w:color="auto"/>
            <w:left w:val="none" w:sz="0" w:space="0" w:color="auto"/>
            <w:bottom w:val="none" w:sz="0" w:space="0" w:color="auto"/>
            <w:right w:val="none" w:sz="0" w:space="0" w:color="auto"/>
          </w:divBdr>
          <w:divsChild>
            <w:div w:id="1824278155">
              <w:marLeft w:val="0"/>
              <w:marRight w:val="0"/>
              <w:marTop w:val="0"/>
              <w:marBottom w:val="0"/>
              <w:divBdr>
                <w:top w:val="none" w:sz="0" w:space="0" w:color="auto"/>
                <w:left w:val="none" w:sz="0" w:space="0" w:color="auto"/>
                <w:bottom w:val="none" w:sz="0" w:space="0" w:color="auto"/>
                <w:right w:val="none" w:sz="0" w:space="0" w:color="auto"/>
              </w:divBdr>
            </w:div>
            <w:div w:id="1740711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1477970">
      <w:bodyDiv w:val="1"/>
      <w:marLeft w:val="0"/>
      <w:marRight w:val="0"/>
      <w:marTop w:val="0"/>
      <w:marBottom w:val="0"/>
      <w:divBdr>
        <w:top w:val="none" w:sz="0" w:space="0" w:color="auto"/>
        <w:left w:val="none" w:sz="0" w:space="0" w:color="auto"/>
        <w:bottom w:val="none" w:sz="0" w:space="0" w:color="auto"/>
        <w:right w:val="none" w:sz="0" w:space="0" w:color="auto"/>
      </w:divBdr>
    </w:div>
    <w:div w:id="637683093">
      <w:bodyDiv w:val="1"/>
      <w:marLeft w:val="0"/>
      <w:marRight w:val="0"/>
      <w:marTop w:val="0"/>
      <w:marBottom w:val="0"/>
      <w:divBdr>
        <w:top w:val="none" w:sz="0" w:space="0" w:color="auto"/>
        <w:left w:val="none" w:sz="0" w:space="0" w:color="auto"/>
        <w:bottom w:val="none" w:sz="0" w:space="0" w:color="auto"/>
        <w:right w:val="none" w:sz="0" w:space="0" w:color="auto"/>
      </w:divBdr>
    </w:div>
    <w:div w:id="944767613">
      <w:bodyDiv w:val="1"/>
      <w:marLeft w:val="0"/>
      <w:marRight w:val="0"/>
      <w:marTop w:val="0"/>
      <w:marBottom w:val="0"/>
      <w:divBdr>
        <w:top w:val="none" w:sz="0" w:space="0" w:color="auto"/>
        <w:left w:val="none" w:sz="0" w:space="0" w:color="auto"/>
        <w:bottom w:val="none" w:sz="0" w:space="0" w:color="auto"/>
        <w:right w:val="none" w:sz="0" w:space="0" w:color="auto"/>
      </w:divBdr>
      <w:divsChild>
        <w:div w:id="1981228977">
          <w:marLeft w:val="0"/>
          <w:marRight w:val="0"/>
          <w:marTop w:val="0"/>
          <w:marBottom w:val="0"/>
          <w:divBdr>
            <w:top w:val="none" w:sz="0" w:space="0" w:color="auto"/>
            <w:left w:val="none" w:sz="0" w:space="0" w:color="auto"/>
            <w:bottom w:val="none" w:sz="0" w:space="0" w:color="auto"/>
            <w:right w:val="none" w:sz="0" w:space="0" w:color="auto"/>
          </w:divBdr>
        </w:div>
      </w:divsChild>
    </w:div>
    <w:div w:id="1118067720">
      <w:bodyDiv w:val="1"/>
      <w:marLeft w:val="0"/>
      <w:marRight w:val="0"/>
      <w:marTop w:val="0"/>
      <w:marBottom w:val="0"/>
      <w:divBdr>
        <w:top w:val="none" w:sz="0" w:space="0" w:color="auto"/>
        <w:left w:val="none" w:sz="0" w:space="0" w:color="auto"/>
        <w:bottom w:val="none" w:sz="0" w:space="0" w:color="auto"/>
        <w:right w:val="none" w:sz="0" w:space="0" w:color="auto"/>
      </w:divBdr>
    </w:div>
    <w:div w:id="1133256804">
      <w:bodyDiv w:val="1"/>
      <w:marLeft w:val="0"/>
      <w:marRight w:val="0"/>
      <w:marTop w:val="0"/>
      <w:marBottom w:val="0"/>
      <w:divBdr>
        <w:top w:val="none" w:sz="0" w:space="0" w:color="auto"/>
        <w:left w:val="none" w:sz="0" w:space="0" w:color="auto"/>
        <w:bottom w:val="none" w:sz="0" w:space="0" w:color="auto"/>
        <w:right w:val="none" w:sz="0" w:space="0" w:color="auto"/>
      </w:divBdr>
    </w:div>
    <w:div w:id="1135832502">
      <w:bodyDiv w:val="1"/>
      <w:marLeft w:val="0"/>
      <w:marRight w:val="0"/>
      <w:marTop w:val="0"/>
      <w:marBottom w:val="0"/>
      <w:divBdr>
        <w:top w:val="none" w:sz="0" w:space="0" w:color="auto"/>
        <w:left w:val="none" w:sz="0" w:space="0" w:color="auto"/>
        <w:bottom w:val="none" w:sz="0" w:space="0" w:color="auto"/>
        <w:right w:val="none" w:sz="0" w:space="0" w:color="auto"/>
      </w:divBdr>
    </w:div>
    <w:div w:id="1181704565">
      <w:bodyDiv w:val="1"/>
      <w:marLeft w:val="0"/>
      <w:marRight w:val="0"/>
      <w:marTop w:val="0"/>
      <w:marBottom w:val="0"/>
      <w:divBdr>
        <w:top w:val="none" w:sz="0" w:space="0" w:color="auto"/>
        <w:left w:val="none" w:sz="0" w:space="0" w:color="auto"/>
        <w:bottom w:val="none" w:sz="0" w:space="0" w:color="auto"/>
        <w:right w:val="none" w:sz="0" w:space="0" w:color="auto"/>
      </w:divBdr>
    </w:div>
    <w:div w:id="1206866567">
      <w:bodyDiv w:val="1"/>
      <w:marLeft w:val="0"/>
      <w:marRight w:val="0"/>
      <w:marTop w:val="0"/>
      <w:marBottom w:val="0"/>
      <w:divBdr>
        <w:top w:val="none" w:sz="0" w:space="0" w:color="auto"/>
        <w:left w:val="none" w:sz="0" w:space="0" w:color="auto"/>
        <w:bottom w:val="none" w:sz="0" w:space="0" w:color="auto"/>
        <w:right w:val="none" w:sz="0" w:space="0" w:color="auto"/>
      </w:divBdr>
    </w:div>
    <w:div w:id="1226336079">
      <w:bodyDiv w:val="1"/>
      <w:marLeft w:val="0"/>
      <w:marRight w:val="0"/>
      <w:marTop w:val="0"/>
      <w:marBottom w:val="0"/>
      <w:divBdr>
        <w:top w:val="none" w:sz="0" w:space="0" w:color="auto"/>
        <w:left w:val="none" w:sz="0" w:space="0" w:color="auto"/>
        <w:bottom w:val="none" w:sz="0" w:space="0" w:color="auto"/>
        <w:right w:val="none" w:sz="0" w:space="0" w:color="auto"/>
      </w:divBdr>
    </w:div>
    <w:div w:id="1236360556">
      <w:bodyDiv w:val="1"/>
      <w:marLeft w:val="0"/>
      <w:marRight w:val="0"/>
      <w:marTop w:val="0"/>
      <w:marBottom w:val="0"/>
      <w:divBdr>
        <w:top w:val="none" w:sz="0" w:space="0" w:color="auto"/>
        <w:left w:val="none" w:sz="0" w:space="0" w:color="auto"/>
        <w:bottom w:val="none" w:sz="0" w:space="0" w:color="auto"/>
        <w:right w:val="none" w:sz="0" w:space="0" w:color="auto"/>
      </w:divBdr>
      <w:divsChild>
        <w:div w:id="281034731">
          <w:marLeft w:val="547"/>
          <w:marRight w:val="0"/>
          <w:marTop w:val="200"/>
          <w:marBottom w:val="0"/>
          <w:divBdr>
            <w:top w:val="none" w:sz="0" w:space="0" w:color="auto"/>
            <w:left w:val="none" w:sz="0" w:space="0" w:color="auto"/>
            <w:bottom w:val="none" w:sz="0" w:space="0" w:color="auto"/>
            <w:right w:val="none" w:sz="0" w:space="0" w:color="auto"/>
          </w:divBdr>
        </w:div>
        <w:div w:id="1422751148">
          <w:marLeft w:val="547"/>
          <w:marRight w:val="0"/>
          <w:marTop w:val="200"/>
          <w:marBottom w:val="0"/>
          <w:divBdr>
            <w:top w:val="none" w:sz="0" w:space="0" w:color="auto"/>
            <w:left w:val="none" w:sz="0" w:space="0" w:color="auto"/>
            <w:bottom w:val="none" w:sz="0" w:space="0" w:color="auto"/>
            <w:right w:val="none" w:sz="0" w:space="0" w:color="auto"/>
          </w:divBdr>
        </w:div>
        <w:div w:id="1961187345">
          <w:marLeft w:val="547"/>
          <w:marRight w:val="0"/>
          <w:marTop w:val="200"/>
          <w:marBottom w:val="0"/>
          <w:divBdr>
            <w:top w:val="none" w:sz="0" w:space="0" w:color="auto"/>
            <w:left w:val="none" w:sz="0" w:space="0" w:color="auto"/>
            <w:bottom w:val="none" w:sz="0" w:space="0" w:color="auto"/>
            <w:right w:val="none" w:sz="0" w:space="0" w:color="auto"/>
          </w:divBdr>
        </w:div>
        <w:div w:id="1123156938">
          <w:marLeft w:val="547"/>
          <w:marRight w:val="0"/>
          <w:marTop w:val="200"/>
          <w:marBottom w:val="0"/>
          <w:divBdr>
            <w:top w:val="none" w:sz="0" w:space="0" w:color="auto"/>
            <w:left w:val="none" w:sz="0" w:space="0" w:color="auto"/>
            <w:bottom w:val="none" w:sz="0" w:space="0" w:color="auto"/>
            <w:right w:val="none" w:sz="0" w:space="0" w:color="auto"/>
          </w:divBdr>
        </w:div>
        <w:div w:id="2107537169">
          <w:marLeft w:val="547"/>
          <w:marRight w:val="0"/>
          <w:marTop w:val="200"/>
          <w:marBottom w:val="0"/>
          <w:divBdr>
            <w:top w:val="none" w:sz="0" w:space="0" w:color="auto"/>
            <w:left w:val="none" w:sz="0" w:space="0" w:color="auto"/>
            <w:bottom w:val="none" w:sz="0" w:space="0" w:color="auto"/>
            <w:right w:val="none" w:sz="0" w:space="0" w:color="auto"/>
          </w:divBdr>
        </w:div>
        <w:div w:id="336621548">
          <w:marLeft w:val="547"/>
          <w:marRight w:val="0"/>
          <w:marTop w:val="200"/>
          <w:marBottom w:val="0"/>
          <w:divBdr>
            <w:top w:val="none" w:sz="0" w:space="0" w:color="auto"/>
            <w:left w:val="none" w:sz="0" w:space="0" w:color="auto"/>
            <w:bottom w:val="none" w:sz="0" w:space="0" w:color="auto"/>
            <w:right w:val="none" w:sz="0" w:space="0" w:color="auto"/>
          </w:divBdr>
        </w:div>
      </w:divsChild>
    </w:div>
    <w:div w:id="1336763588">
      <w:bodyDiv w:val="1"/>
      <w:marLeft w:val="0"/>
      <w:marRight w:val="0"/>
      <w:marTop w:val="0"/>
      <w:marBottom w:val="0"/>
      <w:divBdr>
        <w:top w:val="none" w:sz="0" w:space="0" w:color="auto"/>
        <w:left w:val="none" w:sz="0" w:space="0" w:color="auto"/>
        <w:bottom w:val="none" w:sz="0" w:space="0" w:color="auto"/>
        <w:right w:val="none" w:sz="0" w:space="0" w:color="auto"/>
      </w:divBdr>
    </w:div>
    <w:div w:id="1350764867">
      <w:bodyDiv w:val="1"/>
      <w:marLeft w:val="0"/>
      <w:marRight w:val="0"/>
      <w:marTop w:val="0"/>
      <w:marBottom w:val="0"/>
      <w:divBdr>
        <w:top w:val="none" w:sz="0" w:space="0" w:color="auto"/>
        <w:left w:val="none" w:sz="0" w:space="0" w:color="auto"/>
        <w:bottom w:val="none" w:sz="0" w:space="0" w:color="auto"/>
        <w:right w:val="none" w:sz="0" w:space="0" w:color="auto"/>
      </w:divBdr>
    </w:div>
    <w:div w:id="1392147278">
      <w:bodyDiv w:val="1"/>
      <w:marLeft w:val="0"/>
      <w:marRight w:val="0"/>
      <w:marTop w:val="0"/>
      <w:marBottom w:val="0"/>
      <w:divBdr>
        <w:top w:val="none" w:sz="0" w:space="0" w:color="auto"/>
        <w:left w:val="none" w:sz="0" w:space="0" w:color="auto"/>
        <w:bottom w:val="none" w:sz="0" w:space="0" w:color="auto"/>
        <w:right w:val="none" w:sz="0" w:space="0" w:color="auto"/>
      </w:divBdr>
    </w:div>
    <w:div w:id="1525822676">
      <w:bodyDiv w:val="1"/>
      <w:marLeft w:val="0"/>
      <w:marRight w:val="0"/>
      <w:marTop w:val="0"/>
      <w:marBottom w:val="0"/>
      <w:divBdr>
        <w:top w:val="none" w:sz="0" w:space="0" w:color="auto"/>
        <w:left w:val="none" w:sz="0" w:space="0" w:color="auto"/>
        <w:bottom w:val="none" w:sz="0" w:space="0" w:color="auto"/>
        <w:right w:val="none" w:sz="0" w:space="0" w:color="auto"/>
      </w:divBdr>
    </w:div>
    <w:div w:id="1542474508">
      <w:bodyDiv w:val="1"/>
      <w:marLeft w:val="0"/>
      <w:marRight w:val="0"/>
      <w:marTop w:val="0"/>
      <w:marBottom w:val="0"/>
      <w:divBdr>
        <w:top w:val="none" w:sz="0" w:space="0" w:color="auto"/>
        <w:left w:val="none" w:sz="0" w:space="0" w:color="auto"/>
        <w:bottom w:val="none" w:sz="0" w:space="0" w:color="auto"/>
        <w:right w:val="none" w:sz="0" w:space="0" w:color="auto"/>
      </w:divBdr>
    </w:div>
    <w:div w:id="1679188202">
      <w:bodyDiv w:val="1"/>
      <w:marLeft w:val="0"/>
      <w:marRight w:val="0"/>
      <w:marTop w:val="0"/>
      <w:marBottom w:val="0"/>
      <w:divBdr>
        <w:top w:val="none" w:sz="0" w:space="0" w:color="auto"/>
        <w:left w:val="none" w:sz="0" w:space="0" w:color="auto"/>
        <w:bottom w:val="none" w:sz="0" w:space="0" w:color="auto"/>
        <w:right w:val="none" w:sz="0" w:space="0" w:color="auto"/>
      </w:divBdr>
    </w:div>
    <w:div w:id="1873879431">
      <w:bodyDiv w:val="1"/>
      <w:marLeft w:val="0"/>
      <w:marRight w:val="0"/>
      <w:marTop w:val="0"/>
      <w:marBottom w:val="0"/>
      <w:divBdr>
        <w:top w:val="none" w:sz="0" w:space="0" w:color="auto"/>
        <w:left w:val="none" w:sz="0" w:space="0" w:color="auto"/>
        <w:bottom w:val="none" w:sz="0" w:space="0" w:color="auto"/>
        <w:right w:val="none" w:sz="0" w:space="0" w:color="auto"/>
      </w:divBdr>
      <w:divsChild>
        <w:div w:id="1859856282">
          <w:marLeft w:val="0"/>
          <w:marRight w:val="0"/>
          <w:marTop w:val="0"/>
          <w:marBottom w:val="0"/>
          <w:divBdr>
            <w:top w:val="none" w:sz="0" w:space="0" w:color="auto"/>
            <w:left w:val="none" w:sz="0" w:space="0" w:color="auto"/>
            <w:bottom w:val="none" w:sz="0" w:space="0" w:color="auto"/>
            <w:right w:val="none" w:sz="0" w:space="0" w:color="auto"/>
          </w:divBdr>
        </w:div>
        <w:div w:id="1197353256">
          <w:marLeft w:val="0"/>
          <w:marRight w:val="0"/>
          <w:marTop w:val="0"/>
          <w:marBottom w:val="0"/>
          <w:divBdr>
            <w:top w:val="none" w:sz="0" w:space="0" w:color="auto"/>
            <w:left w:val="none" w:sz="0" w:space="0" w:color="auto"/>
            <w:bottom w:val="none" w:sz="0" w:space="0" w:color="auto"/>
            <w:right w:val="none" w:sz="0" w:space="0" w:color="auto"/>
          </w:divBdr>
        </w:div>
      </w:divsChild>
    </w:div>
    <w:div w:id="1947955590">
      <w:bodyDiv w:val="1"/>
      <w:marLeft w:val="0"/>
      <w:marRight w:val="0"/>
      <w:marTop w:val="0"/>
      <w:marBottom w:val="0"/>
      <w:divBdr>
        <w:top w:val="none" w:sz="0" w:space="0" w:color="auto"/>
        <w:left w:val="none" w:sz="0" w:space="0" w:color="auto"/>
        <w:bottom w:val="none" w:sz="0" w:space="0" w:color="auto"/>
        <w:right w:val="none" w:sz="0" w:space="0" w:color="auto"/>
      </w:divBdr>
    </w:div>
    <w:div w:id="1960069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jpeg"/>
  <Relationship Id="rId11" Type="http://schemas.openxmlformats.org/officeDocument/2006/relationships/image" TargetMode="External" Target="cid:image010.jpg@01DA495F.B01CF720"/>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er3.xml.rels><?xml version="1.0" encoding="UTF-8"?>

<Relationships xmlns="http://schemas.openxmlformats.org/package/2006/relationships">
  <Relationship Id="rId1"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BA26F38A14B4324C81C71D4CDC37EE37" ma:contentTypeVersion="16" ma:contentTypeDescription="Kurkite naują dokumentą." ma:contentTypeScope="" ma:versionID="3a6f861e60f5fc591c0fc6413a9d6f30">
  <xsd:schema xmlns:xsd="http://www.w3.org/2001/XMLSchema" xmlns:xs="http://www.w3.org/2001/XMLSchema" xmlns:p="http://schemas.microsoft.com/office/2006/metadata/properties" xmlns:ns2="dffcbcbb-b75c-46b4-9519-b10834446e47" xmlns:ns3="ed47f19d-2675-40fc-bca5-cdb632e0c6e8" xmlns:ns4="7f216368-8434-4da0-b8c5-4172b9ea0f9c" targetNamespace="http://schemas.microsoft.com/office/2006/metadata/properties" ma:root="true" ma:fieldsID="f533af5850d5aae6171404b7de36c128" ns2:_="" ns3:_="" ns4:_="">
    <xsd:import namespace="dffcbcbb-b75c-46b4-9519-b10834446e47"/>
    <xsd:import namespace="ed47f19d-2675-40fc-bca5-cdb632e0c6e8"/>
    <xsd:import namespace="7f216368-8434-4da0-b8c5-4172b9ea0f9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4:TaxCatchAll"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fcbcbb-b75c-46b4-9519-b10834446e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124d5b8b-fd61-4fa7-9c1d-926323157504"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d47f19d-2675-40fc-bca5-cdb632e0c6e8"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f216368-8434-4da0-b8c5-4172b9ea0f9c"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502cb5ec-ca5e-4358-abf0-cba3d8d392ca}" ma:internalName="TaxCatchAll" ma:showField="CatchAllData" ma:web="7f216368-8434-4da0-b8c5-4172b9ea0f9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ffcbcbb-b75c-46b4-9519-b10834446e47">
      <Terms xmlns="http://schemas.microsoft.com/office/infopath/2007/PartnerControls"/>
    </lcf76f155ced4ddcb4097134ff3c332f>
    <TaxCatchAll xmlns="7f216368-8434-4da0-b8c5-4172b9ea0f9c"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9df73c00078f49968d3520d2205a6054" PartId="03f7cdf36dcd41bd88a7ad14acf0f3f1">
    <Part Type="skirsnis" Title="DĖL LIETUVOS RESPUBLIKOS VYRIAUSYBĖS NUTARIMO PROJEKTO DERINIMO" DocPartId="8df9120592a941c69ca8f281d5eeae49" PartId="51dd093629d04552ac3f8f9e93738e84"/>
    <Part Type="skirsnis" Title="Nutarimo projektu sprendžiama problema ir Nutarimo projektą rengti paskatinusios priežastys:" DocPartId="0a52e99e19544c2ebefc7d1c392415c0" PartId="dcf196d6b2a746ffb08b935438c22cc2"/>
    <Part Type="skirsnis" Title="Nutarimo projektu siūlomo teisinio reguliavimo esmė – problemos sprendimas:" DocPartId="f8a7107f2f8c495383247d19207889a8" PartId="c912d10c1e364e15857ac87a3276b05c">
      <Part Type="punktas" Nr="1" Abbr="1 p." DocPartId="866f37a6da88462c87da54e452f06049" PartId="b10720caea6a4f2c9601344e387965e5"/>
      <Part Type="punktas" Nr="2" Abbr="2 p." DocPartId="18fe9698c5ae4b4598480b75472e4174" PartId="ff98111015734340b1ab79cbacdefa52"/>
    </Part>
    <Part Type="signatura" DocPartId="b5c6a1417acb4e9d89f2d74a030dcaac" PartId="8a16f7ffae7549f4abc1415d0675228a"/>
  </Part>
</Parts>
</file>

<file path=customXml/itemProps1.xml><?xml version="1.0" encoding="utf-8"?>
<ds:datastoreItem xmlns:ds="http://schemas.openxmlformats.org/officeDocument/2006/customXml" ds:itemID="{F6947038-3A63-4615-8B88-C41AFFA83D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fcbcbb-b75c-46b4-9519-b10834446e47"/>
    <ds:schemaRef ds:uri="ed47f19d-2675-40fc-bca5-cdb632e0c6e8"/>
    <ds:schemaRef ds:uri="7f216368-8434-4da0-b8c5-4172b9ea0f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C0FC163-396F-4D43-A966-C28BA11E4D3A}">
  <ds:schemaRefs>
    <ds:schemaRef ds:uri="http://schemas.microsoft.com/sharepoint/v3/contenttype/forms"/>
  </ds:schemaRefs>
</ds:datastoreItem>
</file>

<file path=customXml/itemProps3.xml><?xml version="1.0" encoding="utf-8"?>
<ds:datastoreItem xmlns:ds="http://schemas.openxmlformats.org/officeDocument/2006/customXml" ds:itemID="{9B08C35A-79BE-4B02-8778-44000C7D3459}">
  <ds:schemaRefs>
    <ds:schemaRef ds:uri="http://schemas.microsoft.com/office/2006/metadata/properties"/>
    <ds:schemaRef ds:uri="http://schemas.microsoft.com/office/infopath/2007/PartnerControls"/>
    <ds:schemaRef ds:uri="dffcbcbb-b75c-46b4-9519-b10834446e47"/>
    <ds:schemaRef ds:uri="7f216368-8434-4da0-b8c5-4172b9ea0f9c"/>
  </ds:schemaRefs>
</ds:datastoreItem>
</file>

<file path=customXml/itemProps4.xml><?xml version="1.0" encoding="utf-8"?>
<ds:datastoreItem xmlns:ds="http://schemas.openxmlformats.org/officeDocument/2006/customXml" ds:itemID="{7E2E03F8-5334-4977-BB18-A383DDFCDB9E}">
  <ds:schemaRefs>
    <ds:schemaRef ds:uri="http://schemas.openxmlformats.org/officeDocument/2006/bibliography"/>
  </ds:schemaRefs>
</ds:datastoreItem>
</file>

<file path=customXml/itemProps5.xml><?xml version="1.0" encoding="utf-8"?>
<ds:datastoreItem xmlns:ds="http://schemas.openxmlformats.org/officeDocument/2006/customXml" ds:itemID="{8C5CCBFD-47C5-4F2A-B64A-8B90B4BB2B02}">
  <ds:schemaRefs>
    <ds:schemaRef ds:uri="http://lrs.lt/TAIS/DocParts"/>
  </ds:schemaRefs>
</ds:datastoreItem>
</file>

<file path=docMetadata/LabelInfo.xml><?xml version="1.0" encoding="utf-8"?>
<clbl:labelList xmlns:clbl="http://schemas.microsoft.com/office/2020/mipLabelMetadata">
  <clbl:label id="{07e6ee35-6814-4790-8669-80767694c28d}" enabled="0" method="" siteId="{07e6ee35-6814-4790-8669-80767694c28d}"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820</Words>
  <Characters>6259</Characters>
  <Application>Microsoft Office Word</Application>
  <DocSecurity>4</DocSecurity>
  <Lines>136</Lines>
  <Paragraphs>35</Paragraphs>
  <ScaleCrop>false</ScaleCrop>
  <HeadingPairs>
    <vt:vector size="2" baseType="variant">
      <vt:variant>
        <vt:lpstr>Pavadinimas</vt:lpstr>
      </vt:variant>
      <vt:variant>
        <vt:i4>1</vt:i4>
      </vt:variant>
    </vt:vector>
  </HeadingPairs>
  <TitlesOfParts>
    <vt:vector size="1" baseType="lpstr">
      <vt:lpstr/>
    </vt:vector>
  </TitlesOfParts>
  <Company>LR Sveikatos apsaugos ministerija</Company>
  <LinksUpToDate>false</LinksUpToDate>
  <CharactersWithSpaces>7044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2026-07-13T11:33:00Z</dcterms:created>
  <dc:creator>Oksana Loginovič</dc:creator>
  <lastModifiedBy>adlibuser</lastModifiedBy>
  <lastPrinted>2020-06-11T08:05:00Z</lastPrinted>
  <dcterms:modified xsi:type="dcterms:W3CDTF">2026-07-13T11:33:00Z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0x010100BA26F38A14B4324C81C71D4CDC37EE37</vt:lpwstr>
  </property>
</Properties>
</file>