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documenttasks/documenttasks1.xml" ContentType="application/vnd.ms-office.documenttasks+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c354aa0b6874d0dbfa88074b70227a1"/>
        <w:lock w:val="sdtLocked"/>
        <w:richText/>
      </w:sdtPr>
      <w:sdtContent>
        <w:p w14:paraId="222BFFB6" w14:textId="77777777">
          <w:pPr>
            <w:tabs>
              <w:tab w:val="center" w:pos="4819"/>
              <w:tab w:val="right" w:pos="9638"/>
            </w:tabs>
            <w:rPr>
              <w:kern w:val="2"/>
              <w:sz w:val="22"/>
              <w:szCs w:val="22"/>
            </w:rPr>
          </w:pPr>
        </w:p>
        <w:p w14:paraId="672A6659" w14:textId="77777777">
          <w:pPr>
            <w:tabs>
              <w:tab w:val="center" w:pos="4819"/>
              <w:tab w:val="right" w:pos="9638"/>
            </w:tabs>
            <w:rPr>
              <w:kern w:val="2"/>
              <w:sz w:val="22"/>
              <w:szCs w:val="22"/>
            </w:rPr>
          </w:pPr>
        </w:p>
        <w:p w14:paraId="077354D9" w14:textId="77777777">
          <w:pPr>
            <w:shd w:val="clear" w:color="auto" w:fill="FFFFFF"/>
            <w:spacing w:line="23" w:lineRule="atLeast"/>
            <w:ind w:right="99"/>
            <w:jc w:val="center"/>
            <w:rPr>
              <w:color w:val="000000"/>
              <w:lang w:eastAsia="en-GB"/>
            </w:rPr>
          </w:pPr>
          <w:r>
            <w:rPr>
              <w:b/>
              <w:bCs/>
              <w:color w:val="000000"/>
              <w:lang w:eastAsia="en-GB"/>
            </w:rPr>
            <w:t>AIŠKINAMASIS RAŠTAS</w:t>
          </w:r>
        </w:p>
        <w:p w14:paraId="0A37501D" w14:textId="77777777">
          <w:pPr>
            <w:shd w:val="clear" w:color="auto" w:fill="FFFFFF"/>
            <w:spacing w:line="23" w:lineRule="atLeast"/>
            <w:ind w:right="99"/>
            <w:jc w:val="center"/>
            <w:rPr>
              <w:b/>
              <w:bCs/>
              <w:caps/>
              <w:color w:val="000000"/>
              <w:lang w:eastAsia="en-GB"/>
            </w:rPr>
          </w:pPr>
        </w:p>
        <w:p w14:paraId="70616DE6" w14:textId="3C641BE8">
          <w:pPr>
            <w:spacing w:line="264" w:lineRule="auto"/>
            <w:jc w:val="center"/>
            <w:textAlignment w:val="baseline"/>
            <w:rPr>
              <w:color w:val="000000"/>
              <w:szCs w:val="24"/>
            </w:rPr>
          </w:pPr>
          <w:r>
            <w:rPr>
              <w:b/>
              <w:bCs/>
              <w:caps/>
              <w:color w:val="000000"/>
              <w:lang w:eastAsia="en-GB"/>
            </w:rPr>
            <w:t xml:space="preserve">dĖL LIETUVOS RESPUBLIKOS PAKUOČIŲ IR PAKUOČIŲ ATLIEKŲ TVARKYMO ĮSTATYMO NR. IX-517 pakeitimo įstatymo, </w:t>
          </w:r>
          <w:r>
            <w:rPr>
              <w:b/>
              <w:bCs/>
              <w:caps/>
            </w:rPr>
            <w:t xml:space="preserve">LIETUVOS RESPUBLIKOS </w:t>
          </w:r>
          <w:r>
            <w:rPr>
              <w:b/>
              <w:bCs/>
              <w:lang w:eastAsia="lt-LT"/>
            </w:rPr>
            <w:t xml:space="preserve">ADMINISTRACINIŲ NUSIŽENGIMŲ KODEKSO </w:t>
          </w:r>
          <w:r>
            <w:rPr>
              <w:b/>
              <w:bCs/>
              <w:caps/>
            </w:rPr>
            <w:t xml:space="preserve">248 STRAIPSNIO PAKEITIMO įstatymo, </w:t>
          </w:r>
          <w:r>
            <w:rPr>
              <w:b/>
              <w:bCs/>
              <w:kern w:val="2"/>
              <w:lang w:eastAsia="lt-LT"/>
            </w:rPr>
            <w:t>LIETUVOS RESPUBLIKOS APLINKOS APSAUGOS ĮSTATYMO</w:t>
          </w:r>
          <w:r>
            <w:rPr>
              <w:b/>
              <w:bCs/>
              <w:color w:val="000000"/>
              <w:kern w:val="2"/>
              <w:lang w:eastAsia="lt-LT"/>
            </w:rPr>
            <w:t xml:space="preserve"> </w:t>
          </w:r>
          <w:r>
            <w:rPr>
              <w:b/>
              <w:bCs/>
              <w:kern w:val="2"/>
            </w:rPr>
            <w:t xml:space="preserve">NR. I-2223 </w:t>
          </w:r>
          <w:r>
            <w:rPr>
              <w:b/>
              <w:bCs/>
            </w:rPr>
            <w:t xml:space="preserve">PRIEDO PAKEITIMO IR ĮSTATYMO </w:t>
          </w:r>
          <w:r>
            <w:rPr>
              <w:b/>
              <w:bCs/>
              <w:kern w:val="2"/>
            </w:rPr>
            <w:t xml:space="preserve">PAPILDYMO </w:t>
          </w:r>
          <w:r>
            <w:rPr>
              <w:b/>
              <w:bCs/>
              <w:color w:val="000000"/>
            </w:rPr>
            <w:t>108</w:t>
          </w:r>
          <w:r>
            <w:rPr>
              <w:b/>
              <w:bCs/>
              <w:color w:val="000000"/>
              <w:vertAlign w:val="superscript"/>
            </w:rPr>
            <w:t>5</w:t>
          </w:r>
          <w:r>
            <w:rPr>
              <w:b/>
              <w:bCs/>
              <w:color w:val="000000"/>
            </w:rPr>
            <w:t>, 108</w:t>
          </w:r>
          <w:r>
            <w:rPr>
              <w:b/>
              <w:bCs/>
              <w:color w:val="000000"/>
              <w:vertAlign w:val="superscript"/>
            </w:rPr>
            <w:t>6</w:t>
          </w:r>
          <w:r>
            <w:rPr>
              <w:b/>
              <w:bCs/>
              <w:color w:val="000000"/>
            </w:rPr>
            <w:t>, 108</w:t>
          </w:r>
          <w:r>
            <w:rPr>
              <w:b/>
              <w:bCs/>
              <w:color w:val="000000"/>
              <w:vertAlign w:val="superscript"/>
            </w:rPr>
            <w:t>7</w:t>
          </w:r>
          <w:r>
            <w:rPr>
              <w:b/>
              <w:bCs/>
              <w:color w:val="000000"/>
            </w:rPr>
            <w:t>, 108</w:t>
          </w:r>
          <w:r>
            <w:rPr>
              <w:b/>
              <w:bCs/>
              <w:color w:val="000000"/>
              <w:vertAlign w:val="superscript"/>
            </w:rPr>
            <w:t>8</w:t>
          </w:r>
          <w:r>
            <w:rPr>
              <w:b/>
              <w:bCs/>
              <w:color w:val="000000"/>
            </w:rPr>
            <w:t>, 108</w:t>
          </w:r>
          <w:r>
            <w:rPr>
              <w:b/>
              <w:bCs/>
              <w:color w:val="000000"/>
              <w:vertAlign w:val="superscript"/>
            </w:rPr>
            <w:t>9</w:t>
          </w:r>
          <w:r>
            <w:rPr>
              <w:b/>
              <w:bCs/>
              <w:color w:val="000000"/>
            </w:rPr>
            <w:t>, 108</w:t>
          </w:r>
          <w:r>
            <w:rPr>
              <w:b/>
              <w:bCs/>
              <w:color w:val="000000"/>
              <w:vertAlign w:val="superscript"/>
            </w:rPr>
            <w:t>10</w:t>
          </w:r>
          <w:r>
            <w:rPr>
              <w:b/>
              <w:bCs/>
              <w:color w:val="000000"/>
            </w:rPr>
            <w:t>, 108</w:t>
          </w:r>
          <w:r>
            <w:rPr>
              <w:b/>
              <w:bCs/>
              <w:color w:val="000000"/>
              <w:vertAlign w:val="superscript"/>
            </w:rPr>
            <w:t>11</w:t>
          </w:r>
          <w:r>
            <w:rPr>
              <w:b/>
              <w:bCs/>
            </w:rPr>
            <w:t xml:space="preserve"> </w:t>
          </w:r>
          <w:r>
            <w:rPr>
              <w:b/>
              <w:bCs/>
              <w:kern w:val="2"/>
            </w:rPr>
            <w:t xml:space="preserve">STRAIPSNIAIS </w:t>
          </w:r>
          <w:r>
            <w:rPr>
              <w:b/>
              <w:bCs/>
              <w:spacing w:val="2"/>
              <w:kern w:val="2"/>
              <w:shd w:val="clear" w:color="auto" w:fill="FFFFFF"/>
            </w:rPr>
            <w:t>ĮSTATYMO</w:t>
          </w:r>
          <w:r>
            <w:rPr>
              <w:b/>
              <w:bCs/>
              <w:color w:val="000000"/>
              <w:kern w:val="2"/>
              <w:lang w:eastAsia="lt-LT"/>
            </w:rPr>
            <w:t xml:space="preserve"> IR </w:t>
          </w:r>
          <w:r>
            <w:rPr>
              <w:b/>
              <w:bCs/>
              <w:caps/>
              <w:color w:val="000000"/>
              <w:lang w:eastAsia="en-GB"/>
            </w:rPr>
            <w:t xml:space="preserve">LIETUVOS RESPUBLIKOS </w:t>
          </w:r>
          <w:r>
            <w:rPr>
              <w:b/>
              <w:bCs/>
              <w:color w:val="000000"/>
              <w:szCs w:val="24"/>
            </w:rPr>
            <w:t>ATLIEKŲ TVARKYMO ĮSTATYMO NR. VIII-787 30, 34</w:t>
          </w:r>
          <w:r>
            <w:rPr>
              <w:b/>
              <w:bCs/>
              <w:color w:val="000000"/>
              <w:szCs w:val="24"/>
              <w:vertAlign w:val="superscript"/>
            </w:rPr>
            <w:t>25</w:t>
          </w:r>
          <w:r>
            <w:rPr>
              <w:b/>
              <w:bCs/>
              <w:color w:val="000000"/>
              <w:szCs w:val="24"/>
            </w:rPr>
            <w:t>, 34</w:t>
          </w:r>
          <w:r>
            <w:rPr>
              <w:b/>
              <w:bCs/>
              <w:color w:val="000000"/>
              <w:szCs w:val="24"/>
              <w:vertAlign w:val="superscript"/>
            </w:rPr>
            <w:t>26</w:t>
          </w:r>
          <w:r>
            <w:rPr>
              <w:b/>
              <w:bCs/>
              <w:color w:val="000000"/>
              <w:szCs w:val="24"/>
            </w:rPr>
            <w:t xml:space="preserve"> IR 34</w:t>
          </w:r>
          <w:r>
            <w:rPr>
              <w:b/>
              <w:bCs/>
              <w:color w:val="000000"/>
              <w:szCs w:val="24"/>
              <w:vertAlign w:val="superscript"/>
            </w:rPr>
            <w:t>28</w:t>
          </w:r>
          <w:r>
            <w:rPr>
              <w:b/>
              <w:bCs/>
              <w:color w:val="000000"/>
              <w:szCs w:val="24"/>
            </w:rPr>
            <w:t xml:space="preserve"> STRAIPSNIŲ PAKEITIMO </w:t>
          </w:r>
        </w:p>
        <w:p w14:paraId="7AC83C35" w14:textId="4DCC5826">
          <w:pPr>
            <w:widowControl w:val="0"/>
            <w:jc w:val="center"/>
            <w:textAlignment w:val="baseline"/>
            <w:rPr>
              <w:b/>
              <w:bCs/>
              <w:caps/>
              <w:color w:val="000000"/>
              <w:lang w:eastAsia="en-GB"/>
            </w:rPr>
          </w:pPr>
          <w:r>
            <w:rPr>
              <w:b/>
              <w:bCs/>
              <w:color w:val="000000"/>
              <w:szCs w:val="24"/>
            </w:rPr>
            <w:t xml:space="preserve">ĮSTATYMO </w:t>
          </w:r>
          <w:r>
            <w:rPr>
              <w:b/>
              <w:bCs/>
              <w:color w:val="000000"/>
              <w:kern w:val="2"/>
              <w:lang w:eastAsia="lt-LT"/>
            </w:rPr>
            <w:t>PROJEKTŲ</w:t>
          </w:r>
        </w:p>
        <w:p w14:paraId="5DAB6C7B" w14:textId="77777777">
          <w:pPr>
            <w:shd w:val="clear" w:color="auto" w:fill="FFFFFF"/>
            <w:spacing w:line="23" w:lineRule="atLeast"/>
            <w:ind w:firstLine="62"/>
            <w:rPr>
              <w:color w:val="000000"/>
              <w:lang w:eastAsia="en-GB"/>
            </w:rPr>
          </w:pPr>
        </w:p>
        <w:sdt>
          <w:sdtPr>
            <w:alias w:val="1 p."/>
            <w:tag w:val="part_515b02ed24094fdf852f2231d5de51e3"/>
            <w:lock w:val="sdtLocked"/>
            <w:richText/>
          </w:sdtPr>
          <w:sdtContent>
            <w:p w14:paraId="50B2FD8F" w14:textId="77777777">
              <w:pPr>
                <w:shd w:val="clear" w:color="auto" w:fill="FFFFFF"/>
                <w:spacing w:line="23" w:lineRule="atLeast"/>
                <w:ind w:firstLine="709"/>
                <w:jc w:val="both"/>
                <w:rPr>
                  <w:color w:val="000000"/>
                  <w:lang w:eastAsia="en-GB"/>
                </w:rPr>
              </w:pPr>
              <w:sdt>
                <w:sdtPr>
                  <w:alias w:val="Numeris"/>
                  <w:tag w:val="nr_515b02ed24094fdf852f2231d5de51e3"/>
                  <w:lock w:val="sdtLocked"/>
                  <w:richText/>
                </w:sdtPr>
                <w:sdtContent>
                  <w:r>
                    <w:rPr>
                      <w:b/>
                      <w:bCs/>
                      <w:color w:val="000000"/>
                      <w:lang w:eastAsia="en-GB"/>
                    </w:rPr>
                    <w:t>1</w:t>
                  </w:r>
                </w:sdtContent>
              </w:sdt>
              <w:r>
                <w:rPr>
                  <w:b/>
                  <w:bCs/>
                  <w:color w:val="000000"/>
                  <w:lang w:eastAsia="en-GB"/>
                </w:rPr>
                <w:t>. Įstatymų projektų rengimą paskatinusios priežastys, parengtų projektų tikslai ir uždaviniai</w:t>
              </w:r>
            </w:p>
            <w:p w14:paraId="6705E2E5" w14:textId="77777777">
              <w:pPr>
                <w:widowControl w:val="0"/>
                <w:spacing w:line="23" w:lineRule="atLeast"/>
                <w:ind w:firstLine="567"/>
                <w:jc w:val="both"/>
              </w:pPr>
              <w:r>
                <w:t xml:space="preserve">2024 m. gruodžio 19 d. priimtas Europos Parlamento ir Tarybos Reglamentas </w:t>
              </w:r>
              <w:fldSimple w:instr="HYPERLINK http://eur-lex.europa.eu/legal-content/LIT/TXT/?uri=CELEX:32025R0040&amp;locale=lt \t _blank">
                <w:r>
                  <w:rPr>
                    <w:u w:val="single"/>
                    <w:color w:val="0000FF" w:themeColor="hyperlink"/>
                  </w:rPr>
                  <w:t>(ES) 2025/40</w:t>
                </w:r>
              </w:fldSimple>
              <w:r>
                <w:t xml:space="preserve"> dėl pakuočių ir pakuočių atliekų, kuriuo iš dalies keičiamas Reglamentas </w:t>
              </w:r>
              <w:fldSimple w:instr="HYPERLINK http://eur-lex.europa.eu/legal-content/LIT/TXT/?uri=CELEX:32019R1020&amp;locale=lt \t _blank">
                <w:r>
                  <w:rPr>
                    <w:u w:val="single"/>
                    <w:color w:val="0000FF" w:themeColor="hyperlink"/>
                  </w:rPr>
                  <w:t>(ES) 2019/1020</w:t>
                </w:r>
              </w:fldSimple>
              <w:r>
                <w:t xml:space="preserve"> ir Direktyva </w:t>
              </w:r>
              <w:fldSimple w:instr="HYPERLINK http://eur-lex.europa.eu/legal-content/LIT/TXT/?uri=CELEX:32019L0904&amp;locale=lt \t _blank">
                <w:r>
                  <w:rPr>
                    <w:u w:val="single"/>
                    <w:color w:val="0000FF" w:themeColor="hyperlink"/>
                  </w:rPr>
                  <w:t>(ES) 2019/904</w:t>
                </w:r>
              </w:fldSimple>
              <w:r>
                <w:t xml:space="preserve"> bei panaikinama Direktyva </w:t>
              </w:r>
              <w:fldSimple w:instr="HYPERLINK http://eur-lex.europa.eu/legal-content/LIT/TXT/?uri=CELEX:31994L0062&amp;locale=lt \t _blank">
                <w:r>
                  <w:rPr>
                    <w:u w:val="single"/>
                    <w:color w:val="0000FF" w:themeColor="hyperlink"/>
                  </w:rPr>
                  <w:t>94/62/EB</w:t>
                </w:r>
              </w:fldSimple>
              <w:r>
                <w:t xml:space="preserve">. Pateikdama pasiūlymą dėl Reglamento </w:t>
              </w:r>
              <w:fldSimple w:instr="HYPERLINK http://eur-lex.europa.eu/legal-content/LIT/TXT/?uri=CELEX:32025R0040&amp;locale=lt \t _blank">
                <w:r>
                  <w:rPr>
                    <w:u w:val="single"/>
                    <w:color w:val="0000FF" w:themeColor="hyperlink"/>
                  </w:rPr>
                  <w:t>(ES) 2025/40</w:t>
                </w:r>
              </w:fldSimple>
              <w:r>
                <w:t xml:space="preserve">, Europos Komisija akcentavo pagrindinius siekius – sumažinti pakuočių ir jų atliekų kiekį, numatyti aiškius pakuočių pakartotinio naudojimo reikalavimus ir tikslus tam tikroms pakuočių kategorijoms, įtvirtinti pakuočių į perdirbimą orientuoto projektavimo kriterijus bei nustatyti perdirbtų medžiagų dalies naudojimo reikalavimus plastikinėse pakuotėse. Priėmus Reglamentą </w:t>
              </w:r>
              <w:fldSimple w:instr="HYPERLINK http://eur-lex.europa.eu/legal-content/LIT/TXT/?uri=CELEX:32025R0040&amp;locale=lt \t _blank">
                <w:r>
                  <w:rPr>
                    <w:u w:val="single"/>
                    <w:color w:val="0000FF" w:themeColor="hyperlink"/>
                  </w:rPr>
                  <w:t>(ES) 2025/40</w:t>
                </w:r>
              </w:fldSimple>
              <w:r>
                <w:t xml:space="preserve"> valstybės narės, įskaitant Lietuvą, turi pritaikyti nacionalinę teisę iki 2026 m. rugpjūčio 12 d., kad ji atitiktų Reglamente </w:t>
              </w:r>
              <w:fldSimple w:instr="HYPERLINK http://eur-lex.europa.eu/legal-content/LIT/TXT/?uri=CELEX:32025R0040&amp;locale=lt \t _blank">
                <w:r>
                  <w:rPr>
                    <w:u w:val="single"/>
                    <w:color w:val="0000FF" w:themeColor="hyperlink"/>
                  </w:rPr>
                  <w:t>(ES) 2025/40</w:t>
                </w:r>
              </w:fldSimple>
              <w:r>
                <w:t xml:space="preserve"> nustatytus reikalavimus.</w:t>
              </w:r>
            </w:p>
            <w:p w14:paraId="7647C0A1" w14:textId="234346F5">
              <w:pPr>
                <w:widowControl w:val="0"/>
                <w:spacing w:line="23" w:lineRule="atLeast"/>
                <w:ind w:firstLine="567"/>
                <w:jc w:val="both"/>
                <w:rPr>
                  <w:color w:val="FF0000"/>
                  <w:szCs w:val="24"/>
                  <w:lang w:val="lt"/>
                </w:rPr>
              </w:pPr>
              <w:r>
                <w:t xml:space="preserve">Galiojantis Lietuvos Respublikos </w:t>
              </w:r>
              <w:r>
                <w:rPr>
                  <w:szCs w:val="24"/>
                  <w:lang w:val="lt"/>
                </w:rPr>
                <w:t>pakuočių ir pakuočių atliekų tvarkymo įstatymas (toliau</w:t>
              </w:r>
              <w:r>
                <w:t xml:space="preserve"> – </w:t>
              </w:r>
              <w:r>
                <w:rPr>
                  <w:szCs w:val="24"/>
                  <w:lang w:val="lt"/>
                </w:rPr>
                <w:t xml:space="preserve">PPATĮ) parengtas ir priimtas iki Reglamento </w:t>
              </w:r>
              <w:fldSimple w:instr="HYPERLINK http://eur-lex.europa.eu/legal-content/LIT/TXT/?uri=CELEX:32025R0040&amp;locale=lt \t _blank">
                <w:r>
                  <w:rPr>
                    <w:szCs w:val="24"/>
                    <w:lang w:val="lt"/>
                    <w:u w:val="single"/>
                    <w:color w:val="0000FF" w:themeColor="hyperlink"/>
                  </w:rPr>
                  <w:t>(ES) 2025/40</w:t>
                </w:r>
              </w:fldSimple>
              <w:r>
                <w:rPr>
                  <w:szCs w:val="24"/>
                  <w:lang w:val="lt"/>
                </w:rPr>
                <w:t xml:space="preserve"> priėmimo, todėl naujai nustatyti  reikalavimai Reglamente </w:t>
              </w:r>
              <w:fldSimple w:instr="HYPERLINK http://eur-lex.europa.eu/legal-content/LIT/TXT/?uri=CELEX:32025R0040&amp;locale=lt \t _blank">
                <w:r>
                  <w:rPr>
                    <w:szCs w:val="24"/>
                    <w:lang w:val="lt"/>
                    <w:u w:val="single"/>
                    <w:color w:val="0000FF" w:themeColor="hyperlink"/>
                  </w:rPr>
                  <w:t>(ES) 2025/40</w:t>
                </w:r>
              </w:fldSimple>
              <w:r>
                <w:rPr>
                  <w:szCs w:val="24"/>
                  <w:lang w:val="lt"/>
                </w:rPr>
                <w:t xml:space="preserve"> turi būti sistemiškai atspindėti ir nacionaliniame teisiniame reguliavime. Dėl šios priežasties būtina patikslinti PPATĮ nuostatas, susijusias su pakuočių perdirbamumu, perdirbtų medžiagų naudojimu, ekonominės veiklos vykdytojų pareigomis, pakartotinio naudojimo sistemų plėtra bei institucinių funkcijų paskirstymu. Siekiama ne konstatuoti ankstesnio reguliavimo nepakankamumą savaime, bet užtikrinti jo suderinamumą su naujais, tiesiogiai taikomais Europos Sąjungos teisės reikalavimais. </w:t>
              </w:r>
            </w:p>
            <w:p w14:paraId="315B2598" w14:textId="5B550DB0">
              <w:pPr>
                <w:widowControl w:val="0"/>
                <w:spacing w:line="23" w:lineRule="atLeast"/>
                <w:ind w:firstLine="567"/>
                <w:jc w:val="both"/>
              </w:pPr>
              <w:r>
                <w:rPr>
                  <w:szCs w:val="24"/>
                  <w:lang w:val="lt"/>
                </w:rPr>
                <w:t xml:space="preserve">Kartu be poreikio suderinti PPATĮ su naujais reikalavimais, kylančiais iš Reglamento </w:t>
              </w:r>
              <w:fldSimple w:instr="HYPERLINK http://eur-lex.europa.eu/legal-content/LIT/TXT/?uri=CELEX:32025R0040&amp;locale=lt \t _blank">
                <w:r>
                  <w:rPr>
                    <w:szCs w:val="24"/>
                    <w:lang w:val="lt"/>
                    <w:u w:val="single"/>
                    <w:color w:val="0000FF" w:themeColor="hyperlink"/>
                  </w:rPr>
                  <w:t>(ES) 2025/40</w:t>
                </w:r>
              </w:fldSimple>
              <w:r>
                <w:rPr>
                  <w:szCs w:val="24"/>
                  <w:lang w:val="lt"/>
                </w:rPr>
                <w:t xml:space="preserve">, </w:t>
              </w:r>
              <w:r>
                <w:t>siekiama patikslinti galiojantį teisinį reguliavimą dėl pakuočių atliekų sutvarkymą įrodančių dokumentų, gamintojų pareigų, augalų apsaugos produktų pakuočių atliekų tvarkymo ir kontrolės tarybos sudėties, pašalinti praktikoje išryškėjusias taikymo problemas, susijusias su pakuotes savo reikmėms naudojančiais subjektais, taip pat nustatytus neaiškumus ir spragas bei užtikrinti teisinio reguliavimo aiškumą ir nuoseklų teisės aktų taikymą.</w:t>
              </w:r>
            </w:p>
            <w:p w14:paraId="5ED3546A" w14:textId="77777777">
              <w:pPr>
                <w:ind w:firstLine="567"/>
                <w:jc w:val="both"/>
                <w:rPr>
                  <w:szCs w:val="24"/>
                  <w:lang w:val="lt"/>
                </w:rPr>
              </w:pPr>
              <w:r>
                <w:rPr>
                  <w:color w:val="333333"/>
                  <w:szCs w:val="24"/>
                  <w:lang w:val="lt"/>
                </w:rPr>
                <w:t xml:space="preserve">Dabartinė pakuočių ir pakuočių atliekų tvarkymo sistema buvo formuojama pagal iki šiol galiojusį nacionalinį ir Europos Sąjungos teisinį reguliavimą, todėl ji neapima atsakomybės už naujų pareigų, nustatytų Reglamente </w:t>
              </w:r>
              <w:fldSimple w:instr="HYPERLINK http://eur-lex.europa.eu/legal-content/LIT/TXT/?uri=CELEX:32025R0040&amp;locale=lt \t _blank">
                <w:r>
                  <w:rPr>
                    <w:color w:val="0000FF" w:themeColor="hyperlink"/>
                    <w:szCs w:val="24"/>
                    <w:lang w:val="lt"/>
                    <w:u w:val="single"/>
                  </w:rPr>
                  <w:t>(ES) 2025/40</w:t>
                </w:r>
              </w:fldSimple>
              <w:r>
                <w:rPr>
                  <w:color w:val="333333"/>
                  <w:szCs w:val="24"/>
                  <w:lang w:val="lt"/>
                </w:rPr>
                <w:t xml:space="preserve">, nevykdymą. </w:t>
              </w:r>
              <w:r>
                <w:rPr>
                  <w:szCs w:val="24"/>
                  <w:lang w:val="lt"/>
                </w:rPr>
                <w:t xml:space="preserve">Kadangi šie reikalavimai nacionalinėje teisėje anksčiau nebuvo įtvirtinti ir iki šiol nebuvo taikomi, už jų pažeidimą galiojančiuose Lietuvos Respublikos aplinkos apsaugos įstatyme (toliau </w:t>
              </w:r>
              <w:r>
                <w:t xml:space="preserve">– </w:t>
              </w:r>
              <w:r>
                <w:rPr>
                  <w:szCs w:val="24"/>
                  <w:lang w:val="lt"/>
                </w:rPr>
                <w:t xml:space="preserve"> AAĮ) ir Lietuvos Respublikos administracinių nusižengimų kodekse (toliau </w:t>
              </w:r>
              <w:r>
                <w:t xml:space="preserve">– </w:t>
              </w:r>
              <w:r>
                <w:rPr>
                  <w:szCs w:val="24"/>
                  <w:lang w:val="lt"/>
                </w:rPr>
                <w:t xml:space="preserve">ANK) atsakomybė šiuo metu nėra nustatyta. Dėl šios priežasties atsakomybės sistemą būtina patikslinti ir papildyti taip, kad būtų užtikrintas veiksmingas naujų Reglamento </w:t>
              </w:r>
              <w:fldSimple w:instr="HYPERLINK http://eur-lex.europa.eu/legal-content/LIT/TXT/?uri=CELEX:32025R0040&amp;locale=lt \t _blank">
                <w:r>
                  <w:rPr>
                    <w:szCs w:val="24"/>
                    <w:lang w:val="lt"/>
                    <w:u w:val="single"/>
                    <w:color w:val="0000FF" w:themeColor="hyperlink"/>
                  </w:rPr>
                  <w:t>(ES) 2025/40</w:t>
                </w:r>
              </w:fldSimple>
              <w:r>
                <w:rPr>
                  <w:szCs w:val="24"/>
                  <w:lang w:val="lt"/>
                </w:rPr>
                <w:t xml:space="preserve"> reikalavimų įgyvendinimas ir laikymosi kontrolė.</w:t>
              </w:r>
            </w:p>
            <w:p w14:paraId="147868D9" w14:textId="31DC37BB">
              <w:pPr>
                <w:widowControl w:val="0"/>
                <w:spacing w:line="23" w:lineRule="atLeast"/>
                <w:ind w:firstLine="567"/>
                <w:jc w:val="both"/>
                <w:rPr>
                  <w:szCs w:val="24"/>
                  <w:lang w:val="lt"/>
                </w:rPr>
              </w:pPr>
              <w:r>
                <w:rPr>
                  <w:lang w:val="lt"/>
                </w:rPr>
                <w:t xml:space="preserve">Reglamentas </w:t>
              </w:r>
              <w:fldSimple w:instr="HYPERLINK http://eur-lex.europa.eu/legal-content/LIT/TXT/?uri=CELEX:32025R0040&amp;locale=lt \t _blank">
                <w:r>
                  <w:rPr>
                    <w:lang w:val="lt"/>
                    <w:u w:val="single"/>
                    <w:color w:val="0000FF" w:themeColor="hyperlink"/>
                  </w:rPr>
                  <w:t>(ES) 2025/40</w:t>
                </w:r>
              </w:fldSimple>
              <w:r>
                <w:rPr>
                  <w:lang w:val="lt"/>
                </w:rPr>
                <w:t xml:space="preserve"> nustato naujus, gerokai platesnius reikalavimus, susijusius su pakartotinio naudojimo sistemų plėtra, pakartotinio užpildymo galimybių užtikrinimu, pakartotinio naudojimo tikslų pasiekimu, išsineštinio maisto ir gėrimų pakuočių naudojimu, pakuočių tinkamumu perdirbti, minimalios perdirbtų medžiagų dalies naudojimu, perteklinių pakuočių mažinimu bei draudžiamų pakuočių pateikimu rinkai. Atsižvelgiant į tai, siekiant užtikrinti veiksmingą Reglamento </w:t>
              </w:r>
              <w:fldSimple w:instr="HYPERLINK http://eur-lex.europa.eu/legal-content/LIT/TXT/?uri=CELEX:32025R0040&amp;locale=lt \t _blank">
                <w:r>
                  <w:rPr>
                    <w:lang w:val="lt"/>
                    <w:u w:val="single"/>
                    <w:color w:val="0000FF" w:themeColor="hyperlink"/>
                  </w:rPr>
                  <w:t>(ES) 2025/40</w:t>
                </w:r>
              </w:fldSimple>
              <w:r>
                <w:rPr>
                  <w:lang w:val="lt"/>
                </w:rPr>
                <w:t xml:space="preserve"> įgyvendinimą ir sudaryti prielaidas tinkamai vykdyti naujas ekonominės veiklos vykdytojų pareigas, AAĮ ir ANK projektuose siūloma nustatyti naujas atsakomybės rūšis ir papildyti galiojantį teisinį reguliavimą.</w:t>
              </w:r>
              <w:r>
                <w:tab/>
              </w:r>
              <w:r>
                <w:rPr>
                  <w:szCs w:val="24"/>
                </w:rPr>
                <w:t xml:space="preserve">Taip pat kartu teikiamas Lietuvos Respublikos atliekų tvarkymo įstatymo (toliau </w:t>
              </w:r>
              <w:r>
                <w:t>–</w:t>
              </w:r>
              <w:r>
                <w:rPr>
                  <w:szCs w:val="24"/>
                </w:rPr>
                <w:t xml:space="preserve"> ATĮ ) 30, 34²⁵, 34²⁶ ir 34²⁸ straipsnių pakeitimo projektas. ATĮ keičiamas techninio pobūdžio pakeitimais, nes jame pateikiamos nuorodos į </w:t>
              </w:r>
              <w:r>
                <w:rPr>
                  <w:lang w:val="lt"/>
                </w:rPr>
                <w:t>PPATĮ</w:t>
              </w:r>
              <w:r>
                <w:rPr>
                  <w:szCs w:val="24"/>
                </w:rPr>
                <w:t xml:space="preserve"> nuostatas, o PPATĮ projekte tikslinama straipsnių numeracija.</w:t>
              </w:r>
            </w:p>
          </w:sdtContent>
        </w:sdt>
        <w:sdt>
          <w:sdtPr>
            <w:alias w:val="2 p."/>
            <w:tag w:val="part_b7e94949b9044f5ab008f5b0a6d4425e"/>
            <w:lock w:val="sdtLocked"/>
            <w:richText/>
          </w:sdtPr>
          <w:sdtContent>
            <w:p w14:paraId="52E1AF4E" w14:textId="77777777">
              <w:pPr>
                <w:ind w:firstLine="567"/>
                <w:jc w:val="both"/>
                <w:rPr>
                  <w:kern w:val="2"/>
                  <w:lang w:eastAsia="lt-LT"/>
                </w:rPr>
              </w:pPr>
              <w:sdt>
                <w:sdtPr>
                  <w:alias w:val="Numeris"/>
                  <w:tag w:val="nr_b7e94949b9044f5ab008f5b0a6d4425e"/>
                  <w:lock w:val="sdtLocked"/>
                  <w:richText/>
                </w:sdtPr>
                <w:sdtContent>
                  <w:r>
                    <w:rPr>
                      <w:b/>
                      <w:bCs/>
                      <w:color w:val="000000"/>
                      <w:lang w:eastAsia="en-GB"/>
                    </w:rPr>
                    <w:t>2</w:t>
                  </w:r>
                </w:sdtContent>
              </w:sdt>
              <w:r>
                <w:rPr>
                  <w:b/>
                  <w:bCs/>
                  <w:color w:val="000000"/>
                  <w:lang w:eastAsia="en-GB"/>
                </w:rPr>
                <w:t>. Įstatymų projektų iniciatoriai (institucija, asmenys ar piliečių įgalioti atstovai) ir rengėjai</w:t>
              </w:r>
            </w:p>
            <w:p w14:paraId="0E88813F" w14:textId="7C412852">
              <w:pPr>
                <w:ind w:firstLine="567"/>
                <w:jc w:val="both"/>
                <w:rPr>
                  <w:color w:val="000000"/>
                </w:rPr>
              </w:pPr>
              <w:r>
                <w:rPr>
                  <w:kern w:val="2"/>
                  <w:lang w:bidi="en-US"/>
                </w:rPr>
                <w:t>Įstatymų projektus parengė Aplinkos ministerijos Atliekų politikos grupės (vadovė – Vilma Slavinskienė, mob. +370 698 75 027, el. p. </w:t>
              </w:r>
              <w:r>
                <w:rPr>
                  <w:color w:val="0563C1"/>
                  <w:kern w:val="2"/>
                  <w:u w:val="single"/>
                  <w:lang w:bidi="en-US"/>
                </w:rPr>
                <w:t>vilma.slavinskiene@am.lt</w:t>
              </w:r>
              <w:r>
                <w:rPr>
                  <w:kern w:val="2"/>
                  <w:lang w:bidi="en-US"/>
                </w:rPr>
                <w:t>) vyriausioji patarėja Greta Česnaitytė (mob. +370 696 85 134, el. p. </w:t>
              </w:r>
              <w:r>
                <w:rPr>
                  <w:color w:val="0563C1"/>
                  <w:kern w:val="2"/>
                  <w:u w:val="single"/>
                  <w:lang w:bidi="en-US"/>
                </w:rPr>
                <w:t>greta.cesnaityte@am.lt</w:t>
              </w:r>
              <w:r>
                <w:rPr>
                  <w:kern w:val="2"/>
                  <w:lang w:bidi="en-US"/>
                </w:rPr>
                <w:t>), vyriausioji specialistė Eglė Razbadauskaitė (mob. +370 620 31 528, el. p. </w:t>
              </w:r>
              <w:r>
                <w:rPr>
                  <w:color w:val="0563C1"/>
                  <w:kern w:val="2"/>
                  <w:u w:val="single"/>
                  <w:lang w:bidi="en-US"/>
                </w:rPr>
                <w:t>egle.razbadauskaite@am.lt</w:t>
              </w:r>
              <w:r>
                <w:rPr>
                  <w:kern w:val="2"/>
                  <w:lang w:bidi="en-US"/>
                </w:rPr>
                <w:t>). </w:t>
              </w:r>
            </w:p>
          </w:sdtContent>
        </w:sdt>
        <w:sdt>
          <w:sdtPr>
            <w:alias w:val="3 p."/>
            <w:tag w:val="part_5e9b34510d734193944558fe6ab2c295"/>
            <w:lock w:val="sdtLocked"/>
            <w:richText/>
          </w:sdtPr>
          <w:sdtContent>
            <w:p w14:paraId="40BFE85C" w14:textId="0355D2E6">
              <w:pPr>
                <w:ind w:firstLine="567"/>
                <w:jc w:val="both"/>
                <w:rPr>
                  <w:color w:val="000000"/>
                  <w:szCs w:val="24"/>
                  <w:lang w:eastAsia="en-GB"/>
                </w:rPr>
              </w:pPr>
              <w:sdt>
                <w:sdtPr>
                  <w:alias w:val="Numeris"/>
                  <w:tag w:val="nr_5e9b34510d734193944558fe6ab2c295"/>
                  <w:lock w:val="sdtLocked"/>
                  <w:richText/>
                </w:sdtPr>
                <w:sdtContent>
                  <w:r>
                    <w:rPr>
                      <w:b/>
                      <w:bCs/>
                      <w:color w:val="000000"/>
                      <w:lang w:eastAsia="en-GB"/>
                    </w:rPr>
                    <w:t>3</w:t>
                  </w:r>
                </w:sdtContent>
              </w:sdt>
              <w:r>
                <w:rPr>
                  <w:b/>
                  <w:bCs/>
                  <w:color w:val="000000"/>
                  <w:lang w:eastAsia="en-GB"/>
                </w:rPr>
                <w:t>. Kaip šiuo metu yra reguliuojami įstatymų projektuose aptarti teisiniai santykiai</w:t>
              </w:r>
            </w:p>
            <w:p w14:paraId="337C40A0" w14:textId="6AB4DC7B">
              <w:pPr>
                <w:widowControl w:val="0"/>
                <w:spacing w:line="23" w:lineRule="atLeast"/>
                <w:ind w:firstLine="567"/>
                <w:jc w:val="both"/>
                <w:rPr>
                  <w:lang w:val="lt"/>
                </w:rPr>
              </w:pPr>
              <w:r>
                <w:rPr>
                  <w:lang w:val="lt"/>
                </w:rPr>
                <w:t>PPATĮ nustato pakuočių, ženklinimo, surinkimo ir naudojimo reikalavimus. PPATĮ</w:t>
              </w:r>
              <w:r>
                <w:rPr>
                  <w:szCs w:val="24"/>
                  <w:lang w:val="lt"/>
                </w:rPr>
                <w:t xml:space="preserve"> įtvirtinta ne tik pačių pakuočių pateikimo rinkai ir jų tvarkymo principai, bet ir įvairių šiame procese dalyvaujančių subjektų – gamintojų, importuotojų, pardavėjų, vartotojų bei atliekų tvarkytojų – teisės ir pareigos. Šie subjektai privalo imtis ekonomiškai pagrįstų priemonių pakuočių atliekų kiekiui mažinti, o gamintojams ir importuotojams nustatyta </w:t>
              </w:r>
              <w:r>
                <w:rPr>
                  <w:lang w:val="lt"/>
                </w:rPr>
                <w:t>didesnė</w:t>
              </w:r>
              <w:r>
                <w:rPr>
                  <w:szCs w:val="24"/>
                  <w:lang w:val="lt"/>
                </w:rPr>
                <w:t xml:space="preserve"> atsakomybė už jų tiekiamų pakuočių ir iš jų susidarančių atliekų tvarkymo organizavimą bei finansavimą. </w:t>
              </w:r>
              <w:r>
                <w:rPr>
                  <w:lang w:val="lt"/>
                </w:rPr>
                <w:t xml:space="preserve">Įstatymo tikslas – sumažinti pakuočių atliekų kiekį ir jų daromą poveikį aplinkai bei žmonių sveikatai, įgyvendinant prevencijos, pakartotinio naudojimo ir perdirbimo principus. </w:t>
              </w:r>
            </w:p>
            <w:p w14:paraId="4401C7DB" w14:textId="6A2E4276">
              <w:pPr>
                <w:widowControl w:val="0"/>
                <w:spacing w:line="23" w:lineRule="atLeast"/>
                <w:ind w:firstLine="567"/>
                <w:jc w:val="both"/>
                <w:rPr>
                  <w:lang w:val="lt"/>
                </w:rPr>
              </w:pPr>
              <w:r>
                <w:rPr>
                  <w:lang w:val="lt"/>
                </w:rPr>
                <w:t>Galiojantis PPATĮ reglamentuoja pagrindinius pakuočių gamybos reikalavimus (pvz., ribinius kenksmingų medžiagų kiekius, ženklinimo nuostatas), taip pat įtvirtina gamintojų ir importuotojų prievolę registruotis Gamintojų ir importuotojų sąvade ir teikti duomenis apie pakuotes per Vieningą gaminių, pakuočių ir atliekų apskaitos informacinę sistemą (toliau – GPAIS). PPATĮ numatyta, kad pakuotės gali būti ženklinamos pagal jų sudėties identifikavimo sistemą, kad būtų sudarytos sąlygos tinkamai rūšiuoti ir perdirbti pakuočių atliekas. PPATĮ įtvirtinta ir užstato už vienkartines pakuotes sistema, kuriai taikomi specialūs reikalavimai dėl pakuočių rūšių, dydžių ir prekybininkų dalyvavimo.</w:t>
              </w:r>
            </w:p>
            <w:p w14:paraId="3F5F7580" w14:textId="53B5E739">
              <w:pPr>
                <w:widowControl w:val="0"/>
                <w:spacing w:line="23" w:lineRule="atLeast"/>
                <w:ind w:firstLine="567"/>
                <w:jc w:val="both"/>
                <w:rPr>
                  <w:lang w:val="lt"/>
                </w:rPr>
              </w:pPr>
              <w:r>
                <w:rPr>
                  <w:lang w:val="lt"/>
                </w:rPr>
                <w:t>Taip pat PPATĮ nustato, kad gamintojai ir importuotojai privalo užtikrinti jų pateiktų rinkai pakuočių atliekų surinkimą bei naudojimą, užduotys dėl surinkimo ir perdirbimo nustatomos poįstatyminių teisės aktų pagrindu, o užduočių vykdymas kontroliuojamas aplinkos apsaugos departamento, prie Aplinkos ministerijos. PPATĮ suteikia galimybę gamintojams jungtis į organizacijas ar asociacijas ir per jas, sudarant sutartis, vykdyti pareigas.</w:t>
              </w:r>
            </w:p>
            <w:p w14:paraId="527E0739" w14:textId="3728B7C7">
              <w:pPr>
                <w:ind w:firstLine="567"/>
                <w:jc w:val="both"/>
                <w:rPr>
                  <w:szCs w:val="24"/>
                  <w:lang w:val="lt"/>
                </w:rPr>
              </w:pPr>
              <w:r>
                <w:rPr>
                  <w:lang w:val="lt"/>
                </w:rPr>
                <w:t>Galiojantis teisinis reguliavimas atsakomybės už pakuočių ir pakuočių atliekų tvarkymo reikalavimų nesilaikymą srityje yra nustatytas AAĮ</w:t>
              </w:r>
              <w:r>
                <w:t xml:space="preserve"> (103–108⁴ straipsniai)</w:t>
              </w:r>
              <w:r>
                <w:rPr>
                  <w:lang w:val="lt"/>
                </w:rPr>
                <w:t xml:space="preserve"> ir ANK </w:t>
              </w:r>
              <w:r>
                <w:t>(248 straipsnis), kuriuose</w:t>
              </w:r>
              <w:r>
                <w:rPr>
                  <w:lang w:val="lt"/>
                </w:rPr>
                <w:t xml:space="preserve"> įtvirtinta atsakomybė už pagrindinių su pakuočių pateikimu rinkai ir jų atliekų tvarkymu susijusių pareigų nevykdymą, įskaitant registracijos Gamintojų ir importuotojų sąvade pareigos nesilaikymą, pakuočių apskaitos ir ataskaitų teikimo reikalavimų pažeidimus, pakuočių atliekų tvarkymo organizavimo pareigų nevykdymą, kenksmingų medžiagų ribinių kiekių viršijimą, vartotojų informavimo pareigų nesilaikymą, užstato sistemos reikalavimų pažeidimus, lengvųjų plastikinių maišelių neatlygintiną dalijimą bei kitus su vienkartinių plastikinių gaminių naudojimo mažinimu susijusius pažeidimus.</w:t>
              </w:r>
            </w:p>
          </w:sdtContent>
        </w:sdt>
        <w:sdt>
          <w:sdtPr>
            <w:alias w:val="4 p."/>
            <w:tag w:val="part_20306c39edc74e829bfee3ffe5ac5064"/>
            <w:lock w:val="sdtLocked"/>
            <w:richText/>
          </w:sdtPr>
          <w:sdtContent>
            <w:p w14:paraId="43D5923C" w14:textId="5C78DF04">
              <w:pPr>
                <w:widowControl w:val="0"/>
                <w:spacing w:line="23" w:lineRule="atLeast"/>
                <w:ind w:firstLine="567"/>
                <w:jc w:val="both"/>
                <w:rPr>
                  <w:lang w:eastAsia="en-GB"/>
                </w:rPr>
              </w:pPr>
              <w:sdt>
                <w:sdtPr>
                  <w:alias w:val="Numeris"/>
                  <w:tag w:val="nr_20306c39edc74e829bfee3ffe5ac5064"/>
                  <w:lock w:val="sdtLocked"/>
                  <w:richText/>
                </w:sdtPr>
                <w:sdtContent>
                  <w:r>
                    <w:rPr>
                      <w:b/>
                      <w:bCs/>
                      <w:color w:val="000000"/>
                      <w:lang w:eastAsia="en-GB"/>
                    </w:rPr>
                    <w:t>4</w:t>
                  </w:r>
                </w:sdtContent>
              </w:sdt>
              <w:r>
                <w:rPr>
                  <w:b/>
                  <w:bCs/>
                  <w:color w:val="000000"/>
                  <w:lang w:eastAsia="en-GB"/>
                </w:rPr>
                <w:t>. Kokios siūlomos naujos teisinio reguliavimo nuostatos</w:t>
              </w:r>
              <w:r>
                <w:rPr>
                  <w:b/>
                  <w:bCs/>
                  <w:lang w:eastAsia="en-GB"/>
                </w:rPr>
                <w:t xml:space="preserve"> ir kokių teigiamų rezultatų laukiama</w:t>
              </w:r>
            </w:p>
            <w:p w14:paraId="17646248" w14:textId="301F3140">
              <w:pPr>
                <w:widowControl w:val="0"/>
                <w:spacing w:line="23" w:lineRule="atLeast"/>
                <w:ind w:firstLine="567"/>
                <w:jc w:val="both"/>
                <w:rPr>
                  <w:color w:val="000000"/>
                </w:rPr>
              </w:pPr>
              <w:r>
                <w:t xml:space="preserve">Priėmus PPATĮ pakeitimo įstatymo projekte (toliau </w:t>
              </w:r>
              <w:r>
                <w:rPr>
                  <w:lang w:val="lt"/>
                </w:rPr>
                <w:t>– PPATĮ projektas)</w:t>
              </w:r>
              <w:r>
                <w:t xml:space="preserve">, ANK </w:t>
              </w:r>
              <w:r>
                <w:rPr>
                  <w:lang w:bidi="en-US"/>
                </w:rPr>
                <w:t>248</w:t>
              </w:r>
              <w:r>
                <w:rPr>
                  <w:vertAlign w:val="superscript"/>
                  <w:lang w:bidi="en-US"/>
                </w:rPr>
                <w:t> </w:t>
              </w:r>
              <w:r>
                <w:rPr>
                  <w:rFonts w:eastAsia="Andale Sans UI"/>
                  <w:lang w:bidi="en-US"/>
                </w:rPr>
                <w:t xml:space="preserve">straipsnio </w:t>
              </w:r>
              <w:r>
                <w:t xml:space="preserve">pakeitimo įstatymo projekte (toliau </w:t>
              </w:r>
              <w:r>
                <w:rPr>
                  <w:lang w:val="lt"/>
                </w:rPr>
                <w:t xml:space="preserve">– ANK projektas), </w:t>
              </w:r>
              <w:r>
                <w:t xml:space="preserve">AAĮ </w:t>
              </w:r>
              <w:r>
                <w:rPr>
                  <w:rFonts w:eastAsia="Andale Sans UI"/>
                  <w:lang w:bidi="en-US"/>
                </w:rPr>
                <w:t xml:space="preserve">priedo pakeitimo ir Įstatymo papildymo </w:t>
              </w:r>
              <w:r>
                <w:t>108</w:t>
              </w:r>
              <w:r>
                <w:rPr>
                  <w:vertAlign w:val="superscript"/>
                </w:rPr>
                <w:t>5</w:t>
              </w:r>
              <w:r>
                <w:t>, 108</w:t>
              </w:r>
              <w:r>
                <w:rPr>
                  <w:vertAlign w:val="superscript"/>
                </w:rPr>
                <w:t>6</w:t>
              </w:r>
              <w:r>
                <w:t>, 108</w:t>
              </w:r>
              <w:r>
                <w:rPr>
                  <w:vertAlign w:val="superscript"/>
                </w:rPr>
                <w:t>7</w:t>
              </w:r>
              <w:r>
                <w:t>, 108</w:t>
              </w:r>
              <w:r>
                <w:rPr>
                  <w:vertAlign w:val="superscript"/>
                </w:rPr>
                <w:t>8</w:t>
              </w:r>
              <w:r>
                <w:t>, 108</w:t>
              </w:r>
              <w:r>
                <w:rPr>
                  <w:vertAlign w:val="superscript"/>
                </w:rPr>
                <w:t>9</w:t>
              </w:r>
              <w:r>
                <w:t>, 108</w:t>
              </w:r>
              <w:r>
                <w:rPr>
                  <w:vertAlign w:val="superscript"/>
                </w:rPr>
                <w:t>10</w:t>
              </w:r>
              <w:r>
                <w:t>, 108</w:t>
              </w:r>
              <w:r>
                <w:rPr>
                  <w:vertAlign w:val="superscript"/>
                </w:rPr>
                <w:t>11</w:t>
              </w:r>
              <w:r>
                <w:t xml:space="preserve"> </w:t>
              </w:r>
              <w:r>
                <w:rPr>
                  <w:rFonts w:eastAsia="Andale Sans UI"/>
                  <w:lang w:bidi="en-US"/>
                </w:rPr>
                <w:t xml:space="preserve">straipsniais </w:t>
              </w:r>
              <w:r>
                <w:t xml:space="preserve">įstatymo (toliau </w:t>
              </w:r>
              <w:r>
                <w:rPr>
                  <w:lang w:val="lt"/>
                </w:rPr>
                <w:t>– AAĮ projektas)</w:t>
              </w:r>
              <w:r>
                <w:t xml:space="preserve"> ir</w:t>
              </w:r>
              <w:r>
                <w:rPr>
                  <w:szCs w:val="24"/>
                </w:rPr>
                <w:t xml:space="preserve"> Lietuvos Respublikos atliekų tvarkymo įstatymo Nr. VIII-787 30, 34</w:t>
              </w:r>
              <w:r>
                <w:rPr>
                  <w:szCs w:val="24"/>
                  <w:vertAlign w:val="superscript"/>
                </w:rPr>
                <w:t>25</w:t>
              </w:r>
              <w:r>
                <w:rPr>
                  <w:szCs w:val="24"/>
                </w:rPr>
                <w:t>, 34</w:t>
              </w:r>
              <w:r>
                <w:rPr>
                  <w:szCs w:val="24"/>
                  <w:vertAlign w:val="superscript"/>
                </w:rPr>
                <w:t>26</w:t>
              </w:r>
              <w:r>
                <w:rPr>
                  <w:szCs w:val="24"/>
                </w:rPr>
                <w:t xml:space="preserve"> ir 34</w:t>
              </w:r>
              <w:r>
                <w:rPr>
                  <w:szCs w:val="24"/>
                  <w:vertAlign w:val="superscript"/>
                </w:rPr>
                <w:t>28</w:t>
              </w:r>
              <w:r>
                <w:rPr>
                  <w:szCs w:val="24"/>
                </w:rPr>
                <w:t xml:space="preserve"> straipsnių pakeitimo įstatymo projekte</w:t>
              </w:r>
              <w:r>
                <w:t xml:space="preserve"> (toliau </w:t>
              </w:r>
              <w:r>
                <w:rPr>
                  <w:lang w:val="lt"/>
                </w:rPr>
                <w:t xml:space="preserve">–  ATĮ projektas) </w:t>
              </w:r>
              <w:r>
                <w:t>(toliau – Projektai) siūlomą teisinį reglamentavimą bus užtikrin</w:t>
              </w:r>
              <w:r>
                <w:rPr>
                  <w:color w:val="000000"/>
                </w:rPr>
                <w:t xml:space="preserve">ta, kad nacionalinė teisė būtų suderinta su Reglamentu </w:t>
              </w:r>
              <w:fldSimple w:instr="HYPERLINK http://eur-lex.europa.eu/legal-content/LIT/TXT/?uri=CELEX:32025R0040&amp;locale=lt \t _blank">
                <w:r>
                  <w:rPr>
                    <w:color w:val="0000FF" w:themeColor="hyperlink"/>
                    <w:u w:val="single"/>
                  </w:rPr>
                  <w:t>(ES) 2025/40</w:t>
                </w:r>
              </w:fldSimple>
              <w:r>
                <w:rPr>
                  <w:color w:val="000000"/>
                </w:rPr>
                <w:t xml:space="preserve">, taip sukuriant sąlygas nuosekliai įgyvendinti Reglamento </w:t>
              </w:r>
              <w:fldSimple w:instr="HYPERLINK http://eur-lex.europa.eu/legal-content/LIT/TXT/?uri=CELEX:32025R0040&amp;locale=lt \t _blank">
                <w:r>
                  <w:rPr>
                    <w:color w:val="0000FF" w:themeColor="hyperlink"/>
                    <w:u w:val="single"/>
                  </w:rPr>
                  <w:t>(ES) 2025/40</w:t>
                </w:r>
              </w:fldSimple>
              <w:r>
                <w:rPr>
                  <w:color w:val="000000"/>
                </w:rPr>
                <w:t xml:space="preserve"> nuostatas ir tokiu būdu pasiekti Reglamente </w:t>
              </w:r>
              <w:fldSimple w:instr="HYPERLINK http://eur-lex.europa.eu/legal-content/LIT/TXT/?uri=CELEX:32025R0040&amp;locale=lt \t _blank">
                <w:r>
                  <w:rPr>
                    <w:color w:val="0000FF" w:themeColor="hyperlink"/>
                    <w:u w:val="single"/>
                  </w:rPr>
                  <w:t>(ES) 2025/40</w:t>
                </w:r>
              </w:fldSimple>
              <w:r>
                <w:rPr>
                  <w:color w:val="000000"/>
                </w:rPr>
                <w:t xml:space="preserve"> įtvirtintus tikslus tiek ūkio subjektams, tiek ir valstybėms narėms. Šiuo pagrindu projektais siūlomi įstatymų pakeitimai ir papildymai orientuoti į Reglamentu </w:t>
              </w:r>
              <w:fldSimple w:instr="HYPERLINK http://eur-lex.europa.eu/legal-content/LIT/TXT/?uri=CELEX:32025R0040&amp;locale=lt \t _blank">
                <w:r>
                  <w:rPr>
                    <w:color w:val="0000FF" w:themeColor="hyperlink"/>
                    <w:u w:val="single"/>
                  </w:rPr>
                  <w:t>(ES) 2025/40</w:t>
                </w:r>
              </w:fldSimple>
              <w:r>
                <w:rPr>
                  <w:color w:val="000000"/>
                </w:rPr>
                <w:t xml:space="preserve"> nustatytų reikalavimų įgyvendinimą nacionalinėje teisėje.</w:t>
              </w:r>
            </w:p>
            <w:p w14:paraId="4B439AC4" w14:textId="4BB1042E">
              <w:pPr>
                <w:widowControl w:val="0"/>
                <w:shd w:val="clear" w:color="auto" w:fill="FFFFFF"/>
                <w:spacing w:line="23" w:lineRule="atLeast"/>
                <w:ind w:firstLine="567"/>
                <w:jc w:val="both"/>
              </w:pPr>
              <w:r>
                <w:rPr>
                  <w:color w:val="000000"/>
                </w:rPr>
                <w:t xml:space="preserve">Atsižvelgiant į tai, kad Europos Tarybos ir Parlamento reglamentai yra tiesiogiai taikomi Europos Sąjungos teisės aktai, Reglamento </w:t>
              </w:r>
              <w:fldSimple w:instr="HYPERLINK http://eur-lex.europa.eu/legal-content/LIT/TXT/?uri=CELEX:32025R0040&amp;locale=lt \t _blank">
                <w:r>
                  <w:rPr>
                    <w:color w:val="0000FF" w:themeColor="hyperlink"/>
                    <w:u w:val="single"/>
                  </w:rPr>
                  <w:t>(ES) 2025/40</w:t>
                </w:r>
              </w:fldSimple>
              <w:r>
                <w:rPr>
                  <w:color w:val="000000"/>
                </w:rPr>
                <w:t xml:space="preserve"> sąvokų apibrėžčių nėra siūloma įtvirtinti PPATĮ projekte, PPATĮ projektu siūloma atsisakyti PPATĮ įtvirtintų sąvokų, kurios apibrėžtos Reglamente </w:t>
              </w:r>
              <w:fldSimple w:instr="HYPERLINK http://eur-lex.europa.eu/legal-content/LIT/TXT/?uri=CELEX:32025R0040&amp;locale=lt \t _blank">
                <w:r>
                  <w:rPr>
                    <w:color w:val="0000FF" w:themeColor="hyperlink"/>
                    <w:u w:val="single"/>
                  </w:rPr>
                  <w:t>(ES) 2025/40</w:t>
                </w:r>
              </w:fldSimple>
              <w:r>
                <w:rPr>
                  <w:color w:val="000000"/>
                </w:rPr>
                <w:t xml:space="preserve">, ir PPATĮ nurodyti, kad PPATĮ naudojamos sąvokos apibrėžtos Reglamente </w:t>
              </w:r>
              <w:fldSimple w:instr="HYPERLINK http://eur-lex.europa.eu/legal-content/LIT/TXT/?uri=CELEX:32025R0040&amp;locale=lt \t _blank">
                <w:r>
                  <w:rPr>
                    <w:color w:val="0000FF" w:themeColor="hyperlink"/>
                    <w:u w:val="single"/>
                  </w:rPr>
                  <w:t>(ES) 2025/40</w:t>
                </w:r>
              </w:fldSimple>
              <w:r>
                <w:rPr>
                  <w:color w:val="000000"/>
                </w:rPr>
                <w:t xml:space="preserve"> (be kitų reikalingų nuorodų į teisės aktus). Kai kurios sąvokos Reglamente </w:t>
              </w:r>
              <w:fldSimple w:instr="HYPERLINK http://eur-lex.europa.eu/legal-content/LIT/TXT/?uri=CELEX:32025R0040&amp;locale=lt \t _blank">
                <w:r>
                  <w:rPr>
                    <w:color w:val="0000FF" w:themeColor="hyperlink"/>
                    <w:u w:val="single"/>
                  </w:rPr>
                  <w:t>(ES) 2025/40</w:t>
                </w:r>
              </w:fldSimple>
              <w:r>
                <w:rPr>
                  <w:color w:val="000000"/>
                </w:rPr>
                <w:t xml:space="preserve"> nebuvo apibrėžtos (pvz., „daugkartinė pakuotė“), todėl PPATĮ projekte papildomai siūloma PPATĮ įtvirtinti iš Reglamento </w:t>
              </w:r>
              <w:fldSimple w:instr="HYPERLINK http://eur-lex.europa.eu/legal-content/LIT/TXT/?uri=CELEX:32025R0040&amp;locale=lt \t _blank">
                <w:r>
                  <w:rPr>
                    <w:color w:val="0000FF" w:themeColor="hyperlink"/>
                    <w:u w:val="single"/>
                  </w:rPr>
                  <w:t>(ES) 2025/40</w:t>
                </w:r>
              </w:fldSimple>
              <w:r>
                <w:rPr>
                  <w:color w:val="000000"/>
                </w:rPr>
                <w:t xml:space="preserve"> išplaukiančias, bet tiesiogiai Reglamente </w:t>
              </w:r>
              <w:fldSimple w:instr="HYPERLINK http://eur-lex.europa.eu/legal-content/LIT/TXT/?uri=CELEX:32025R0040&amp;locale=lt \t _blank">
                <w:r>
                  <w:rPr>
                    <w:color w:val="0000FF" w:themeColor="hyperlink"/>
                    <w:u w:val="single"/>
                  </w:rPr>
                  <w:t>(ES) 2025/40</w:t>
                </w:r>
              </w:fldSimple>
              <w:r>
                <w:rPr>
                  <w:color w:val="000000"/>
                </w:rPr>
                <w:t xml:space="preserve"> neįtvirtintas sąvokas. </w:t>
              </w:r>
              <w:r>
                <w:t xml:space="preserve">Be to, siekiant teisinio aiškumo ir nuoseklumo, PPATĮ projektu siūloma patikslinti pakuočių atliekų sutvarkymo sąvoką. </w:t>
              </w:r>
            </w:p>
            <w:p w14:paraId="7F6EBE1D" w14:textId="71AFEF50">
              <w:pPr>
                <w:widowControl w:val="0"/>
                <w:shd w:val="clear" w:color="auto" w:fill="FFFFFF"/>
                <w:spacing w:line="23" w:lineRule="atLeast"/>
                <w:ind w:firstLine="567"/>
                <w:jc w:val="both"/>
                <w:rPr>
                  <w:color w:val="000000"/>
                </w:rPr>
              </w:pPr>
              <w:r>
                <w:rPr>
                  <w:color w:val="000000"/>
                </w:rPr>
                <w:t xml:space="preserve">Nepaisant to, kad Reglamentas </w:t>
              </w:r>
              <w:fldSimple w:instr="HYPERLINK http://eur-lex.europa.eu/legal-content/LIT/TXT/?uri=CELEX:32025R0040&amp;locale=lt \t _blank">
                <w:r>
                  <w:rPr>
                    <w:color w:val="0000FF" w:themeColor="hyperlink"/>
                    <w:u w:val="single"/>
                  </w:rPr>
                  <w:t>(ES) 2025/40</w:t>
                </w:r>
              </w:fldSimple>
              <w:r>
                <w:rPr>
                  <w:color w:val="000000"/>
                </w:rPr>
                <w:t xml:space="preserve"> yra tiesioginio taikymo teisės aktas, jis nėra vienintelis Europos Sąjungos teisės aktas, reglamentuojantis gamintojų ir jų organizacijų atsakomybės dėl pakuočių ir jų atliekų tvarkymo klausimus, pvz., 2008 m. lapkričio 19 d. Europos Parlamento ir Tarybos direktyvoje </w:t>
              </w:r>
              <w:fldSimple w:instr="HYPERLINK http://eur-lex.europa.eu/legal-content/LIT/TXT/?uri=CELEX:32008L0098&amp;locale=lt \t _blank">
                <w:r>
                  <w:rPr>
                    <w:color w:val="0000FF" w:themeColor="hyperlink"/>
                    <w:u w:val="single"/>
                  </w:rPr>
                  <w:t>2008/98/EB</w:t>
                </w:r>
              </w:fldSimple>
              <w:r>
                <w:rPr>
                  <w:color w:val="000000"/>
                </w:rPr>
                <w:t xml:space="preserve"> dėl atliekų (toliau  –  Atliekų pagrindų direktyva) 8 straipsnyje numatyti didesnės gamintojų atsakomybės reikalavimai, o 8a straipsnyje – bendrieji didesnės gamintojų atsakomybės sistemos būtiniausi reikalavimai.</w:t>
              </w:r>
              <w:r>
                <w:rPr>
                  <w:color w:val="FF0000"/>
                </w:rPr>
                <w:t xml:space="preserve"> </w:t>
              </w:r>
              <w:r>
                <w:rPr>
                  <w:color w:val="000000"/>
                </w:rPr>
                <w:t xml:space="preserve">Atliekų pagrindų direktyvos nuostatos perkeltos ir į PPATĮ. Todėl, siekiant teisinio aiškumo PPATĮ projektu siūloma pateikti tematines nuorodas į konkrečius Reglamento </w:t>
              </w:r>
              <w:fldSimple w:instr="HYPERLINK http://eur-lex.europa.eu/legal-content/LIT/TXT/?uri=CELEX:32025R0040&amp;locale=lt \t _blank">
                <w:r>
                  <w:rPr>
                    <w:color w:val="0000FF" w:themeColor="hyperlink"/>
                    <w:u w:val="single"/>
                  </w:rPr>
                  <w:t>(ES) 2025/40</w:t>
                </w:r>
              </w:fldSimple>
              <w:r>
                <w:rPr>
                  <w:color w:val="000000"/>
                </w:rPr>
                <w:t xml:space="preserve"> straipsnius, kad visos pareigos ir reikalavimai, taikytini gamintojams ir importuotojams ir jų organizacijoms, kylantys tiek iš Reglamento </w:t>
              </w:r>
              <w:fldSimple w:instr="HYPERLINK http://eur-lex.europa.eu/legal-content/LIT/TXT/?uri=CELEX:32025R0040&amp;locale=lt \t _blank">
                <w:r>
                  <w:rPr>
                    <w:color w:val="0000FF" w:themeColor="hyperlink"/>
                    <w:u w:val="single"/>
                  </w:rPr>
                  <w:t>(ES) 2025/40</w:t>
                </w:r>
              </w:fldSimple>
              <w:r>
                <w:rPr>
                  <w:color w:val="000000"/>
                </w:rPr>
                <w:t xml:space="preserve">, tiek ir kitų Europos Sąjungos ir nacionalinių teisės aktų, būtų aiškiai išdėstyti PPATĮ. Toliau detaliau aptariamos PPATĮ  projektu siūlomos nuostatos, jų reikšmė.</w:t>
              </w:r>
            </w:p>
            <w:p w14:paraId="7EFDFAB7" w14:textId="4CB0E945">
              <w:pPr>
                <w:widowControl w:val="0"/>
                <w:shd w:val="clear" w:color="auto" w:fill="FFFFFF"/>
                <w:spacing w:line="23" w:lineRule="atLeast"/>
                <w:ind w:firstLine="709"/>
                <w:jc w:val="both"/>
                <w:rPr>
                  <w:color w:val="000000"/>
                </w:rPr>
              </w:pPr>
              <w:r>
                <w:rPr>
                  <w:color w:val="000000"/>
                </w:rPr>
                <w:t xml:space="preserve">PPATĮ projektu siūloma nauja redakcija dėstomo PPATĮ 3 straipsnio 1–5 dalyse nustatyti skirtingų nacionalinių kompetentingų institucijų atsakomybę, įgyvendinant Reglamento </w:t>
              </w:r>
              <w:fldSimple w:instr="HYPERLINK http://eur-lex.europa.eu/legal-content/LIT/TXT/?uri=CELEX:32025R0040&amp;locale=lt \t _blank">
                <w:r>
                  <w:rPr>
                    <w:color w:val="0000FF" w:themeColor="hyperlink"/>
                    <w:u w:val="single"/>
                  </w:rPr>
                  <w:t>(ES) 2025/40</w:t>
                </w:r>
              </w:fldSimple>
              <w:r>
                <w:rPr>
                  <w:color w:val="000000"/>
                </w:rPr>
                <w:t xml:space="preserve"> reikalavimus. Siūloma, kad Viešoji įstaiga Inovacijų agentūra būtų atsakinga už Reglamento </w:t>
              </w:r>
              <w:fldSimple w:instr="HYPERLINK http://eur-lex.europa.eu/legal-content/LIT/TXT/?uri=CELEX:32025R0040&amp;locale=lt \t _blank">
                <w:r>
                  <w:rPr>
                    <w:color w:val="0000FF" w:themeColor="hyperlink"/>
                    <w:u w:val="single"/>
                  </w:rPr>
                  <w:t>(ES) 2025/40</w:t>
                </w:r>
              </w:fldSimple>
              <w:r>
                <w:rPr>
                  <w:color w:val="000000"/>
                </w:rPr>
                <w:t xml:space="preserve">  6 straipsnio 10 dalyje numatytų funkcijų vykdymą, Aplinkos apsaugos agentūra – už Reglamento </w:t>
              </w:r>
              <w:fldSimple w:instr="HYPERLINK http://eur-lex.europa.eu/legal-content/LIT/TXT/?uri=CELEX:32025R0040&amp;locale=lt \t _blank">
                <w:r>
                  <w:rPr>
                    <w:color w:val="0000FF" w:themeColor="hyperlink"/>
                    <w:u w:val="single"/>
                  </w:rPr>
                  <w:t>(ES) 2025/40</w:t>
                </w:r>
              </w:fldSimple>
              <w:r>
                <w:rPr>
                  <w:color w:val="000000"/>
                </w:rPr>
                <w:t xml:space="preserve"> 29, 31, 33, 34, 43, 44, 47, 52, 53, 54 ir 56 straipsniuose nustatytas funkcijas, Aplinkos apsaugos departamentas prie Aplinkos ministerijos – už Reglamento </w:t>
              </w:r>
              <w:fldSimple w:instr="HYPERLINK http://eur-lex.europa.eu/legal-content/LIT/TXT/?uri=CELEX:32025R0040&amp;locale=lt \t _blank">
                <w:r>
                  <w:rPr>
                    <w:color w:val="0000FF" w:themeColor="hyperlink"/>
                    <w:u w:val="single"/>
                  </w:rPr>
                  <w:t>(ES) 2025/40</w:t>
                </w:r>
              </w:fldSimple>
              <w:r>
                <w:rPr>
                  <w:color w:val="000000"/>
                </w:rPr>
                <w:t xml:space="preserve"> 32, 33, 45, 46 ir 55 straipsniuose numatytų reikalavimų kontrolę, Valstybinė vartotojų teisių apsaugos tarnyba – už Reglamento </w:t>
              </w:r>
              <w:fldSimple w:instr="HYPERLINK http://eur-lex.europa.eu/legal-content/LIT/TXT/?uri=CELEX:32025R0040&amp;locale=lt \t _blank">
                <w:r>
                  <w:rPr>
                    <w:color w:val="0000FF" w:themeColor="hyperlink"/>
                    <w:u w:val="single"/>
                  </w:rPr>
                  <w:t>(ES) 2025/40</w:t>
                </w:r>
              </w:fldSimple>
              <w:r>
                <w:rPr>
                  <w:color w:val="000000"/>
                </w:rPr>
                <w:t xml:space="preserve">  58–60 straipsniuose nustatytų nacionalinių procedūrų įgyvendinimą, o Lietuvos Respublikos muitinė – už Reglamento </w:t>
              </w:r>
              <w:fldSimple w:instr="HYPERLINK http://eur-lex.europa.eu/legal-content/LIT/TXT/?uri=CELEX:32025R0040&amp;locale=lt \t _blank">
                <w:r>
                  <w:rPr>
                    <w:color w:val="0000FF" w:themeColor="hyperlink"/>
                    <w:u w:val="single"/>
                  </w:rPr>
                  <w:t>(ES) 2025/40</w:t>
                </w:r>
              </w:fldSimple>
              <w:r>
                <w:rPr>
                  <w:color w:val="000000"/>
                </w:rPr>
                <w:t xml:space="preserve"> 61 straipsnio taikymą, susijusį su į Europos Sąjungos rinką patenkančių pakuočių kontrole. Tikimasi, kad konkrečiai įtvirtinant PPATĮ kompetentingų institucijų funkcijas, bus užtikrintas aiškumas ūkio subjektams, efektyvesnė ūkio subjektų priežiūra ir kontrolė, Reglamente </w:t>
              </w:r>
              <w:fldSimple w:instr="HYPERLINK http://eur-lex.europa.eu/legal-content/LIT/TXT/?uri=CELEX:32025R0040&amp;locale=lt \t _blank">
                <w:r>
                  <w:rPr>
                    <w:color w:val="0000FF" w:themeColor="hyperlink"/>
                    <w:u w:val="single"/>
                  </w:rPr>
                  <w:t>(ES) 2025/40</w:t>
                </w:r>
              </w:fldSimple>
              <w:r>
                <w:rPr>
                  <w:color w:val="000000"/>
                </w:rPr>
                <w:t xml:space="preserve"> nustatytų reikalavimų vykdymas.</w:t>
              </w:r>
            </w:p>
            <w:p w14:paraId="166C5AFF" w14:textId="2F6F8B75">
              <w:pPr>
                <w:widowControl w:val="0"/>
                <w:spacing w:line="23" w:lineRule="atLeast"/>
                <w:ind w:firstLine="567"/>
                <w:jc w:val="both"/>
                <w:rPr>
                  <w:color w:val="000000"/>
                </w:rPr>
              </w:pPr>
              <w:r>
                <w:rPr>
                  <w:color w:val="000000"/>
                </w:rPr>
                <w:t xml:space="preserve">PPATĮ projekto 1 straipsniu nauja redakcija dėstomo PPATĮ 5 straipsnio 6 dalyje siūloma numatyti, kad </w:t>
              </w:r>
              <w:r>
                <w:t xml:space="preserve">Lietuvos Respublikos vidaus rinkai tiekiamos pakuotės turi būti pateikiamos laikantis Reglamento </w:t>
              </w:r>
              <w:fldSimple w:instr="HYPERLINK http://eur-lex.europa.eu/legal-content/LIT/TXT/?uri=CELEX:32025R0040&amp;locale=lt \t _blank">
                <w:r>
                  <w:rPr>
                    <w:u w:val="single"/>
                    <w:color w:val="0000FF" w:themeColor="hyperlink"/>
                  </w:rPr>
                  <w:t>(ES) 2025/40</w:t>
                </w:r>
              </w:fldSimple>
              <w:r>
                <w:t xml:space="preserve"> VII skyriuje nustatytos tvarkos. Šia nuostata siekiama užtikrinti, kad visos Lietuvos Respublikos vidaus rinkai tiekiamos pakuotės atitiktų Reglamento </w:t>
              </w:r>
              <w:fldSimple w:instr="HYPERLINK http://eur-lex.europa.eu/legal-content/LIT/TXT/?uri=CELEX:32025R0040&amp;locale=lt \t _blank">
                <w:r>
                  <w:rPr>
                    <w:u w:val="single"/>
                    <w:color w:val="0000FF" w:themeColor="hyperlink"/>
                  </w:rPr>
                  <w:t>(ES) 2025/40</w:t>
                </w:r>
              </w:fldSimple>
              <w:r>
                <w:t xml:space="preserve"> VII skyriuje nustatytą tvarką, taip sudarant sąlygas Reglamente </w:t>
              </w:r>
              <w:fldSimple w:instr="HYPERLINK http://eur-lex.europa.eu/legal-content/LIT/TXT/?uri=CELEX:32025R0040&amp;locale=lt \t _blank">
                <w:r>
                  <w:rPr>
                    <w:u w:val="single"/>
                    <w:color w:val="0000FF" w:themeColor="hyperlink"/>
                  </w:rPr>
                  <w:t>(ES) 2025/40</w:t>
                </w:r>
              </w:fldSimple>
              <w:r>
                <w:t xml:space="preserve"> nustatytų reikalavimų įgyvendinimui</w:t>
              </w:r>
            </w:p>
            <w:p w14:paraId="3EFB2608" w14:textId="437946E2">
              <w:pPr>
                <w:widowControl w:val="0"/>
                <w:spacing w:line="23" w:lineRule="atLeast"/>
                <w:ind w:firstLine="709"/>
                <w:jc w:val="both"/>
                <w:rPr>
                  <w:szCs w:val="24"/>
                </w:rPr>
              </w:pPr>
              <w:r>
                <w:rPr>
                  <w:color w:val="000000"/>
                </w:rPr>
                <w:t xml:space="preserve">PPATĮ projekto 1 straipsniu nauja redakcija dėstomo PPATĮ 7 straipsnyje siūloma numatyti nuostatas dėl pakuočių apskaitos. </w:t>
              </w:r>
              <w:r>
                <w:rPr>
                  <w:szCs w:val="24"/>
                </w:rPr>
                <w:t>Vietoje šiuo metu nustatyto reguliavimo, pagal kurį pakuočių ir pakuočių atliekų apskaitą tvarko ūkinės veiklos vykdytojai ir atsiskaito Vyriausybės ar jos įgaliotos institucijos nustatyta tvarka, siūloma nustatyti, kad pakuočių apskaitą vykdo gamintojai ir pagal šios apskaitos duomenis teikia ataskaitas aplinkos ministro įgaliotai institucijai aplinkos ministro nustatyta tvarka. Taip pat siūloma patikslinti registracijos nuostatą, nustatant, kad gamintojai, įpareigoti vykdyti pakuočių apskaitą, privalo būti užsiregistravę aplinkos ministro nustatyta tvarka.</w:t>
              </w:r>
            </w:p>
            <w:p w14:paraId="5614E535" w14:textId="29D1625A">
              <w:pPr>
                <w:widowControl w:val="0"/>
                <w:spacing w:line="23" w:lineRule="atLeast"/>
                <w:ind w:firstLine="709"/>
                <w:jc w:val="both"/>
                <w:rPr>
                  <w:color w:val="000000"/>
                </w:rPr>
              </w:pPr>
              <w:r>
                <w:rPr>
                  <w:color w:val="000000"/>
                </w:rPr>
                <w:t xml:space="preserve">PPATĮ projekto 1 straipsniu nauja redakcija dėstomo PPATĮ 8–10 straipsniuose siūloma pateikti nuorodas į Reglamente </w:t>
              </w:r>
              <w:fldSimple w:instr="HYPERLINK http://eur-lex.europa.eu/legal-content/LIT/TXT/?uri=CELEX:32025R0040&amp;locale=lt \t _blank">
                <w:r>
                  <w:rPr>
                    <w:color w:val="0000FF" w:themeColor="hyperlink"/>
                    <w:u w:val="single"/>
                  </w:rPr>
                  <w:t>(ES) 2025/40</w:t>
                </w:r>
              </w:fldSimple>
              <w:r>
                <w:rPr>
                  <w:color w:val="000000"/>
                </w:rPr>
                <w:t xml:space="preserve"> įtvirtintas ekonominės veiklos vykdytojų pareigas, susijusias su pakuočių atitiktimi, pakartotinio naudojimo sistemomis ir pakartotiniu užpildymu, numatant, kad gamintojai, importuotojai, platintojai ir realizavimo paslaugų teikėjai privalo užtikrinti pakuočių atitiktį Reglamento </w:t>
              </w:r>
              <w:fldSimple w:instr="HYPERLINK http://eur-lex.europa.eu/legal-content/LIT/TXT/?uri=CELEX:32025R0040&amp;locale=lt \t _blank">
                <w:r>
                  <w:rPr>
                    <w:color w:val="0000FF" w:themeColor="hyperlink"/>
                    <w:u w:val="single"/>
                  </w:rPr>
                  <w:t>(ES) 2025/40</w:t>
                </w:r>
              </w:fldSimple>
              <w:r>
                <w:rPr>
                  <w:color w:val="000000"/>
                </w:rPr>
                <w:t xml:space="preserve"> reikalavimams, įdiegti ir dalyvauti pakartotinio naudojimo sistemose, informuoti vartotojus ir teikti produktus daugkartinėse pakuotėse ar pakartotinai užpildomose tarose pagal Reglamento </w:t>
              </w:r>
              <w:fldSimple w:instr="HYPERLINK http://eur-lex.europa.eu/legal-content/LIT/TXT/?uri=CELEX:32025R0040&amp;locale=lt \t _blank">
                <w:r>
                  <w:rPr>
                    <w:color w:val="0000FF" w:themeColor="hyperlink"/>
                    <w:u w:val="single"/>
                  </w:rPr>
                  <w:t>(ES) 2025/40</w:t>
                </w:r>
              </w:fldSimple>
              <w:r>
                <w:rPr>
                  <w:color w:val="000000"/>
                </w:rPr>
                <w:t xml:space="preserve"> nustatytus kriterijus.</w:t>
              </w:r>
            </w:p>
            <w:p w14:paraId="469005E6" w14:textId="72D577DF">
              <w:pPr>
                <w:widowControl w:val="0"/>
                <w:spacing w:line="23" w:lineRule="atLeast"/>
                <w:ind w:firstLine="709"/>
                <w:jc w:val="both"/>
                <w:rPr>
                  <w:color w:val="000000"/>
                </w:rPr>
              </w:pPr>
              <w:r>
                <w:rPr>
                  <w:color w:val="000000"/>
                </w:rPr>
                <w:t>PPATĮ projekto 2 straipsnio 2 dalyje siūloma PPATĮ projekto 1 straipsniu nauja redakcija dėstomo PPATĮ</w:t>
              </w:r>
              <w:r>
                <w:t xml:space="preserve">  2 straipsnio 6 dalį išdėstyti nauja redakcija nuo 2027 m. sausio 1 d. nustatant, kad Pakuočių atliekų sutvarkymas yra pakuočių atliekų surinkimas ir perdirbimas pagal Vyriausybės ar jos įgaliotos institucijos nustatytą užduotį.</w:t>
              </w:r>
            </w:p>
            <w:p w14:paraId="7584CEBB" w14:textId="5F7D7081">
              <w:pPr>
                <w:widowControl w:val="0"/>
                <w:spacing w:line="23" w:lineRule="atLeast"/>
                <w:ind w:firstLine="709"/>
                <w:jc w:val="both"/>
                <w:rPr>
                  <w:szCs w:val="24"/>
                </w:rPr>
              </w:pPr>
              <w:r>
                <w:rPr>
                  <w:color w:val="000000"/>
                </w:rPr>
                <w:t xml:space="preserve">PPATĮ projekto 2 straipsnio 3 dalimi siūloma PPATĮ projekto 1 straipsniu nauja redakcija dėstomą PPATĮ </w:t>
              </w:r>
              <w:r>
                <w:rPr>
                  <w:szCs w:val="24"/>
                </w:rPr>
                <w:t xml:space="preserve">nuo 2027 m. sausio 1 d papildyti </w:t>
              </w:r>
              <w:r>
                <w:rPr>
                  <w:color w:val="000000"/>
                </w:rPr>
                <w:t>10</w:t>
              </w:r>
              <w:r>
                <w:rPr>
                  <w:color w:val="000000"/>
                  <w:vertAlign w:val="superscript"/>
                </w:rPr>
                <w:t>1</w:t>
              </w:r>
              <w:r>
                <w:rPr>
                  <w:b/>
                  <w:bCs/>
                  <w:szCs w:val="24"/>
                </w:rPr>
                <w:t xml:space="preserve"> </w:t>
              </w:r>
              <w:r>
                <w:rPr>
                  <w:szCs w:val="24"/>
                </w:rPr>
                <w:t xml:space="preserve">straipsniu, kuriame nustatomos ekonominės veiklos vykdytojų pareigas, susijusias su išsineštiniu maistu ir gėrimais. Šiame straipsnyje numatoma, kad ekonominės veiklos vykdytojai turės sudaryti sąlygas vartotojams atsinešti savo tarą pakartotiniam užpildymui, siūlyti produktus vartotojo atsineštoje taroje ne mažiau palankiomis sąlygomis nei vienkartinėse pakuotėse ir informuoti vartotojus apie tokią galimybę, kaip nustatyta Reglamento </w:t>
              </w:r>
              <w:fldSimple w:instr="HYPERLINK http://eur-lex.europa.eu/legal-content/LIT/TXT/?uri=CELEX:32025R0040&amp;locale=lt \t _blank">
                <w:r>
                  <w:rPr>
                    <w:szCs w:val="24"/>
                    <w:u w:val="single"/>
                    <w:color w:val="0000FF" w:themeColor="hyperlink"/>
                  </w:rPr>
                  <w:t>(ES) 2025/40</w:t>
                </w:r>
              </w:fldSimple>
              <w:r>
                <w:rPr>
                  <w:szCs w:val="24"/>
                </w:rPr>
                <w:t xml:space="preserve"> 32 straipsnyje. Šia nuostata siekiama skatinti pakartotinį pakuočių naudojimą, mažinti vienkartinių pakuočių vartojimą, mažinti susidarančių pakuočių atliekų kiekį ir prisidėti prie žiedinės ekonomikos principų įgyvendinimo. </w:t>
              </w:r>
            </w:p>
            <w:p w14:paraId="47713736" w14:textId="6482B269">
              <w:pPr>
                <w:widowControl w:val="0"/>
                <w:spacing w:line="23" w:lineRule="atLeast"/>
                <w:ind w:firstLine="709"/>
                <w:jc w:val="both"/>
                <w:rPr>
                  <w:color w:val="000000"/>
                </w:rPr>
              </w:pPr>
              <w:r>
                <w:rPr>
                  <w:color w:val="000000"/>
                </w:rPr>
                <w:t xml:space="preserve">PPATĮ projekto 2 straipsnio 5 dalimi siūloma PPATĮ projekto 1 straipsniu nauja redakcija dėstomo PPATĮ 4 straipsnį nuo 2028 metų sausio 1 d. papildyti 2 dalimi, kurioje numatyta, jog pakuotės, atitinkančios į perdirbimą orientuoto projektavimo kriterijus, privalo būti surenkamos ir perduodamos perdirbti, o jų deginimas ar šalinimas sąvartynuose draudžiamas, kaip nustatyta Reglamento </w:t>
              </w:r>
              <w:fldSimple w:instr="HYPERLINK http://eur-lex.europa.eu/legal-content/LIT/TXT/?uri=CELEX:32025R0040&amp;locale=lt \t _blank">
                <w:r>
                  <w:rPr>
                    <w:color w:val="0000FF" w:themeColor="hyperlink"/>
                    <w:u w:val="single"/>
                  </w:rPr>
                  <w:t>(ES) 2025/40</w:t>
                </w:r>
              </w:fldSimple>
              <w:r>
                <w:rPr>
                  <w:color w:val="000000"/>
                </w:rPr>
                <w:t xml:space="preserve"> 48 straipsnio 1 dalyje. Šia nuostata siekiama padidinti perdirbamų pakuočių panaudojimą, sumažinti atliekų kiekį sąvartynuose ir deginimo įrenginiuose, skatinti žiedinės ekonomikos plėtrą, mažinti aplinkos taršą ir šiltnamio efektą sukeliančių dujų emisijas bei paskatinti inovatyvių, į perdirbimą orientuotų pakuočių diegimą rinkoje.</w:t>
              </w:r>
            </w:p>
            <w:p w14:paraId="6AD66A2D" w14:textId="03B7427A">
              <w:pPr>
                <w:widowControl w:val="0"/>
                <w:spacing w:line="23" w:lineRule="atLeast"/>
                <w:ind w:firstLine="709"/>
                <w:jc w:val="both"/>
                <w:rPr>
                  <w:szCs w:val="24"/>
                </w:rPr>
              </w:pPr>
              <w:r>
                <w:rPr>
                  <w:color w:val="000000"/>
                </w:rPr>
                <w:t>PPATĮ projekto 2 straipsnio 6 dalimi siūloma PPATĮ projekto 1 straipsniu nauja redakcija dėstomo PPATĮ</w:t>
              </w:r>
              <w:r>
                <w:rPr>
                  <w:szCs w:val="24"/>
                </w:rPr>
                <w:t xml:space="preserve"> 10¹ straipsnį nuo 2028 m. sausio 1 d. papildyti PPATĮ 2 dalimi, nustatant papildomas ekonominės veiklos vykdytojų pareigas, susijusias su pakartotinio naudojimo siūlymu. Šiame straipsnyje numatoma, kad ekonominės veiklos vykdytojai, išskyrus Reglamento </w:t>
              </w:r>
              <w:fldSimple w:instr="HYPERLINK http://eur-lex.europa.eu/legal-content/LIT/TXT/?uri=CELEX:32025R0040&amp;locale=lt \t _blank">
                <w:r>
                  <w:rPr>
                    <w:szCs w:val="24"/>
                    <w:u w:val="single"/>
                    <w:color w:val="0000FF" w:themeColor="hyperlink"/>
                  </w:rPr>
                  <w:t>(ES) 2025/40</w:t>
                </w:r>
              </w:fldSimple>
              <w:r>
                <w:rPr>
                  <w:szCs w:val="24"/>
                </w:rPr>
                <w:t xml:space="preserve"> 33 straipsnio 4 dalyje nurodytus atvejus, turės suteikti vartotojams galimybę gauti produktus daugkartinėse pakuotėse pagal pakartotinio naudojimo sistemą, informuoti vartotojus apie tokią galimybę, siūlyti produktus daugkartinėse pakuotėse ne mažiau palankiomis sąlygomis nei vienkartinėse pakuotėse, taip pat dalį savo produktų siūlyti daugkartinėse pakuotėse, kaip nustatyta Reglamento </w:t>
              </w:r>
              <w:fldSimple w:instr="HYPERLINK http://eur-lex.europa.eu/legal-content/LIT/TXT/?uri=CELEX:32025R0040&amp;locale=lt \t _blank">
                <w:r>
                  <w:rPr>
                    <w:szCs w:val="24"/>
                    <w:u w:val="single"/>
                    <w:color w:val="0000FF" w:themeColor="hyperlink"/>
                  </w:rPr>
                  <w:t>(ES) 2025/40</w:t>
                </w:r>
              </w:fldSimple>
              <w:r>
                <w:rPr>
                  <w:szCs w:val="24"/>
                </w:rPr>
                <w:t xml:space="preserve"> 33 straipsnyje. Šiomis nuostatomis siekiama skatinti pakartotinį pakuočių naudojimą, mažinti vienkartinių pakuočių vartojimą ir susidarančių atliekų kiekį bei sudaryti prielaidas pakartotinio naudojimo sistemų plėtrai. </w:t>
              </w:r>
            </w:p>
            <w:p w14:paraId="42E2BD3E" w14:textId="138B3F3E">
              <w:pPr>
                <w:widowControl w:val="0"/>
                <w:spacing w:line="23" w:lineRule="atLeast"/>
                <w:ind w:firstLine="709"/>
                <w:jc w:val="both"/>
                <w:rPr>
                  <w:szCs w:val="24"/>
                </w:rPr>
              </w:pPr>
              <w:r>
                <w:rPr>
                  <w:color w:val="000000"/>
                </w:rPr>
                <w:t>PPATĮ projekto 2 straipsnio 7 dalimi siūloma PPATĮ projekto 1 straipsniu nauja redakcija dėstomo PPATĮ</w:t>
              </w:r>
              <w:r>
                <w:rPr>
                  <w:szCs w:val="24"/>
                </w:rPr>
                <w:t xml:space="preserve"> 5 straipsnį nuo 2028 m. vasario 12 d. papildyti PPATĮ 7 dalimi, nustatant, kad Lietuvos Respublikos vidaus rinkai gali būti tiekiamos tik tokios kompostuojamosios pakuotės, kurios atitinka Reglamento </w:t>
              </w:r>
              <w:fldSimple w:instr="HYPERLINK http://eur-lex.europa.eu/legal-content/LIT/TXT/?uri=CELEX:32025R0040&amp;locale=lt \t _blank">
                <w:r>
                  <w:rPr>
                    <w:szCs w:val="24"/>
                    <w:u w:val="single"/>
                    <w:color w:val="0000FF" w:themeColor="hyperlink"/>
                  </w:rPr>
                  <w:t>(ES) 2025/40</w:t>
                </w:r>
              </w:fldSimple>
              <w:r>
                <w:rPr>
                  <w:szCs w:val="24"/>
                </w:rPr>
                <w:t xml:space="preserve"> 9 straipsnyje nustatytus reikalavimus. Šiuo reikalavimu siekiama užtikrinti, kad kompostuojamosiomis laikomos pakuotės iš tikrųjų atitiktų vienodus Europos Sąjungos mastu taikomus kriterijus ir neklaidintų vartotojų dėl jų savybių bei atliekų tvarkymo būdo. Toks reguliavimas taip pat prisideda prie tinkamo biologinių atliekų tvarkymo, aiškesnio pakuočių atskyrimo ir didesnio kompostuojamųjų medžiagų panaudojimo efektyvumo. </w:t>
              </w:r>
            </w:p>
            <w:p w14:paraId="7282FB8B" w14:textId="60A61FDB">
              <w:pPr>
                <w:widowControl w:val="0"/>
                <w:spacing w:line="23" w:lineRule="atLeast"/>
                <w:ind w:firstLine="709"/>
                <w:jc w:val="both"/>
                <w:rPr>
                  <w:szCs w:val="24"/>
                </w:rPr>
              </w:pPr>
              <w:r>
                <w:rPr>
                  <w:color w:val="000000"/>
                </w:rPr>
                <w:t>PPATĮ projekto 2 straipsnio 8 dalyje siūloma PPATĮ projekto 1 straipsniu nauja redakcija dėstomo PPATĮ</w:t>
              </w:r>
              <w:r>
                <w:rPr>
                  <w:szCs w:val="24"/>
                </w:rPr>
                <w:t xml:space="preserve">  6 straipsnio 1 dalį išdėstyti nauja redakcija nuo 2028 m. rugpjūčio 12 d. arba praėjus 24 mėnesiams nuo įgyvendinimo aktų, priimtų pagal Reglamento </w:t>
              </w:r>
              <w:fldSimple w:instr="HYPERLINK http://eur-lex.europa.eu/legal-content/LIT/TXT/?uri=CELEX:32025R0040&amp;locale=lt \t _blank">
                <w:r>
                  <w:rPr>
                    <w:szCs w:val="24"/>
                    <w:u w:val="single"/>
                    <w:color w:val="0000FF" w:themeColor="hyperlink"/>
                  </w:rPr>
                  <w:t>(ES) 2025/40</w:t>
                </w:r>
              </w:fldSimple>
              <w:r>
                <w:rPr>
                  <w:szCs w:val="24"/>
                </w:rPr>
                <w:t xml:space="preserve"> 12 straipsnio 6 arba 7 dalį, įsigaliojimo dienos, atsižvelgiant į tai, kuri data yra vėlesnė, nustatant, kad pakuotės turi būti ženklinamos nurodant joms pagaminti naudotų medžiagų rūšis ir tinkamiausią pakuočių atliekų tvarkymo būdą, o pakuočių ženklinimo tvarka būtų nustatyta Reglamento </w:t>
              </w:r>
              <w:fldSimple w:instr="HYPERLINK http://eur-lex.europa.eu/legal-content/LIT/TXT/?uri=CELEX:32025R0040&amp;locale=lt \t _blank">
                <w:r>
                  <w:rPr>
                    <w:szCs w:val="24"/>
                    <w:u w:val="single"/>
                    <w:color w:val="0000FF" w:themeColor="hyperlink"/>
                  </w:rPr>
                  <w:t>(ES) 2025/40</w:t>
                </w:r>
              </w:fldSimple>
              <w:r>
                <w:rPr>
                  <w:szCs w:val="24"/>
                </w:rPr>
                <w:t xml:space="preserve"> 12 straipsnyje. Šiuo pakeitimu siekiama suderinti nacionalinį pakuočių ženklinimo reguliavimą su naujais Europos Sąjungos reikalavimais ir užtikrinti, kad vartotojams bei atliekų tvarkytojams būtų pateikiama aiški, vienoda ir suprantama informacija apie pakuočių sudėtį bei jų atliekų tvarkymą. Toks ženklinimas yra svarbus siekiant gerinti rūšiavimo kokybę, didinti perdirbimo efektyvumą ir mažinti netinkamo atliekų tvarkymo riziką. </w:t>
              </w:r>
            </w:p>
            <w:p w14:paraId="5A728A0B" w14:textId="62A3DE36">
              <w:pPr>
                <w:widowControl w:val="0"/>
                <w:spacing w:line="23" w:lineRule="atLeast"/>
                <w:ind w:firstLine="709"/>
                <w:jc w:val="both"/>
                <w:rPr>
                  <w:szCs w:val="24"/>
                </w:rPr>
              </w:pPr>
              <w:r>
                <w:rPr>
                  <w:color w:val="000000"/>
                </w:rPr>
                <w:t>PPATĮ projekto 2 straipsnio 9 dalyje siūloma PPATĮ projekto 1 straipsniu nauja redakcija dėstomo PPATĮ</w:t>
              </w:r>
              <w:r>
                <w:rPr>
                  <w:szCs w:val="24"/>
                </w:rPr>
                <w:t xml:space="preserve"> 5 straipsnį nuo 2030 m. sausio 1 d. papildyti 8–10 dalimis, nustatant, kad Lietuvos Respublikos vidaus rinkai gali būti tiekiamos tik tokios pakuotės, kurios atitinka Reglamento </w:t>
              </w:r>
              <w:fldSimple w:instr="HYPERLINK http://eur-lex.europa.eu/legal-content/LIT/TXT/?uri=CELEX:32025R0040&amp;locale=lt \t _blank">
                <w:r>
                  <w:rPr>
                    <w:szCs w:val="24"/>
                    <w:u w:val="single"/>
                    <w:color w:val="0000FF" w:themeColor="hyperlink"/>
                  </w:rPr>
                  <w:t>(ES) 2025/40</w:t>
                </w:r>
              </w:fldSimple>
              <w:r>
                <w:rPr>
                  <w:szCs w:val="24"/>
                </w:rPr>
                <w:t xml:space="preserve"> 6 straipsnyje numatytus tinkamumo perdirbti reikalavimus, plastikinės pakuotės, kurios atitinka Reglamento </w:t>
              </w:r>
              <w:fldSimple w:instr="HYPERLINK http://eur-lex.europa.eu/legal-content/LIT/TXT/?uri=CELEX:32025R0040&amp;locale=lt \t _blank">
                <w:r>
                  <w:rPr>
                    <w:szCs w:val="24"/>
                    <w:u w:val="single"/>
                    <w:color w:val="0000FF" w:themeColor="hyperlink"/>
                  </w:rPr>
                  <w:t>(ES) 2025/40</w:t>
                </w:r>
              </w:fldSimple>
              <w:r>
                <w:rPr>
                  <w:szCs w:val="24"/>
                </w:rPr>
                <w:t xml:space="preserve"> 7 straipsnyje nustatytus perdirbtų medžiagų dalies reikalavimus, taip pat pakuotės, kurios atitinka Reglamento </w:t>
              </w:r>
              <w:fldSimple w:instr="HYPERLINK http://eur-lex.europa.eu/legal-content/LIT/TXT/?uri=CELEX:32025R0040&amp;locale=lt \t _blank">
                <w:r>
                  <w:rPr>
                    <w:szCs w:val="24"/>
                    <w:u w:val="single"/>
                    <w:color w:val="0000FF" w:themeColor="hyperlink"/>
                  </w:rPr>
                  <w:t>(ES) 2025/40</w:t>
                </w:r>
              </w:fldSimple>
              <w:r>
                <w:rPr>
                  <w:szCs w:val="24"/>
                </w:rPr>
                <w:t xml:space="preserve"> 10 straipsnyje nustatytus pakuočių kiekio mažinimo reikalavimus. Šiais reikalavimais siekiama užtikrinti, kad rinkai būtų pateikiamos tik tvaresnės, lengviau perdirbamos, mažesnį pirminių žaliavų poreikį lemiančios ir perteklinio pakuočių naudojimo vengiančios pakuotės. Tokiu būdu sudaromos prielaidos mažinti susidarančių pakuočių atliekų kiekį, skatinti perdirbtų medžiagų naudojimą ir stiprinti žiedinės ekonomikos principų įgyvendinimą. </w:t>
              </w:r>
            </w:p>
            <w:p w14:paraId="2D7BFF79" w14:textId="35052D25">
              <w:pPr>
                <w:widowControl w:val="0"/>
                <w:spacing w:line="23" w:lineRule="atLeast"/>
                <w:ind w:firstLine="709"/>
                <w:jc w:val="both"/>
                <w:rPr>
                  <w:szCs w:val="24"/>
                </w:rPr>
              </w:pPr>
              <w:r>
                <w:rPr>
                  <w:color w:val="000000"/>
                </w:rPr>
                <w:t>PPATĮ projekto 2 straipsnio 10 dalyje siūloma PPATĮ projekto 1 straipsniu nauja redakcija dėstomo PPATĮ</w:t>
              </w:r>
              <w:r>
                <w:rPr>
                  <w:szCs w:val="24"/>
                </w:rPr>
                <w:t xml:space="preserve"> 8 straipsnį nuo 2030 m. sausio 1 d. papildyti 4 dalimi, nustatant, kad ekonominės veiklos vykdytojai privalės užtikrinti, jog grupinėse, transportavimo ar e. prekybos siuntų pakuotėse tuščios ertmės dalis neviršytų 50 procentų, kaip nustatyta Reglamento </w:t>
              </w:r>
              <w:fldSimple w:instr="HYPERLINK http://eur-lex.europa.eu/legal-content/LIT/TXT/?uri=CELEX:32025R0040&amp;locale=lt \t _blank">
                <w:r>
                  <w:rPr>
                    <w:szCs w:val="24"/>
                    <w:u w:val="single"/>
                    <w:color w:val="0000FF" w:themeColor="hyperlink"/>
                  </w:rPr>
                  <w:t>(ES) 2025/40</w:t>
                </w:r>
              </w:fldSimple>
              <w:r>
                <w:rPr>
                  <w:szCs w:val="24"/>
                </w:rPr>
                <w:t xml:space="preserve"> 24 straipsnyje, išskyrus šiame reglamente numatytas išimtis. Šiuo reikalavimu siekiama mažinti perteklinį pakuočių naudojimą, riboti nepagrįstai didelio tūrio pakuočių pateikimą rinkai ir skatinti efektyvesnį pakuočių projektavimą bei naudojimą logistikos ir prekybos procesuose. Toks reguliavimas taip pat prisideda prie pakuočių atliekų kiekio mažinimo, transportavimo efektyvumo didinimo ir nereikalingų medžiagų sunaudojimo mažinimo. Numatoma, kad ši nuostata įsigalios 2030 m. sausio 1 d.</w:t>
              </w:r>
            </w:p>
            <w:p w14:paraId="1FEB3953" w14:textId="44B16E21">
              <w:pPr>
                <w:widowControl w:val="0"/>
                <w:spacing w:line="23" w:lineRule="atLeast"/>
                <w:ind w:firstLine="709"/>
                <w:jc w:val="both"/>
                <w:rPr>
                  <w:szCs w:val="24"/>
                </w:rPr>
              </w:pPr>
              <w:r>
                <w:rPr>
                  <w:color w:val="000000"/>
                </w:rPr>
                <w:t>PPATĮ projekto 2 straipsnio 11 dalyje siūloma PPATĮ projekto 1 straipsniu nauja redakcija dėstomo PPATĮ</w:t>
              </w:r>
              <w:r>
                <w:rPr>
                  <w:szCs w:val="24"/>
                </w:rPr>
                <w:t xml:space="preserve"> 10 straipsnį nuo 2030 m. sausio 1 d. papildyti 3 dalimi, nustatant, kad ekonominės veiklos vykdytojai, kurių prekybos plotas yra didesnis nei 400 m², turės dalį ploto skirti pakartotinio užpildymo punktams, kaip numatyta Reglamento </w:t>
              </w:r>
              <w:fldSimple w:instr="HYPERLINK http://eur-lex.europa.eu/legal-content/LIT/TXT/?uri=CELEX:32025R0040&amp;locale=lt \t _blank">
                <w:r>
                  <w:rPr>
                    <w:szCs w:val="24"/>
                    <w:u w:val="single"/>
                    <w:color w:val="0000FF" w:themeColor="hyperlink"/>
                  </w:rPr>
                  <w:t>(ES) 2025/40</w:t>
                </w:r>
              </w:fldSimple>
              <w:r>
                <w:rPr>
                  <w:szCs w:val="24"/>
                </w:rPr>
                <w:t xml:space="preserve"> 28 straipsnio 5 dalyje. Šiuo reikalavimu siekiama sudaryti realesnes praktines galimybes vartotojams naudotis pakartotinio užpildymo sistemomis, mažinti vienkartinių pakuočių vartojimą ir skatinti tvaresnius vartojimo įpročius. </w:t>
              </w:r>
            </w:p>
            <w:p w14:paraId="15267898" w14:textId="7A53062A">
              <w:pPr>
                <w:widowControl w:val="0"/>
                <w:spacing w:line="23" w:lineRule="atLeast"/>
                <w:ind w:firstLine="709"/>
                <w:jc w:val="both"/>
                <w:rPr>
                  <w:color w:val="000000"/>
                </w:rPr>
              </w:pPr>
              <w:r>
                <w:rPr>
                  <w:color w:val="000000"/>
                </w:rPr>
                <w:t>PPATĮ projekto 2 straipsnio 12 dalyje siūloma PPATĮ projekto 1 straipsniu nauja redakcija dėstomą PPATĮ</w:t>
              </w:r>
              <w:r>
                <w:rPr>
                  <w:szCs w:val="24"/>
                </w:rPr>
                <w:t xml:space="preserve">  </w:t>
              </w:r>
              <w:r>
                <w:rPr>
                  <w:color w:val="000000"/>
                </w:rPr>
                <w:t>nuo 2030 m. sausio 1 d. papildyti 22</w:t>
              </w:r>
              <w:r>
                <w:rPr>
                  <w:color w:val="000000"/>
                  <w:vertAlign w:val="superscript"/>
                </w:rPr>
                <w:t>1</w:t>
              </w:r>
              <w:r>
                <w:rPr>
                  <w:color w:val="000000"/>
                </w:rPr>
                <w:t xml:space="preserve"> straipsniu, jame numatant draudimą ekonominės veiklos vykdytojams rinkai pateikti tam tikrų formų ir paskirčių pakuotes pagal Reglamento </w:t>
              </w:r>
              <w:fldSimple w:instr="HYPERLINK http://eur-lex.europa.eu/legal-content/LIT/TXT/?uri=CELEX:32025R0040&amp;locale=lt \t _blank">
                <w:r>
                  <w:rPr>
                    <w:color w:val="0000FF" w:themeColor="hyperlink"/>
                    <w:u w:val="single"/>
                  </w:rPr>
                  <w:t>(ES) 2025/40</w:t>
                </w:r>
              </w:fldSimple>
              <w:r>
                <w:rPr>
                  <w:color w:val="000000"/>
                </w:rPr>
                <w:t xml:space="preserve"> V priedą ir 25 straipsnį. Šiuo Reglamento </w:t>
              </w:r>
              <w:fldSimple w:instr="HYPERLINK http://eur-lex.europa.eu/legal-content/LIT/TXT/?uri=CELEX:32025R0040&amp;locale=lt \t _blank">
                <w:r>
                  <w:rPr>
                    <w:color w:val="0000FF" w:themeColor="hyperlink"/>
                    <w:u w:val="single"/>
                  </w:rPr>
                  <w:t>(ES) 2025/40</w:t>
                </w:r>
              </w:fldSimple>
              <w:r>
                <w:rPr>
                  <w:color w:val="000000"/>
                </w:rPr>
                <w:t xml:space="preserve"> reikalavimu siekta sumažinti neperdirbamų pakuočių kiekį, skatinti perdirbamų ir tvarių pakuočių naudojimą. </w:t>
              </w:r>
            </w:p>
            <w:p w14:paraId="18186ED9" w14:textId="14098546">
              <w:pPr>
                <w:widowControl w:val="0"/>
                <w:spacing w:line="23" w:lineRule="atLeast"/>
                <w:ind w:firstLine="771"/>
                <w:jc w:val="both"/>
                <w:rPr>
                  <w:szCs w:val="24"/>
                </w:rPr>
              </w:pPr>
              <w:r>
                <w:rPr>
                  <w:szCs w:val="24"/>
                </w:rPr>
                <w:t xml:space="preserve">Be pakeitimų, susijusių su Reglamento </w:t>
              </w:r>
              <w:fldSimple w:instr="HYPERLINK http://eur-lex.europa.eu/legal-content/LIT/TXT/?uri=CELEX:32025R0040&amp;locale=lt \t _blank">
                <w:r>
                  <w:rPr>
                    <w:szCs w:val="24"/>
                    <w:u w:val="single"/>
                    <w:color w:val="0000FF" w:themeColor="hyperlink"/>
                  </w:rPr>
                  <w:t>(ES) 2025/40</w:t>
                </w:r>
              </w:fldSimple>
              <w:r>
                <w:rPr>
                  <w:szCs w:val="24"/>
                </w:rPr>
                <w:t xml:space="preserve"> nuostatų įgyvendinimu, PPATĮ projektu taip pat siūloma tikslinti kai kurias nacionalinio teisinio reguliavimo nuostatas, siekiant didesnio teisinio aiškumo, nuoseklumo ir vienodo jų taikymo praktikoje.</w:t>
              </w:r>
            </w:p>
            <w:p w14:paraId="41C22CB5" w14:textId="694A96FA">
              <w:pPr>
                <w:spacing w:line="20" w:lineRule="atLeast"/>
                <w:ind w:firstLine="709"/>
                <w:jc w:val="both"/>
              </w:pPr>
              <w:r>
                <w:rPr>
                  <w:color w:val="000000"/>
                </w:rPr>
                <w:t>PPATĮ projekto 1 straipsniu nauja redakcija dėstomame PPATĮ</w:t>
              </w:r>
              <w:r>
                <w:rPr>
                  <w:szCs w:val="24"/>
                </w:rPr>
                <w:t xml:space="preserve">  nebenumatoma</w:t>
              </w:r>
              <w:r>
                <w:t xml:space="preserve"> nuostatą (PPATĮ 7 straipsnio 6 dalį), pagal kurią gamintojai, pakuotes naudojantys savoms reikmėms ir perleidžiantys pakuotes kitam asmeniui, galėjo pakuočių atliekų tvarkymo organizavimą pavesti gamintojų organizacijai arba mokėti mokestį už aplinkos teršimą tokių pakuočių atliekomis.</w:t>
              </w:r>
            </w:p>
            <w:p w14:paraId="44C877CD" w14:textId="3166E42A">
              <w:pPr>
                <w:spacing w:line="20" w:lineRule="atLeast"/>
                <w:ind w:firstLine="709"/>
                <w:jc w:val="both"/>
              </w:pPr>
              <w:r>
                <w:t>Ši nuostata naikinama siekiant teisinio aiškumo ir vienodų veiklos sąlygų visiems gamintojams ir importuotojams, kadangi pagal galiojantį teisinį reguliavimą jie privalo užtikrinti pakuočių atliekų tvarkymą kolektyviai arba individualiai. Alternatyvos taikyti mokestį išlaikymas sudaro prielaidas nevienodam pareigų vykdymui ir gali lemti skirtingą teisinio reguliavimo taikymą praktikoje.</w:t>
              </w:r>
            </w:p>
            <w:p w14:paraId="164B423A" w14:textId="76BA2604">
              <w:pPr>
                <w:spacing w:line="20" w:lineRule="atLeast"/>
                <w:ind w:firstLine="709"/>
                <w:jc w:val="both"/>
              </w:pPr>
              <w:r>
                <w:t xml:space="preserve">Be to, siekiant didesnio teisinio aiškumo ir vienodo nuostatų taikymo, </w:t>
              </w:r>
              <w:r>
                <w:rPr>
                  <w:color w:val="000000"/>
                </w:rPr>
                <w:t>PPATĮ projekto 1 straipsniu nauja redakcija dėstomo PPATĮ</w:t>
              </w:r>
              <w:r>
                <w:rPr>
                  <w:szCs w:val="24"/>
                </w:rPr>
                <w:t xml:space="preserve">  13 </w:t>
              </w:r>
              <w:r>
                <w:t>straipsnyje reglamentuojamas augalų apsaugos produktų pakuočių atliekų tvarkymas, aiškiai nurodant, kad šios nuostatos taikomos profesionaliam naudojimui skirtų augalų apsaugos produktų pakuotėms. Pažymėtina, kad rengiant šį teisinį reguliavimą nuo pat pradžių buvo orientuojamasi į profesionaliam naudojimui skirtų augalų apsaugos produktų pakuotes. Numatomas patikslinimas nekeičia galiojančio teisinio reguliavimo esmės ir naujų pareigų nenustato, o tik užtikrina aiškesnį nuostatų reglamentavimą.</w:t>
              </w:r>
            </w:p>
            <w:p w14:paraId="793B02FB" w14:textId="3A520694">
              <w:pPr>
                <w:spacing w:line="20" w:lineRule="atLeast"/>
                <w:ind w:firstLine="709"/>
                <w:jc w:val="both"/>
                <w:rPr>
                  <w:szCs w:val="24"/>
                </w:rPr>
              </w:pPr>
              <w:r>
                <w:rPr>
                  <w:color w:val="000000"/>
                </w:rPr>
                <w:t>PPATĮ projekto 1 straipsniu nauja redakcija dėstomo PPATĮ</w:t>
              </w:r>
              <w:r>
                <w:rPr>
                  <w:szCs w:val="24"/>
                </w:rPr>
                <w:t xml:space="preserve">  18 straipsnyje numatytos nuostatos dėl kontrolės tarybos. Pakeitimu siekiama nustatyti aiškų, nuoseklų ir visoms suinteresuotoms šalims žinomą procesą. Galiojanti nuostata nenumato, kas ir kaip patikrina, ar pakuočių atliekų tvarkytojų asociacija atitinka 25  procentų kriterijų - pakuočių atliekų tvarkytojų asociacija deklaruoja tai pati, o gamintojų organizacija neturi priemonių tai patikrinti. Projektu siūlomas PPATĮ 18  straipsnio nuostatos patikslinimas šią spragą užpildo: pakuočių atliekų tvarkytojų asociacija kreipiasi į gamintojų organizaciją, gamintojų organizacija per 10  darbo dienų kreipiasi į Aplinkos apsaugos agentūrą, o ši - remdamasi Vieningos gaminių, pakuočių ir atliekų apskaitos informacinės sistemos duomenimis – atlieka apskaičiavimą.  Tai užtikrina, kad rinkos dalies apskaičiavimas būtų nepriklausomas nuo gamintojų organizacijos ir nuo pačios pakuočių atliekų tvarkytojų asociacijos, o sprendimas būtų grindžiamas vienodais duomenų šaltiniais visiems proceso dalyviams.   </w:t>
              </w:r>
            </w:p>
            <w:p w14:paraId="77EFE222" w14:textId="7CAA5187">
              <w:pPr>
                <w:widowControl w:val="0"/>
                <w:spacing w:line="23" w:lineRule="atLeast"/>
                <w:ind w:firstLine="709"/>
                <w:jc w:val="both"/>
                <w:rPr>
                  <w:color w:val="000000"/>
                </w:rPr>
              </w:pPr>
              <w:r>
                <w:rPr>
                  <w:color w:val="000000"/>
                </w:rPr>
                <w:t xml:space="preserve">Pažymėtina ir tai, kad iki šiol nacionaliniame teisiniame reguliavime gamintojo ir importuotojo pareigų vykdymo poreikis buvo siejamas su į rinką patiektų pakuočių užpildymu. Tačiau turint omenyje Reglamento </w:t>
              </w:r>
              <w:fldSimple w:instr="HYPERLINK http://eur-lex.europa.eu/legal-content/LIT/TXT/?uri=CELEX:32025R0040&amp;locale=lt \t _blank">
                <w:r>
                  <w:rPr>
                    <w:color w:val="0000FF" w:themeColor="hyperlink"/>
                    <w:u w:val="single"/>
                  </w:rPr>
                  <w:t>(ES) 2025/40</w:t>
                </w:r>
              </w:fldSimple>
              <w:r>
                <w:rPr>
                  <w:color w:val="000000"/>
                </w:rPr>
                <w:t xml:space="preserve"> nuostatas, gamintojo atsakomybė turės būti taikoma ne tik tada, kai pakuotės yra užpildomos, bet ir tuščių pakuočių patiekimo į rinką atveju. Atsižvelgiant į tai, svarbu suprasti skirtumą – kokioje situacijoje būtų atsakingas tuščių pakuočių į rinką tiekėjas, o kada tas ekonominės veiklos vykdytojas, kuris tas tuščias pakuotes užpildo. Toliau pateikiama Reglamento </w:t>
              </w:r>
              <w:fldSimple w:instr="HYPERLINK http://eur-lex.europa.eu/legal-content/LIT/TXT/?uri=CELEX:32025R0040&amp;locale=lt \t _blank">
                <w:r>
                  <w:rPr>
                    <w:color w:val="0000FF" w:themeColor="hyperlink"/>
                    <w:u w:val="single"/>
                  </w:rPr>
                  <w:t>(ES) 2025/40</w:t>
                </w:r>
              </w:fldSimple>
              <w:r>
                <w:rPr>
                  <w:color w:val="000000"/>
                </w:rPr>
                <w:t xml:space="preserve"> svarstymo Europos Taryboje metu  pirmininkaujančios valstybės narės parengta lentelė, kurioje detalizuojama, kuris ūkinės veiklos vykdytojas būtų laikomas gamintoju ir jam atsirastų poreikis vykdyti nustatytas gamintojų ir importuotojų pareigas. Šiuo metu pati Europos Komisija rengia Reglamento </w:t>
              </w:r>
              <w:fldSimple w:instr="HYPERLINK http://eur-lex.europa.eu/legal-content/LIT/TXT/?uri=CELEX:32025R0040&amp;locale=lt \t _blank">
                <w:r>
                  <w:rPr>
                    <w:color w:val="0000FF" w:themeColor="hyperlink"/>
                    <w:u w:val="single"/>
                  </w:rPr>
                  <w:t>(ES) 2025/40</w:t>
                </w:r>
              </w:fldSimple>
              <w:r>
                <w:rPr>
                  <w:color w:val="000000"/>
                </w:rPr>
                <w:t xml:space="preserve"> nuostatų taikymo gaires, kuriose gamintojo sąvoka taip pat gali būti papildomai aiškinama.</w:t>
              </w:r>
            </w:p>
            <w:tbl>
              <w:tblPr>
                <w:tblW w:w="0" w:type="auto"/>
                <w:tblBorders>
                  <w:top w:val="single" w:sz="6" w:space="0" w:color="auto"/>
                  <w:left w:val="single" w:sz="6" w:space="0" w:color="auto"/>
                  <w:bottom w:val="single" w:sz="6" w:space="0" w:color="auto"/>
                  <w:right w:val="single" w:sz="6" w:space="0" w:color="auto"/>
                  <w:insideH w:val="single" w:sz="4" w:space="0" w:color="auto"/>
                  <w:insideV w:val="single" w:sz="4" w:space="0" w:color="auto"/>
                </w:tblBorders>
                <w:tblLook w:val="04A0" w:firstRow="1" w:lastRow="0" w:firstColumn="1" w:lastColumn="0" w:noHBand="0" w:noVBand="1"/>
              </w:tblPr>
              <w:tblGrid>
                <w:gridCol w:w="2238"/>
                <w:gridCol w:w="4331"/>
                <w:gridCol w:w="3053"/>
              </w:tblGrid>
              <w:tr w14:paraId="74A64544" w14:textId="77777777">
                <w:trPr>
                  <w:trHeight w:val="285"/>
                </w:trPr>
                <w:tc>
                  <w:tcPr>
                    <w:tcW w:w="2238" w:type="dxa"/>
                    <w:tcBorders>
                      <w:top w:val="single" w:sz="6" w:space="0" w:color="auto"/>
                      <w:left w:val="single" w:sz="6" w:space="0" w:color="auto"/>
                      <w:bottom w:val="single" w:sz="6" w:space="0" w:color="auto"/>
                      <w:right w:val="single" w:sz="6" w:space="0" w:color="auto"/>
                    </w:tcBorders>
                    <w:tcMar>
                      <w:left w:w="105" w:type="dxa"/>
                      <w:right w:w="105" w:type="dxa"/>
                    </w:tcMar>
                  </w:tcPr>
                  <w:p w14:paraId="2B2505F4" w14:textId="7D5C6FCA">
                    <w:pPr>
                      <w:rPr>
                        <w:b/>
                        <w:bCs/>
                      </w:rPr>
                    </w:pPr>
                    <w:r>
                      <w:rPr>
                        <w:b/>
                        <w:bCs/>
                      </w:rPr>
                      <w:t>Pavyzdys</w:t>
                    </w:r>
                  </w:p>
                </w:tc>
                <w:tc>
                  <w:tcPr>
                    <w:tcW w:w="4331" w:type="dxa"/>
                    <w:tcBorders>
                      <w:top w:val="single" w:sz="6" w:space="0" w:color="auto"/>
                      <w:left w:val="single" w:sz="6" w:space="0" w:color="auto"/>
                      <w:bottom w:val="single" w:sz="6" w:space="0" w:color="auto"/>
                      <w:right w:val="single" w:sz="6" w:space="0" w:color="auto"/>
                    </w:tcBorders>
                    <w:tcMar>
                      <w:left w:w="105" w:type="dxa"/>
                      <w:right w:w="105" w:type="dxa"/>
                    </w:tcMar>
                  </w:tcPr>
                  <w:p w14:paraId="0D57CF15" w14:textId="59B7F297">
                    <w:pPr>
                      <w:rPr>
                        <w:b/>
                        <w:bCs/>
                      </w:rPr>
                    </w:pPr>
                    <w:r>
                      <w:rPr>
                        <w:b/>
                        <w:bCs/>
                      </w:rPr>
                      <w:t>Situacija</w:t>
                    </w:r>
                  </w:p>
                </w:tc>
                <w:tc>
                  <w:tcPr>
                    <w:tcW w:w="3053" w:type="dxa"/>
                    <w:tcBorders>
                      <w:top w:val="single" w:sz="6" w:space="0" w:color="auto"/>
                      <w:left w:val="single" w:sz="6" w:space="0" w:color="auto"/>
                      <w:bottom w:val="single" w:sz="6" w:space="0" w:color="auto"/>
                      <w:right w:val="single" w:sz="6" w:space="0" w:color="auto"/>
                    </w:tcBorders>
                    <w:tcMar>
                      <w:left w:w="105" w:type="dxa"/>
                      <w:right w:w="105" w:type="dxa"/>
                    </w:tcMar>
                  </w:tcPr>
                  <w:p w14:paraId="29672FB1" w14:textId="760C885E">
                    <w:pPr>
                      <w:rPr>
                        <w:b/>
                        <w:bCs/>
                      </w:rPr>
                    </w:pPr>
                    <w:r>
                      <w:rPr>
                        <w:b/>
                        <w:bCs/>
                      </w:rPr>
                      <w:t>Kas laikoma gamintoju</w:t>
                    </w:r>
                  </w:p>
                </w:tc>
              </w:tr>
              <w:tr w14:paraId="0BD587B1" w14:textId="77777777">
                <w:trPr>
                  <w:trHeight w:val="285"/>
                </w:trPr>
                <w:tc>
                  <w:tcPr>
                    <w:tcW w:w="2238" w:type="dxa"/>
                    <w:tcBorders>
                      <w:top w:val="single" w:sz="6" w:space="0" w:color="auto"/>
                      <w:left w:val="single" w:sz="6" w:space="0" w:color="auto"/>
                      <w:bottom w:val="single" w:sz="6" w:space="0" w:color="auto"/>
                      <w:right w:val="single" w:sz="6" w:space="0" w:color="auto"/>
                    </w:tcBorders>
                    <w:tcMar>
                      <w:left w:w="105" w:type="dxa"/>
                      <w:right w:w="105" w:type="dxa"/>
                    </w:tcMar>
                  </w:tcPr>
                  <w:p w14:paraId="0C5174EC" w14:textId="547EE470">
                    <w:r>
                      <w:t>Toje pačioje ES valstybėje narėje</w:t>
                    </w:r>
                  </w:p>
                </w:tc>
                <w:tc>
                  <w:tcPr>
                    <w:tcW w:w="4331" w:type="dxa"/>
                    <w:tcBorders>
                      <w:top w:val="single" w:sz="6" w:space="0" w:color="auto"/>
                      <w:left w:val="single" w:sz="6" w:space="0" w:color="auto"/>
                      <w:bottom w:val="single" w:sz="6" w:space="0" w:color="auto"/>
                      <w:right w:val="single" w:sz="6" w:space="0" w:color="auto"/>
                    </w:tcBorders>
                    <w:tcMar>
                      <w:left w:w="105" w:type="dxa"/>
                      <w:right w:w="105" w:type="dxa"/>
                    </w:tcMar>
                  </w:tcPr>
                  <w:p w14:paraId="69C4E150" w14:textId="36F5ADC1">
                    <w:r>
                      <w:t>Įmonė A gamina pakuotę ir parduoda Įmonei B, kuri užpildo pienu ir parduoda vartotojams savo prekės ženklu</w:t>
                    </w:r>
                  </w:p>
                </w:tc>
                <w:tc>
                  <w:tcPr>
                    <w:tcW w:w="3053" w:type="dxa"/>
                    <w:tcBorders>
                      <w:top w:val="single" w:sz="6" w:space="0" w:color="auto"/>
                      <w:left w:val="single" w:sz="6" w:space="0" w:color="auto"/>
                      <w:bottom w:val="single" w:sz="6" w:space="0" w:color="auto"/>
                      <w:right w:val="single" w:sz="6" w:space="0" w:color="auto"/>
                    </w:tcBorders>
                    <w:tcMar>
                      <w:left w:w="105" w:type="dxa"/>
                      <w:right w:w="105" w:type="dxa"/>
                    </w:tcMar>
                  </w:tcPr>
                  <w:p w14:paraId="5CF096CC" w14:textId="79737B1C">
                    <w:r>
                      <w:t xml:space="preserve">Įmonė B = gamintojas </w:t>
                    </w:r>
                  </w:p>
                </w:tc>
              </w:tr>
              <w:tr w14:paraId="7C88A607" w14:textId="77777777">
                <w:trPr>
                  <w:trHeight w:val="1095"/>
                </w:trPr>
                <w:tc>
                  <w:tcPr>
                    <w:tcW w:w="2238" w:type="dxa"/>
                    <w:tcBorders>
                      <w:top w:val="single" w:sz="6" w:space="0" w:color="auto"/>
                      <w:left w:val="single" w:sz="6" w:space="0" w:color="auto"/>
                      <w:bottom w:val="single" w:sz="6" w:space="0" w:color="auto"/>
                      <w:right w:val="single" w:sz="6" w:space="0" w:color="auto"/>
                    </w:tcBorders>
                    <w:tcMar>
                      <w:left w:w="105" w:type="dxa"/>
                      <w:right w:w="105" w:type="dxa"/>
                    </w:tcMar>
                  </w:tcPr>
                  <w:p w14:paraId="43960909" w14:textId="3B888748">
                    <w:r>
                      <w:t>Toje pačioje ES valstybėje narėje (aptarnavimo pakuotė ir daugkartinė pakuotė)</w:t>
                    </w:r>
                  </w:p>
                </w:tc>
                <w:tc>
                  <w:tcPr>
                    <w:tcW w:w="4331" w:type="dxa"/>
                    <w:tcBorders>
                      <w:top w:val="single" w:sz="6" w:space="0" w:color="auto"/>
                      <w:left w:val="single" w:sz="6" w:space="0" w:color="auto"/>
                      <w:bottom w:val="single" w:sz="6" w:space="0" w:color="auto"/>
                      <w:right w:val="single" w:sz="6" w:space="0" w:color="auto"/>
                    </w:tcBorders>
                    <w:tcMar>
                      <w:left w:w="105" w:type="dxa"/>
                      <w:right w:w="105" w:type="dxa"/>
                    </w:tcMar>
                  </w:tcPr>
                  <w:p w14:paraId="277B57A3" w14:textId="64C33D4F">
                    <w:r>
                      <w:t>Įmonė A gamina kavos puodelius savo vardu/prekės ženklu ir parduoda Įmonei B, kuri užpildo kava pardavimo vietoje</w:t>
                    </w:r>
                  </w:p>
                </w:tc>
                <w:tc>
                  <w:tcPr>
                    <w:tcW w:w="3053" w:type="dxa"/>
                    <w:tcBorders>
                      <w:top w:val="single" w:sz="6" w:space="0" w:color="auto"/>
                      <w:left w:val="single" w:sz="6" w:space="0" w:color="auto"/>
                      <w:bottom w:val="single" w:sz="6" w:space="0" w:color="auto"/>
                      <w:right w:val="single" w:sz="6" w:space="0" w:color="auto"/>
                    </w:tcBorders>
                    <w:tcMar>
                      <w:left w:w="105" w:type="dxa"/>
                      <w:right w:w="105" w:type="dxa"/>
                    </w:tcMar>
                  </w:tcPr>
                  <w:p w14:paraId="6EE74E1B" w14:textId="636EB066">
                    <w:r>
                      <w:t xml:space="preserve">Įmonė A = gamintojas </w:t>
                    </w:r>
                  </w:p>
                </w:tc>
              </w:tr>
              <w:tr w14:paraId="1AA418DC" w14:textId="77777777">
                <w:trPr>
                  <w:trHeight w:val="285"/>
                </w:trPr>
                <w:tc>
                  <w:tcPr>
                    <w:tcW w:w="2238" w:type="dxa"/>
                    <w:tcBorders>
                      <w:top w:val="single" w:sz="6" w:space="0" w:color="auto"/>
                      <w:left w:val="single" w:sz="6" w:space="0" w:color="auto"/>
                      <w:bottom w:val="single" w:sz="6" w:space="0" w:color="auto"/>
                      <w:right w:val="single" w:sz="6" w:space="0" w:color="auto"/>
                    </w:tcBorders>
                    <w:tcMar>
                      <w:left w:w="105" w:type="dxa"/>
                      <w:right w:w="105" w:type="dxa"/>
                    </w:tcMar>
                  </w:tcPr>
                  <w:p w14:paraId="20F713B1" w14:textId="5D90B982">
                    <w:r>
                      <w:t>Tarp ES valstybių narių (aptarnavimo pakuotė ir daugkartinė pakuotė)</w:t>
                    </w:r>
                  </w:p>
                </w:tc>
                <w:tc>
                  <w:tcPr>
                    <w:tcW w:w="4331" w:type="dxa"/>
                    <w:tcBorders>
                      <w:top w:val="single" w:sz="6" w:space="0" w:color="auto"/>
                      <w:left w:val="single" w:sz="6" w:space="0" w:color="auto"/>
                      <w:bottom w:val="single" w:sz="6" w:space="0" w:color="auto"/>
                      <w:right w:val="single" w:sz="6" w:space="0" w:color="auto"/>
                    </w:tcBorders>
                    <w:tcMar>
                      <w:left w:w="105" w:type="dxa"/>
                      <w:right w:w="105" w:type="dxa"/>
                    </w:tcMar>
                  </w:tcPr>
                  <w:p w14:paraId="093BA689" w14:textId="5386DFB2">
                    <w:r>
                      <w:t>Įmonė A (ES valstybė narė X) gamina kavos puodelius ir parduoda Įmonei B (ES valstybė narė Y), kuri užpildo kava pardavimo vietoje</w:t>
                    </w:r>
                  </w:p>
                </w:tc>
                <w:tc>
                  <w:tcPr>
                    <w:tcW w:w="3053" w:type="dxa"/>
                    <w:tcBorders>
                      <w:top w:val="single" w:sz="6" w:space="0" w:color="auto"/>
                      <w:left w:val="single" w:sz="6" w:space="0" w:color="auto"/>
                      <w:bottom w:val="single" w:sz="6" w:space="0" w:color="auto"/>
                      <w:right w:val="single" w:sz="6" w:space="0" w:color="auto"/>
                    </w:tcBorders>
                    <w:tcMar>
                      <w:left w:w="105" w:type="dxa"/>
                      <w:right w:w="105" w:type="dxa"/>
                    </w:tcMar>
                  </w:tcPr>
                  <w:p w14:paraId="1BA3FB9E" w14:textId="5EE3190A">
                    <w:r>
                      <w:t xml:space="preserve">Įmonė B = gamintojas </w:t>
                    </w:r>
                  </w:p>
                </w:tc>
              </w:tr>
              <w:tr w14:paraId="5A25C478" w14:textId="77777777">
                <w:trPr>
                  <w:trHeight w:val="285"/>
                </w:trPr>
                <w:tc>
                  <w:tcPr>
                    <w:tcW w:w="2238" w:type="dxa"/>
                    <w:tcBorders>
                      <w:top w:val="single" w:sz="6" w:space="0" w:color="auto"/>
                      <w:left w:val="single" w:sz="6" w:space="0" w:color="auto"/>
                      <w:bottom w:val="single" w:sz="6" w:space="0" w:color="auto"/>
                      <w:right w:val="single" w:sz="6" w:space="0" w:color="auto"/>
                    </w:tcBorders>
                    <w:tcMar>
                      <w:left w:w="105" w:type="dxa"/>
                      <w:right w:w="105" w:type="dxa"/>
                    </w:tcMar>
                  </w:tcPr>
                  <w:p w14:paraId="0C6C80C4" w14:textId="1A1ABF9E">
                    <w:r>
                      <w:t>Tarp ES valstybių narių (kita tuščia pakuotė)</w:t>
                    </w:r>
                  </w:p>
                </w:tc>
                <w:tc>
                  <w:tcPr>
                    <w:tcW w:w="4331" w:type="dxa"/>
                    <w:tcBorders>
                      <w:top w:val="single" w:sz="6" w:space="0" w:color="auto"/>
                      <w:left w:val="single" w:sz="6" w:space="0" w:color="auto"/>
                      <w:bottom w:val="single" w:sz="6" w:space="0" w:color="auto"/>
                      <w:right w:val="single" w:sz="6" w:space="0" w:color="auto"/>
                    </w:tcBorders>
                    <w:tcMar>
                      <w:left w:w="105" w:type="dxa"/>
                      <w:right w:w="105" w:type="dxa"/>
                    </w:tcMar>
                  </w:tcPr>
                  <w:p w14:paraId="0184AD4F" w14:textId="4A6E0294">
                    <w:r>
                      <w:t>Įmonė A (ES valstybė narė X) gamina picų dėžes ir parduoda Įmonei B (ES valstybė narė Y), kuri perparduoda picerijoms</w:t>
                    </w:r>
                  </w:p>
                </w:tc>
                <w:tc>
                  <w:tcPr>
                    <w:tcW w:w="3053" w:type="dxa"/>
                    <w:tcBorders>
                      <w:top w:val="single" w:sz="6" w:space="0" w:color="auto"/>
                      <w:left w:val="single" w:sz="6" w:space="0" w:color="auto"/>
                      <w:bottom w:val="single" w:sz="6" w:space="0" w:color="auto"/>
                      <w:right w:val="single" w:sz="6" w:space="0" w:color="auto"/>
                    </w:tcBorders>
                    <w:tcMar>
                      <w:left w:w="105" w:type="dxa"/>
                      <w:right w:w="105" w:type="dxa"/>
                    </w:tcMar>
                  </w:tcPr>
                  <w:p w14:paraId="10808054" w14:textId="6C7853A8">
                    <w:r>
                      <w:t>Įmonė B = gamintojas</w:t>
                    </w:r>
                  </w:p>
                </w:tc>
              </w:tr>
              <w:tr w14:paraId="7BB31276" w14:textId="77777777">
                <w:trPr>
                  <w:trHeight w:val="1365"/>
                </w:trPr>
                <w:tc>
                  <w:tcPr>
                    <w:tcW w:w="2238" w:type="dxa"/>
                    <w:tcBorders>
                      <w:top w:val="single" w:sz="6" w:space="0" w:color="auto"/>
                      <w:left w:val="single" w:sz="6" w:space="0" w:color="auto"/>
                      <w:bottom w:val="single" w:sz="6" w:space="0" w:color="auto"/>
                      <w:right w:val="single" w:sz="6" w:space="0" w:color="auto"/>
                    </w:tcBorders>
                    <w:tcMar>
                      <w:left w:w="105" w:type="dxa"/>
                      <w:right w:w="105" w:type="dxa"/>
                    </w:tcMar>
                  </w:tcPr>
                  <w:p w14:paraId="5976748D" w14:textId="4A8233A7">
                    <w:r>
                      <w:t>Tarp ES valstybių narių (nuotolinė prekyba)</w:t>
                    </w:r>
                  </w:p>
                </w:tc>
                <w:tc>
                  <w:tcPr>
                    <w:tcW w:w="4331" w:type="dxa"/>
                    <w:tcBorders>
                      <w:top w:val="single" w:sz="6" w:space="0" w:color="auto"/>
                      <w:left w:val="single" w:sz="6" w:space="0" w:color="auto"/>
                      <w:bottom w:val="single" w:sz="6" w:space="0" w:color="auto"/>
                      <w:right w:val="single" w:sz="6" w:space="0" w:color="auto"/>
                    </w:tcBorders>
                    <w:tcMar>
                      <w:left w:w="105" w:type="dxa"/>
                      <w:right w:w="105" w:type="dxa"/>
                    </w:tcMar>
                  </w:tcPr>
                  <w:p w14:paraId="51AF3CBF" w14:textId="75701413">
                    <w:r>
                      <w:t>Įmonė A (ES valstybė narė X) parduoda supakuotus žaislus tiesiogiai vartotojui ES valstybė narėje Y</w:t>
                    </w:r>
                  </w:p>
                </w:tc>
                <w:tc>
                  <w:tcPr>
                    <w:tcW w:w="3053" w:type="dxa"/>
                    <w:tcBorders>
                      <w:top w:val="single" w:sz="6" w:space="0" w:color="auto"/>
                      <w:left w:val="single" w:sz="6" w:space="0" w:color="auto"/>
                      <w:bottom w:val="single" w:sz="6" w:space="0" w:color="auto"/>
                      <w:right w:val="single" w:sz="6" w:space="0" w:color="auto"/>
                    </w:tcBorders>
                    <w:tcMar>
                      <w:left w:w="105" w:type="dxa"/>
                      <w:right w:w="105" w:type="dxa"/>
                    </w:tcMar>
                  </w:tcPr>
                  <w:p w14:paraId="76B504A1" w14:textId="740F4E38">
                    <w:r>
                      <w:t xml:space="preserve">Įmonė A = gamintojas </w:t>
                    </w:r>
                  </w:p>
                  <w:p w14:paraId="2971A349" w14:textId="41C5D2CB">
                    <w:r>
                      <w:t>- privalo paskirti įgaliotą atstovą valstybėje narėje Y</w:t>
                    </w:r>
                  </w:p>
                  <w:p w14:paraId="625EDA4D" w14:textId="3D053068">
                    <w:r>
                      <w:t>- papildomi reikalavimai prekybininkams ir internetinėms platformoms</w:t>
                    </w:r>
                  </w:p>
                </w:tc>
              </w:tr>
              <w:tr w14:paraId="0F95D55C" w14:textId="77777777">
                <w:trPr>
                  <w:trHeight w:val="285"/>
                </w:trPr>
                <w:tc>
                  <w:tcPr>
                    <w:tcW w:w="2238" w:type="dxa"/>
                    <w:tcBorders>
                      <w:top w:val="single" w:sz="6" w:space="0" w:color="auto"/>
                      <w:left w:val="single" w:sz="6" w:space="0" w:color="auto"/>
                      <w:bottom w:val="single" w:sz="6" w:space="0" w:color="auto"/>
                      <w:right w:val="single" w:sz="6" w:space="0" w:color="auto"/>
                    </w:tcBorders>
                    <w:tcMar>
                      <w:left w:w="105" w:type="dxa"/>
                      <w:right w:w="105" w:type="dxa"/>
                    </w:tcMar>
                  </w:tcPr>
                  <w:p w14:paraId="2D313A56" w14:textId="2748C749">
                    <w:r>
                      <w:t>Iš trečiosios šalies</w:t>
                    </w:r>
                  </w:p>
                </w:tc>
                <w:tc>
                  <w:tcPr>
                    <w:tcW w:w="4331" w:type="dxa"/>
                    <w:tcBorders>
                      <w:top w:val="single" w:sz="6" w:space="0" w:color="auto"/>
                      <w:left w:val="single" w:sz="6" w:space="0" w:color="auto"/>
                      <w:bottom w:val="single" w:sz="6" w:space="0" w:color="auto"/>
                      <w:right w:val="single" w:sz="6" w:space="0" w:color="auto"/>
                    </w:tcBorders>
                    <w:tcMar>
                      <w:left w:w="105" w:type="dxa"/>
                      <w:right w:w="105" w:type="dxa"/>
                    </w:tcMar>
                  </w:tcPr>
                  <w:p w14:paraId="21186B4F" w14:textId="492A9FB1">
                    <w:r>
                      <w:t>Įmonė A (trečioji šalis X) parduoda supakuotus žaislus tiesiogiai vartotojui ES valstybė narė Y</w:t>
                    </w:r>
                  </w:p>
                </w:tc>
                <w:tc>
                  <w:tcPr>
                    <w:tcW w:w="3053" w:type="dxa"/>
                    <w:tcBorders>
                      <w:top w:val="single" w:sz="6" w:space="0" w:color="auto"/>
                      <w:left w:val="single" w:sz="6" w:space="0" w:color="auto"/>
                      <w:bottom w:val="single" w:sz="6" w:space="0" w:color="auto"/>
                      <w:right w:val="single" w:sz="6" w:space="0" w:color="auto"/>
                    </w:tcBorders>
                    <w:tcMar>
                      <w:left w:w="105" w:type="dxa"/>
                      <w:right w:w="105" w:type="dxa"/>
                    </w:tcMar>
                  </w:tcPr>
                  <w:p w14:paraId="63F3AAEB" w14:textId="5E162E2A">
                    <w:r>
                      <w:t xml:space="preserve">Įmonė A = gamintojas </w:t>
                    </w:r>
                  </w:p>
                  <w:p w14:paraId="1DE7A9B0" w14:textId="30787EE1">
                    <w:r>
                      <w:t>- gali paskirti įgaliotą atstovą valstybėje narėje Y</w:t>
                    </w:r>
                  </w:p>
                  <w:p w14:paraId="327DDF3C" w14:textId="12FBF2E7">
                    <w:r>
                      <w:t>- papildomi reikalavimai prekybininkams ir internetinėms platformoms</w:t>
                    </w:r>
                  </w:p>
                </w:tc>
              </w:tr>
            </w:tbl>
            <w:p w14:paraId="61CF35D5" w14:textId="77777777">
              <w:pPr>
                <w:widowControl w:val="0"/>
                <w:spacing w:line="23" w:lineRule="atLeast"/>
                <w:ind w:firstLine="567"/>
                <w:jc w:val="both"/>
                <w:rPr>
                  <w:color w:val="000000"/>
                </w:rPr>
              </w:pPr>
              <w:r>
                <w:rPr>
                  <w:lang w:val="lt"/>
                </w:rPr>
                <w:t xml:space="preserve">Reglamentas </w:t>
              </w:r>
              <w:fldSimple w:instr="HYPERLINK http://eur-lex.europa.eu/legal-content/LIT/TXT/?uri=CELEX:32025R0040&amp;locale=lt \t _blank">
                <w:r>
                  <w:rPr>
                    <w:lang w:val="lt"/>
                    <w:u w:val="single"/>
                    <w:color w:val="0000FF" w:themeColor="hyperlink"/>
                  </w:rPr>
                  <w:t>(ES) 2025/40</w:t>
                </w:r>
              </w:fldSimple>
              <w:r>
                <w:rPr>
                  <w:lang w:val="lt"/>
                </w:rPr>
                <w:t xml:space="preserve"> nustato naujus, gerokai platesnius reikalavimus, susijusius su pakartotinio naudojimo sistemų plėtra, pakartotinio užpildymo galimybių užtikrinimu, pakartotinio naudojimo tikslų pasiekimu, išsineštinio maisto ir gėrimų pakuočių naudojimu, pakuočių tinkamumu perdirbti, minimalios perdirbtų medžiagų dalies naudojimu, perteklinių pakuočių mažinimu bei draudžiamų pakuočių pateikimu rinkai. Atsižvelgiant į tai, siekiant užtikrinti veiksmingą Reglamento </w:t>
              </w:r>
              <w:fldSimple w:instr="HYPERLINK http://eur-lex.europa.eu/legal-content/LIT/TXT/?uri=CELEX:32025R0040&amp;locale=lt \t _blank">
                <w:r>
                  <w:rPr>
                    <w:lang w:val="lt"/>
                    <w:u w:val="single"/>
                    <w:color w:val="0000FF" w:themeColor="hyperlink"/>
                  </w:rPr>
                  <w:t>(ES) 2025/40</w:t>
                </w:r>
              </w:fldSimple>
              <w:r>
                <w:rPr>
                  <w:lang w:val="lt"/>
                </w:rPr>
                <w:t xml:space="preserve"> įgyvendinimą ir sudaryti prielaidas tinkamai vykdyti naujas ekonominės veiklos vykdytojų pareigas, AAĮ ir ANK projektuose siūloma nustatyti naujas atsakomybės rūšis ir papildyti galiojantį teisinį reguliavimą.</w:t>
              </w:r>
              <w:r>
                <w:tab/>
              </w:r>
              <w:r>
                <w:rPr>
                  <w:color w:val="000000"/>
                </w:rPr>
                <w:t xml:space="preserve"> </w:t>
              </w:r>
            </w:p>
            <w:p w14:paraId="74A75E5B" w14:textId="77D338E6">
              <w:pPr>
                <w:widowControl w:val="0"/>
                <w:spacing w:line="23" w:lineRule="atLeast"/>
                <w:ind w:firstLine="567"/>
                <w:jc w:val="both"/>
                <w:rPr>
                  <w:color w:val="000000"/>
                </w:rPr>
              </w:pPr>
              <w:r>
                <w:rPr>
                  <w:color w:val="000000"/>
                </w:rPr>
                <w:t>AAĮ projekto 1 straipsniu siūloma Aplinkos apsaugos įstatymą (toliau - AAĮ) papildyti 108</w:t>
              </w:r>
              <w:r>
                <w:rPr>
                  <w:color w:val="000000"/>
                  <w:vertAlign w:val="superscript"/>
                </w:rPr>
                <w:t>5</w:t>
              </w:r>
              <w:r>
                <w:rPr>
                  <w:color w:val="000000"/>
                </w:rPr>
                <w:t xml:space="preserve"> straipsniu ir jame nustatyti juridinių asmenų atsakomybę už dalyvavimo pakartotinio naudojimo sistemose reikalavimų nesilaikymą. Už pareigos nedalyvauti pakartotinio naudojimo sistemose nevykdymą juridiniams asmenims siūloma nustatyti baudą nuo 1000 iki 3000 eurų, o už pakartotinį pažeidimą – nuo 3000 iki 5000 eurų. Šia nuostata siekiama skatinti ūkio subjektus dalyvauti daugkartinio naudojimo sistemose ir užtikrinti jų veiksmingumą.</w:t>
              </w:r>
            </w:p>
            <w:p w14:paraId="51BE84F2" w14:textId="7D3AC749">
              <w:pPr>
                <w:widowControl w:val="0"/>
                <w:spacing w:line="23" w:lineRule="atLeast"/>
                <w:ind w:firstLine="567"/>
                <w:jc w:val="both"/>
                <w:rPr>
                  <w:color w:val="000000"/>
                </w:rPr>
              </w:pPr>
              <w:r>
                <w:rPr>
                  <w:color w:val="000000"/>
                </w:rPr>
                <w:t>AAĮ projekto 2 straipsniu siūloma AAĮ papildyti 108</w:t>
              </w:r>
              <w:r>
                <w:rPr>
                  <w:color w:val="000000"/>
                  <w:vertAlign w:val="superscript"/>
                </w:rPr>
                <w:t>6</w:t>
              </w:r>
              <w:r>
                <w:rPr>
                  <w:color w:val="000000"/>
                </w:rPr>
                <w:t xml:space="preserve"> straipsniu ir jame nustatyti juridinių asmenų atsakomybę už pakartotinio naudojimo tikslų nepasiekimą. Už tokį pažeidimą juridiniams asmenims siūloma numatyti baudą nuo 1400 iki 4000 eurų, o už pakartotinį – nuo 2800 iki 80 000 eurų. Šia nuostata siekiama skatinti ūkio subjektus aktyviau siekti nustatytų pakartotinio naudojimo tikslų.</w:t>
              </w:r>
            </w:p>
            <w:p w14:paraId="5AE87F3B" w14:textId="52FC45E9">
              <w:pPr>
                <w:widowControl w:val="0"/>
                <w:spacing w:line="23" w:lineRule="atLeast"/>
                <w:ind w:firstLine="567"/>
                <w:jc w:val="both"/>
                <w:rPr>
                  <w:color w:val="000000"/>
                </w:rPr>
              </w:pPr>
              <w:r>
                <w:rPr>
                  <w:color w:val="000000"/>
                </w:rPr>
                <w:t>AAĮ projekto 3 straipsniu siūloma AAĮ papildyti 108</w:t>
              </w:r>
              <w:r>
                <w:rPr>
                  <w:color w:val="000000"/>
                  <w:vertAlign w:val="superscript"/>
                </w:rPr>
                <w:t>7</w:t>
              </w:r>
              <w:r>
                <w:rPr>
                  <w:color w:val="000000"/>
                </w:rPr>
                <w:t xml:space="preserve"> straipsniu ir jame nustatyti atsakomybę už pakartotinio užpildymo reikalavimų nesilaikymą. Siūloma, kad pareigos informuoti galutinius naudotojus, užtikrinti pakartotinio užpildymo punktų atitiktį nustatytiems reikalavimams bei tinkamą daugkartinių pakuočių ar taros pasiūlą nevykdymas užtrauktų baudą nuo 500 iki 2000 eurų, o už pakartotinį pažeidimą – nuo 2000 iki 4000 eurų. </w:t>
              </w:r>
            </w:p>
            <w:p w14:paraId="5F4533F8" w14:textId="3312E85E">
              <w:pPr>
                <w:widowControl w:val="0"/>
                <w:spacing w:line="23" w:lineRule="atLeast"/>
                <w:ind w:firstLine="567"/>
                <w:jc w:val="both"/>
                <w:rPr>
                  <w:color w:val="000000"/>
                </w:rPr>
              </w:pPr>
              <w:r>
                <w:rPr>
                  <w:color w:val="000000"/>
                </w:rPr>
                <w:t>AAĮ projekto 4 straipsniu siūl</w:t>
              </w:r>
              <w:r>
                <w:t>oma</w:t>
              </w:r>
              <w:r>
                <w:rPr>
                  <w:color w:val="000000"/>
                </w:rPr>
                <w:t xml:space="preserve"> AAĮ įstatymas papildyti 108</w:t>
              </w:r>
              <w:r>
                <w:rPr>
                  <w:color w:val="000000"/>
                  <w:vertAlign w:val="superscript"/>
                </w:rPr>
                <w:t>8</w:t>
              </w:r>
              <w:r>
                <w:rPr>
                  <w:color w:val="000000"/>
                </w:rPr>
                <w:t xml:space="preserve"> straipsniu ir jame nustatyti atsakomybę už pareigų, susijusių su išsineštiniu maistu ir gėrimais, nevykdymą. Už tokį pažeidimą siūloma nustatyti baudą nuo 500 iki 2000 eurų, o už pakartotinį – nuo 2000 iki 4000 eurų. Šia nuostata siekiama skatinti maitinimo įstaigas diegti pakartotinio naudojimo sistemas. Numatoma, kad ši nuostata įsigalios 2027 m. sausio 1 d.</w:t>
              </w:r>
            </w:p>
            <w:p w14:paraId="5FC8B925" w14:textId="77692720">
              <w:pPr>
                <w:widowControl w:val="0"/>
                <w:spacing w:line="23" w:lineRule="atLeast"/>
                <w:ind w:firstLine="567"/>
                <w:jc w:val="both"/>
                <w:rPr>
                  <w:color w:val="000000"/>
                </w:rPr>
              </w:pPr>
              <w:r>
                <w:rPr>
                  <w:color w:val="000000"/>
                </w:rPr>
                <w:t xml:space="preserve">AAĮ projekto 5 straipsniu siūloma </w:t>
              </w:r>
              <w:r>
                <w:t>pakeisti 108</w:t>
              </w:r>
              <w:r>
                <w:rPr>
                  <w:vertAlign w:val="superscript"/>
                </w:rPr>
                <w:t>8</w:t>
              </w:r>
              <w:r>
                <w:t xml:space="preserve"> straipsnį ir jame nustatyti atsakomybę už pareigų, susijusių su išsineštiniu maistu ir gėrimais (įtraukiant pareigas susijusias su pakartotinio naudojimo siūlymu), nevykdymą. Už tokį pažeidimą siūloma </w:t>
              </w:r>
              <w:r>
                <w:rPr>
                  <w:color w:val="000000"/>
                </w:rPr>
                <w:t>nustatyti baudą nuo 500 iki 2000 eurų, o už pakartotinį – nuo 2000 iki 4000 eurų. Šia nuostata siekiama skatinti maitinimo įstaigas diegti pakartotinio naudojimo sistemas. Numatoma, kad ši nuostata įsigalios 2028 m. sausio 1 d.</w:t>
              </w:r>
            </w:p>
            <w:p w14:paraId="673757AB" w14:textId="4F4970FD">
              <w:pPr>
                <w:widowControl w:val="0"/>
                <w:spacing w:line="23" w:lineRule="atLeast"/>
                <w:ind w:firstLine="567"/>
                <w:jc w:val="both"/>
                <w:rPr>
                  <w:color w:val="000000"/>
                </w:rPr>
              </w:pPr>
              <w:r>
                <w:rPr>
                  <w:color w:val="000000"/>
                </w:rPr>
                <w:t>AAĮ projekto 6 straipsniu siūloma AAĮ papildytu 108</w:t>
              </w:r>
              <w:r>
                <w:rPr>
                  <w:color w:val="000000"/>
                  <w:vertAlign w:val="superscript"/>
                </w:rPr>
                <w:t>9</w:t>
              </w:r>
              <w:r>
                <w:rPr>
                  <w:color w:val="000000"/>
                </w:rPr>
                <w:t xml:space="preserve"> straipsniu ir jame nustatyti juridinių asmenų atsakomybę už pakuočių tinkamumo perdirbti ir minimalios perdirbtų medžiagų dalies reikalavimų nesilaikymą. Už pažeidimus siūloma numatyti baudą nuo 2000 iki 5000 eurų, o už pakartotinius – nuo 5000 iki 10 000 eurų. Tokia nuostata siekiama paskatinti rinkai tiekti tik tvarias ir perdirbimui tinkamas pakuotes. Numatoma, kad ši nuostata įsigalios 2030 m. sausio 1 d.</w:t>
              </w:r>
            </w:p>
            <w:p w14:paraId="3ABFD5BE" w14:textId="180EF3AF">
              <w:pPr>
                <w:widowControl w:val="0"/>
                <w:spacing w:line="23" w:lineRule="atLeast"/>
                <w:ind w:firstLine="567"/>
                <w:jc w:val="both"/>
                <w:rPr>
                  <w:color w:val="000000"/>
                </w:rPr>
              </w:pPr>
              <w:r>
                <w:rPr>
                  <w:color w:val="000000"/>
                </w:rPr>
                <w:t>AAĮ projekto 7 straipsniu siūloma AAĮ papildyti 108</w:t>
              </w:r>
              <w:r>
                <w:rPr>
                  <w:color w:val="000000"/>
                  <w:vertAlign w:val="superscript"/>
                </w:rPr>
                <w:t>10</w:t>
              </w:r>
              <w:r>
                <w:rPr>
                  <w:color w:val="000000"/>
                </w:rPr>
                <w:t xml:space="preserve"> straipsniu ir jame nustatyti atsakomybę už perteklinių pakuočių reikalavimų nesilaikymą. Už grupinių, transportavimo ar elektroninės prekybos siuntų pakuotes, kuriose tuščia ertmės dalis viršija 50 proc., siūloma numatyti baudą nuo 1400 iki 4000 eurų, o už pakartotinį pažeidimą – nuo 2800 iki 8 000 eurų. Šia nuostata siekiama skatinti mažinti perteklines pakuotes ir efektyviau naudoti žaliavas. Numatoma, kad ši nuostata įsigalios 2030 m. sausio 1 d.</w:t>
              </w:r>
            </w:p>
            <w:p w14:paraId="2F60F68A" w14:textId="10A73A33">
              <w:pPr>
                <w:widowControl w:val="0"/>
                <w:spacing w:line="23" w:lineRule="atLeast"/>
                <w:ind w:firstLine="567"/>
                <w:jc w:val="both"/>
                <w:rPr>
                  <w:color w:val="000000"/>
                </w:rPr>
              </w:pPr>
              <w:r>
                <w:rPr>
                  <w:color w:val="000000"/>
                </w:rPr>
                <w:t>AAĮ projekto 8 straipsniu siūloma AAĮ papildyti 108</w:t>
              </w:r>
              <w:r>
                <w:rPr>
                  <w:color w:val="000000"/>
                  <w:vertAlign w:val="superscript"/>
                </w:rPr>
                <w:t>11</w:t>
              </w:r>
              <w:r>
                <w:rPr>
                  <w:color w:val="000000"/>
                </w:rPr>
                <w:t xml:space="preserve"> straipsniu ir jame nustatyti atsakomybę už draudžiamų formų pakuočių pateikimą rinkai. Už tokį pažeidimą siūloma numatyti baudą nuo 2000 iki 5000 eurų, o už pakartotinį – nuo 5000 iki 10 000 eurų. Siekiama užtikrinti, kad rinkoje nebūtų naudojamos pakuotės, kurias pagal Reglamento </w:t>
              </w:r>
              <w:fldSimple w:instr="HYPERLINK http://eur-lex.europa.eu/legal-content/LIT/TXT/?uri=CELEX:32025R0040&amp;locale=lt \t _blank">
                <w:r>
                  <w:rPr>
                    <w:color w:val="0000FF" w:themeColor="hyperlink"/>
                    <w:u w:val="single"/>
                  </w:rPr>
                  <w:t>(ES) 2025/40</w:t>
                </w:r>
              </w:fldSimple>
              <w:r>
                <w:rPr>
                  <w:color w:val="000000"/>
                </w:rPr>
                <w:t xml:space="preserve"> nuostatas draudžiama tiekti į rinką. Numatoma, kad ši nuostata įsigalios 2030 m. sausio 1 d.</w:t>
              </w:r>
            </w:p>
            <w:p w14:paraId="3232CC66" w14:textId="7A705DC9">
              <w:pPr>
                <w:widowControl w:val="0"/>
                <w:spacing w:line="240" w:lineRule="atLeast"/>
                <w:ind w:firstLine="629"/>
                <w:jc w:val="both"/>
                <w:rPr>
                  <w:szCs w:val="24"/>
                </w:rPr>
              </w:pPr>
              <w:r>
                <w:rPr>
                  <w:szCs w:val="24"/>
                </w:rPr>
                <w:t>ANK</w:t>
              </w:r>
              <w:r>
                <w:rPr>
                  <w:b/>
                  <w:bCs/>
                  <w:szCs w:val="24"/>
                </w:rPr>
                <w:t xml:space="preserve"> </w:t>
              </w:r>
              <w:r>
                <w:rPr>
                  <w:szCs w:val="24"/>
                </w:rPr>
                <w:t>projekto 1 straipsniu siūloma Administracinių nusižengimų kodekso 248 straipsnį papildyti 12–14 dalimis ir nustatyti juridinių asmenų vadovų ar kitų atsakingų asmenų atsakomybę už dalyvavimo pakartotinio naudojimo sistemose pareigos nevykdymą, pareigų, susijusių su pakartotinio naudojimo tikslais, nevykdymą bei pakartotinio užpildymo reikalavimų nesilaikymą. Už dalyvavimo pakartotinio naudojimo sistemose pareigos nevykdymą siūloma nustatyti baudą nuo 200 iki 600 eurų, už pareigų, susijusių su pakartotinio naudojimo tikslais, nevykdymą – nuo 600 iki 1500 eurų, o už pakartotinio užpildymo reikalavimų nevykdymą – nuo 300 iki 800 eurų. Šiomis nuostatomis siekiama užtikrinti naujų su pakartotiniu naudojimu ir pakartotiniu užpildymu susijusių reikalavimų laikymąsi ir sudaryti prielaidas veiksmingesnei jų kontrolei. Numatoma, kad šios nuostatos įsigalios 2026 m. rugpjūčio 12 d.</w:t>
              </w:r>
            </w:p>
            <w:p w14:paraId="14392809" w14:textId="43CAEF1E">
              <w:pPr>
                <w:widowControl w:val="0"/>
                <w:spacing w:line="240" w:lineRule="atLeast"/>
                <w:ind w:firstLine="567"/>
                <w:jc w:val="both"/>
                <w:rPr>
                  <w:b/>
                  <w:bCs/>
                  <w:szCs w:val="24"/>
                </w:rPr>
              </w:pPr>
              <w:r>
                <w:rPr>
                  <w:szCs w:val="24"/>
                </w:rPr>
                <w:t>ANK projekto 2 straipsniu siūloma ANK 248 straipsnį papildyti 15 dalimi ir nustatyti juridinių asmenų vadovų ar kitų atsakingų asmenų atsakomybę už pareigų, susijusių su išsineštiniu maistu ir gėrimais, nevykdymą. Už tokį pažeidimą siūloma nustatyti baudą nuo 300 iki 800 eurų. Šia nuostata siekiama užtikrinti ekonominės veiklos vykdytojų pareigų, susijusių su vartotojų galimybe naudoti savo tarą ir gauti produktus pakartotinai užpildomoje taroje, laikymąsi. Numatoma, kad ši nuostata įsigalios 2027 m. sausio 1 d.</w:t>
              </w:r>
            </w:p>
            <w:p w14:paraId="7BC6110F" w14:textId="5B44188E">
              <w:pPr>
                <w:widowControl w:val="0"/>
                <w:spacing w:line="240" w:lineRule="atLeast"/>
                <w:ind w:firstLine="567"/>
                <w:jc w:val="both"/>
                <w:rPr>
                  <w:color w:val="000000"/>
                </w:rPr>
              </w:pPr>
              <w:r>
                <w:rPr>
                  <w:szCs w:val="24"/>
                </w:rPr>
                <w:t xml:space="preserve">ANK projekto 3 straipsniu siūloma ANK 248 straipsnį papildyti 16–18 dalimis ir nustatyti juridinių asmenų vadovų ar kitų atsakingų asmenų atsakomybę už pakuočių, kurios neatitinka tinkamumo perdirbti ar minimalios perdirbtų medžiagų dalies reikalavimų, tiekimą vidaus rinkai, už grupinių, transportavimo arba elektroninės prekybos siuntų pakuočių, kuriose tuščios ertmės dalis viršija 50 procentų, tiekimą vidaus rinkai, taip pat už draudžiamų pakuočių pateikimą rinkai. Už pakuočių, neatitinkančių tinkamumo perdirbti ar minimalios perdirbtų medžiagų dalies reikalavimų, tiekimą siūloma nustatyti baudą nuo 800 iki 2000 eurų, už grupinių, transportavimo arba elektroninės prekybos siuntų pakuočių, kuriose tuščios ertmės dalis viršija 50 procentų, tiekimą – nuo 600 iki 1500 eurų, o už draudžiamų pakuočių pateikimą rinkai – nuo 1000 iki 2500 eurų. Šiomis nuostatomis siekiama užtikrinti, kad vidaus rinkai būtų tiekiamos tik Reglamento </w:t>
              </w:r>
              <w:fldSimple w:instr="HYPERLINK http://eur-lex.europa.eu/legal-content/LIT/TXT/?uri=CELEX:32025R0040&amp;locale=lt \t _blank">
                <w:r>
                  <w:rPr>
                    <w:szCs w:val="24"/>
                    <w:u w:val="single"/>
                    <w:color w:val="0000FF" w:themeColor="hyperlink"/>
                  </w:rPr>
                  <w:t>(ES) 2025/40</w:t>
                </w:r>
              </w:fldSimple>
              <w:r>
                <w:rPr>
                  <w:szCs w:val="24"/>
                </w:rPr>
                <w:t xml:space="preserve"> reikalavimus atitinkančios pakuotės ir būtų veiksmingai kontroliuojamas naujų reikalavimų laikymasis. Numatoma, kad šios nuostatos įsigalios 2030 m. sausio 1 d.</w:t>
              </w:r>
            </w:p>
            <w:p w14:paraId="45EA5244" w14:textId="2DA9B70E">
              <w:pPr>
                <w:widowControl w:val="0"/>
                <w:spacing w:line="23" w:lineRule="atLeast"/>
                <w:ind w:firstLine="567"/>
                <w:jc w:val="both"/>
                <w:rPr>
                  <w:szCs w:val="24"/>
                </w:rPr>
              </w:pPr>
              <w:r>
                <w:rPr>
                  <w:szCs w:val="24"/>
                </w:rPr>
                <w:t>ATĮ keičiamas techninio pobūdžio pakeitimais, nes jame pateikiamos nuorodos į PPATĮ nuostatas. Kadangi PPATĮ dėstomas nauja redakcija, būtina patikslinti ATĮ esančias nuorodas į PPATĮ straipsnius.</w:t>
              </w:r>
            </w:p>
            <w:p w14:paraId="24A0A185" w14:textId="19504D72">
              <w:pPr>
                <w:widowControl w:val="0"/>
                <w:spacing w:line="23" w:lineRule="atLeast"/>
                <w:ind w:firstLine="567"/>
                <w:jc w:val="both"/>
              </w:pPr>
              <w:r>
                <w:t>Taip pat, atsižvelgiant į tai, kad nuo 2025 m. pakuočių atliekų tvarkymo užduotyse nebelieka naudojimo užduočių ir jos siejamos tik su perdirbimu, numatoma iki 2026 m. gruodžio 31 d. patikslinti Lietuvos Respublikos aplinkos ministro 2013 m. gegužės 20 d. įsakymu Nr. D1-359 „Dėl Gaminių ir (ar) pakuočių atliekų sutvarkymą įrodančių dokumentų išrašymo tvarkos aprašo patvirtinimo“ patvirtintą Gaminių ir (ar) pakuočių atliekų sutvarkymą įrodančių dokumentų išrašymo tvarkos aprašą ir numatyti, kad pakuočių atliekų sutvarkymą įrodančių dokumentų nebus reikalinga išrašyti, kai pakuočių atliekos bus naudojamos energijai gauti ir šalinti.</w:t>
              </w:r>
            </w:p>
            <w:p w14:paraId="16823715" w14:textId="27568907">
              <w:pPr>
                <w:widowControl w:val="0"/>
                <w:spacing w:line="23" w:lineRule="atLeast"/>
                <w:ind w:firstLine="567"/>
                <w:jc w:val="both"/>
              </w:pPr>
              <w:r>
                <w:t xml:space="preserve">Papildomai numatoma, kad aplinkos ministras, atsižvelgdamas į </w:t>
              </w:r>
              <w:r>
                <w:rPr>
                  <w:color w:val="000000"/>
                </w:rPr>
                <w:t>PPATĮ projekto 2 straipsnio 8 dalyje išdėstytą PPATĮ 6 straipsnio 1 dalies redakciją</w:t>
              </w:r>
              <w:r>
                <w:t xml:space="preserve">, iki 2028 m. rugpjūčio 11 d. arba praėjus 24 mėnesiams nuo įgyvendinimo aktų, priimtų pagal Reglamento </w:t>
              </w:r>
              <w:fldSimple w:instr="HYPERLINK http://eur-lex.europa.eu/legal-content/LIT/TXT/?uri=CELEX:32025R0040&amp;locale=lt \t _blank">
                <w:r>
                  <w:rPr>
                    <w:u w:val="single"/>
                    <w:color w:val="0000FF" w:themeColor="hyperlink"/>
                  </w:rPr>
                  <w:t>(ES) 2025/40</w:t>
                </w:r>
              </w:fldSimple>
              <w:r>
                <w:t xml:space="preserve"> 12 straipsnio 6 arba 7 dalį, įsigaliojimo dienos, atsižvelgiant į tai, kuri data yra vėlesnė, pakeis Lietuvos Respublikos aplinkos ministro 2002 m. birželio 27 d. įsakymą Nr. 348 „Dėl Pakuočių ir pakuočių atliekų tvarkymo taisyklių patvirtinimo“.</w:t>
              </w:r>
            </w:p>
          </w:sdtContent>
        </w:sdt>
        <w:sdt>
          <w:sdtPr>
            <w:alias w:val="5 p."/>
            <w:tag w:val="part_90cc4e61162744c29b19bf7f7708584f"/>
            <w:lock w:val="sdtLocked"/>
            <w:richText/>
          </w:sdtPr>
          <w:sdtContent>
            <w:p w14:paraId="2CB05904" w14:textId="7EE80A88">
              <w:pPr>
                <w:ind w:firstLine="567"/>
                <w:jc w:val="both"/>
                <w:rPr>
                  <w:b/>
                  <w:bCs/>
                  <w:kern w:val="2"/>
                  <w:lang w:eastAsia="lt-LT"/>
                </w:rPr>
              </w:pPr>
              <w:sdt>
                <w:sdtPr>
                  <w:alias w:val="Numeris"/>
                  <w:tag w:val="nr_90cc4e61162744c29b19bf7f7708584f"/>
                  <w:lock w:val="sdtLocked"/>
                  <w:richText/>
                </w:sdtPr>
                <w:sdtContent>
                  <w:r>
                    <w:rPr>
                      <w:b/>
                      <w:bCs/>
                      <w:color w:val="000000"/>
                      <w:lang w:eastAsia="en-GB"/>
                    </w:rPr>
                    <w:t>5</w:t>
                  </w:r>
                </w:sdtContent>
              </w:sdt>
              <w:r>
                <w:rPr>
                  <w:b/>
                  <w:bCs/>
                  <w:color w:val="000000"/>
                  <w:lang w:eastAsia="en-GB"/>
                </w:rPr>
                <w:t>. Numatomo teisinio reguliavimo poveikio vertinimo rezultatai (jeigu rengiant įstatymų projektus toks vertinimas turi būti atliktas ir jo rezultatai nepateikiami atskiru dokumentu), galimos neigiamos priimtų įstatymų pasekmės ir kokių priemonių reikėtų imtis, kad tokių pasekmių būtų išvengta</w:t>
              </w:r>
            </w:p>
            <w:p w14:paraId="5E5B66A7" w14:textId="77777777">
              <w:pPr>
                <w:widowControl w:val="0"/>
                <w:spacing w:line="23" w:lineRule="atLeast"/>
                <w:ind w:firstLine="567"/>
                <w:jc w:val="both"/>
              </w:pPr>
              <w:r>
                <w:rPr>
                  <w:color w:val="000000"/>
                </w:rPr>
                <w:t xml:space="preserve">Atliktas Projekto numatomo teisinio reguliavimo poveikio vertinimas (Europos Komisija atliko išsamų poveikio vertinimą dėl Reglamento </w:t>
              </w:r>
              <w:fldSimple w:instr="HYPERLINK http://eur-lex.europa.eu/legal-content/LIT/TXT/?uri=CELEX:32025R0040&amp;locale=lt \t _blank">
                <w:r>
                  <w:rPr>
                    <w:color w:val="0000FF" w:themeColor="hyperlink"/>
                    <w:u w:val="single"/>
                  </w:rPr>
                  <w:t>(ES) 2025/40</w:t>
                </w:r>
              </w:fldSimple>
              <w:r>
                <w:rPr>
                  <w:color w:val="000000"/>
                </w:rPr>
                <w:t xml:space="preserve">. Poveikio vertinimas pateiktas 2022 m. lapkričio 30 d., kartu su dokumentais SWD(2022) 384 final (Poveikio vertinimo ataskaita) ir SWD(2022) 385 final (Poveikio vertinimo santrauka). Nuoroda į dokumentą: </w:t>
              </w:r>
              <w:r>
                <w:rPr>
                  <w:color w:val="0563C1"/>
                  <w:u w:val="single"/>
                </w:rPr>
                <w:t>https://eur-lex.europa.eu/legal-content/EN/TXT/HTML/?uri=SWD:2022:384:FIN</w:t>
              </w:r>
              <w:r>
                <w:rPr>
                  <w:color w:val="000000"/>
                </w:rPr>
                <w:t xml:space="preserve"> </w:t>
              </w:r>
            </w:p>
            <w:p w14:paraId="3FED9A77" w14:textId="77777777">
              <w:pPr>
                <w:widowControl w:val="0"/>
                <w:spacing w:line="23" w:lineRule="atLeast"/>
                <w:ind w:firstLine="567"/>
                <w:jc w:val="both"/>
              </w:pPr>
              <w:r>
                <w:t>Pažymėtina, kad minėtoje poveikio vertinimo ataskaitoje (SWD(2022) 384 final) pateikiamas išsamus numatomo teisinio reguliavimo tikslų, galimų alternatyvų ir jų poveikio ekonominiu, socialiniu, administraciniu bei aplinkos ir klimato kaitos aspektais vertinimas. Atsižvelgiant į tai, toliau pateikiama apibendrinta šio poveikio vertinimo informacija.</w:t>
              </w:r>
            </w:p>
            <w:p w14:paraId="0B1D083B" w14:textId="55552EB4">
              <w:pPr>
                <w:widowControl w:val="0"/>
                <w:spacing w:line="23" w:lineRule="atLeast"/>
                <w:ind w:firstLine="567"/>
                <w:jc w:val="both"/>
              </w:pPr>
              <w:r>
                <w:t>Numatomo teisinio reguliavimo tikslas – mažinti neigiamą pakuočių ir pakuočių atliekų poveikį aplinkai, skatinti efektyvesnį išteklių naudojimą bei pereiti prie žiedinės ekonomikos modelio. Taip pat siekiama užtikrinti vienodesnį teisinį reguliavimą Europos Sąjungoje, mažinti perteklinį pakuočių naudojimą ir didinti jų perdirbamumą bei pakartotinį naudojimą.</w:t>
              </w:r>
            </w:p>
            <w:p w14:paraId="73D169EA" w14:textId="77777777">
              <w:pPr>
                <w:widowControl w:val="0"/>
                <w:spacing w:line="23" w:lineRule="atLeast"/>
                <w:ind w:firstLine="567"/>
                <w:jc w:val="both"/>
              </w:pPr>
              <w:r>
                <w:t>Vertinant ekonominį poveikį, tikėtina, kad ilgalaikėje perspektyvoje reguliavimas turės teigiamą efektą – bus skatinamos inovacijos, mažės atliekų tvarkymo kaštai, didės antrinių žaliavų panaudojimas. Tačiau trumpuoju laikotarpiu verslo subjektams gali padidėti sąnaudos dėl būtinybės prisitaikyti prie naujų reikalavimų, investuoti į technologijas ir keisti gamybos procesus, ypač mažesnėms įmonėms.</w:t>
              </w:r>
            </w:p>
            <w:p w14:paraId="43D935D6" w14:textId="77777777">
              <w:pPr>
                <w:widowControl w:val="0"/>
                <w:spacing w:line="23" w:lineRule="atLeast"/>
                <w:ind w:firstLine="567"/>
                <w:jc w:val="both"/>
              </w:pPr>
              <w:r>
                <w:t>Socialiniu aspektu numatomas reguliavimas gali prisidėti prie naujų darbo vietų kūrimo atliekų tvarkymo ir perdirbimo sektoriuose bei geresnio vartotojų informuotumo apie pakuočių poveikį aplinkai. Kita vertus, galimas netiesioginis neigiamas poveikis vartotojams dėl galimo prekių kainų padidėjimo.</w:t>
              </w:r>
            </w:p>
            <w:p w14:paraId="7EF32815" w14:textId="77777777">
              <w:pPr>
                <w:widowControl w:val="0"/>
                <w:spacing w:line="23" w:lineRule="atLeast"/>
                <w:ind w:firstLine="567"/>
                <w:jc w:val="both"/>
              </w:pPr>
              <w:r>
                <w:t>Administraciniu požiūriu gali padidėti priežiūros ir kontrolės našta valstybės institucijoms, taip pat atsirasti papildomų įpareigojimų verslui, susijusių su ataskaitų teikimu ir atitikties užtikrinimu.</w:t>
              </w:r>
            </w:p>
            <w:p w14:paraId="0BEA4A6E" w14:textId="62E069CD">
              <w:pPr>
                <w:widowControl w:val="0"/>
                <w:spacing w:line="23" w:lineRule="atLeast"/>
                <w:ind w:firstLine="567"/>
                <w:jc w:val="both"/>
              </w:pPr>
              <w:r>
                <w:t>Vertinant poveikį aplinkai ir klimato kaitai, numatomas reguliavimas turės reikšmingą teigiamą poveikį. Mažinant pakuočių atliekų kiekį, didinant perdirbimą ir pakartotinį naudojimą, bus mažinamas pirminių žaliavų poreikis ir šiltnamio efektą sukeliančių dujų emisijos. Atsižvelgiant į tai, kad pakuotės sudaro didelę plastiko ir popieriaus naudojimo dalį, tikėtinas reikšmingas indėlis į aplinkos taršos mažinimą ir klimato kaitos švelninimą.</w:t>
              </w:r>
            </w:p>
          </w:sdtContent>
        </w:sdt>
        <w:sdt>
          <w:sdtPr>
            <w:alias w:val="6 p."/>
            <w:tag w:val="part_62eeee2afd2849d4a0f737b4525b0a3e"/>
            <w:lock w:val="sdtLocked"/>
            <w:richText/>
          </w:sdtPr>
          <w:sdtContent>
            <w:p w14:paraId="76237529" w14:textId="7440BBCA">
              <w:pPr>
                <w:spacing w:line="23" w:lineRule="atLeast"/>
                <w:ind w:firstLine="567"/>
                <w:jc w:val="both"/>
                <w:rPr>
                  <w:color w:val="000000"/>
                  <w:lang w:eastAsia="en-GB"/>
                </w:rPr>
              </w:pPr>
              <w:sdt>
                <w:sdtPr>
                  <w:alias w:val="Numeris"/>
                  <w:tag w:val="nr_62eeee2afd2849d4a0f737b4525b0a3e"/>
                  <w:lock w:val="sdtLocked"/>
                  <w:richText/>
                </w:sdtPr>
                <w:sdtContent>
                  <w:r>
                    <w:rPr>
                      <w:b/>
                      <w:bCs/>
                      <w:color w:val="000000"/>
                      <w:lang w:eastAsia="en-GB"/>
                    </w:rPr>
                    <w:t>6</w:t>
                  </w:r>
                </w:sdtContent>
              </w:sdt>
              <w:r>
                <w:rPr>
                  <w:b/>
                  <w:bCs/>
                  <w:color w:val="000000"/>
                  <w:lang w:eastAsia="en-GB"/>
                </w:rPr>
                <w:t>. Kokią įtaką priimti įstatymai turės kriminogeninei situacijai, korupcijai</w:t>
              </w:r>
            </w:p>
            <w:p w14:paraId="22173FC8" w14:textId="77777777">
              <w:pPr>
                <w:shd w:val="clear" w:color="auto" w:fill="FFFFFF"/>
                <w:spacing w:line="276" w:lineRule="auto"/>
                <w:ind w:firstLine="709"/>
                <w:jc w:val="both"/>
                <w:rPr>
                  <w:color w:val="000000"/>
                  <w:lang w:eastAsia="en-GB"/>
                </w:rPr>
              </w:pPr>
              <w:r>
                <w:rPr>
                  <w:kern w:val="2"/>
                  <w:lang w:eastAsia="lt-LT"/>
                </w:rPr>
                <w:t xml:space="preserve">Įstatymų </w:t>
              </w:r>
              <w:r>
                <w:rPr>
                  <w:color w:val="000000"/>
                  <w:lang w:eastAsia="en-GB"/>
                </w:rPr>
                <w:t>projektai neturės įtakos kriminogeninei situacijai ir korupcijai.</w:t>
              </w:r>
            </w:p>
          </w:sdtContent>
        </w:sdt>
        <w:sdt>
          <w:sdtPr>
            <w:alias w:val="7 p."/>
            <w:tag w:val="part_6c35b8aa0515444781b3a48cae5bbb65"/>
            <w:lock w:val="sdtLocked"/>
            <w:richText/>
          </w:sdtPr>
          <w:sdtContent>
            <w:p w14:paraId="61879F0D" w14:textId="77777777">
              <w:pPr>
                <w:shd w:val="clear" w:color="auto" w:fill="FFFFFF"/>
                <w:spacing w:line="23" w:lineRule="atLeast"/>
                <w:ind w:firstLine="709"/>
                <w:jc w:val="both"/>
                <w:rPr>
                  <w:color w:val="000000"/>
                  <w:lang w:eastAsia="en-GB"/>
                </w:rPr>
              </w:pPr>
              <w:sdt>
                <w:sdtPr>
                  <w:alias w:val="Numeris"/>
                  <w:tag w:val="nr_6c35b8aa0515444781b3a48cae5bbb65"/>
                  <w:lock w:val="sdtLocked"/>
                  <w:richText/>
                </w:sdtPr>
                <w:sdtContent>
                  <w:r>
                    <w:rPr>
                      <w:b/>
                      <w:bCs/>
                      <w:color w:val="000000"/>
                      <w:lang w:eastAsia="en-GB"/>
                    </w:rPr>
                    <w:t>7</w:t>
                  </w:r>
                </w:sdtContent>
              </w:sdt>
              <w:r>
                <w:rPr>
                  <w:b/>
                  <w:bCs/>
                  <w:color w:val="000000"/>
                  <w:lang w:eastAsia="en-GB"/>
                </w:rPr>
                <w:t>. Kaip įstatymų įgyvendinimas atsilieps verslo sąlygoms ir jo plėtrai</w:t>
              </w:r>
            </w:p>
            <w:p w14:paraId="30442F69" w14:textId="49FF6BA2">
              <w:pPr>
                <w:shd w:val="clear" w:color="auto" w:fill="FFFFFF"/>
                <w:spacing w:line="276" w:lineRule="auto"/>
                <w:ind w:firstLine="709"/>
                <w:jc w:val="both"/>
              </w:pPr>
              <w:r>
                <w:t xml:space="preserve">Įstatymų projektais nacionalinė teisė priderinama prie Reglamento </w:t>
              </w:r>
              <w:fldSimple w:instr="HYPERLINK http://eur-lex.europa.eu/legal-content/LIT/TXT/?uri=CELEX:32025R0040&amp;locale=lt \t _blank">
                <w:r>
                  <w:rPr>
                    <w:u w:val="single"/>
                    <w:color w:val="0000FF" w:themeColor="hyperlink"/>
                  </w:rPr>
                  <w:t>(ES) 2025/40</w:t>
                </w:r>
              </w:fldSimple>
              <w:r>
                <w:t xml:space="preserve"> nuostatų, kuriomis  siekiama skatinti vieningą ES pakuočių rinką, perdirbtų medžiagų naudojimą, pakartotinį panaudojimą, inovacijas pakuočių sektoriuje.</w:t>
              </w:r>
            </w:p>
            <w:p w14:paraId="5A39BBE3" w14:textId="5E44C0C1">
              <w:pPr>
                <w:spacing w:line="276" w:lineRule="auto"/>
                <w:ind w:firstLine="709"/>
                <w:jc w:val="both"/>
                <w:rPr>
                  <w:sz w:val="14"/>
                  <w:szCs w:val="14"/>
                </w:rPr>
              </w:pPr>
              <w:r>
                <w:rPr>
                  <w:kern w:val="2"/>
                </w:rPr>
                <w:t>ANK ir AAĮ pakeitimo įstatymų projektais</w:t>
              </w:r>
              <w:r>
                <w:t xml:space="preserve"> bus sudarytos sąlygos užtikrinti sąžiningą konkurenciją ir vienodas veiklos sąlygas ūkio subjektams, kurie laikosi teisės aktuose nustatytų reikalavimų ir dėl to patiria papildomas sąnaudas, palyginti su ūkio subjektais, kurie šių reikalavimų nesilaiko ir taip įgyja nepagrįstą konkurencinį pranašumą.</w:t>
              </w:r>
            </w:p>
          </w:sdtContent>
        </w:sdt>
        <w:sdt>
          <w:sdtPr>
            <w:alias w:val="8 p."/>
            <w:tag w:val="part_770c4e1700a042f4b5a01120ee27b20d"/>
            <w:lock w:val="sdtLocked"/>
            <w:richText/>
          </w:sdtPr>
          <w:sdtContent>
            <w:p w14:paraId="34993E83" w14:textId="77777777">
              <w:pPr>
                <w:tabs>
                  <w:tab w:val="left" w:pos="900"/>
                </w:tabs>
                <w:spacing w:line="23" w:lineRule="atLeast"/>
                <w:ind w:firstLine="709"/>
                <w:jc w:val="both"/>
                <w:rPr>
                  <w:b/>
                  <w:bCs/>
                  <w:kern w:val="2"/>
                  <w:lang w:eastAsia="lt-LT"/>
                </w:rPr>
              </w:pPr>
              <w:sdt>
                <w:sdtPr>
                  <w:alias w:val="Numeris"/>
                  <w:tag w:val="nr_770c4e1700a042f4b5a01120ee27b20d"/>
                  <w:lock w:val="sdtLocked"/>
                  <w:richText/>
                </w:sdtPr>
                <w:sdtContent>
                  <w:r>
                    <w:rPr>
                      <w:b/>
                      <w:bCs/>
                      <w:kern w:val="2"/>
                    </w:rPr>
                    <w:t>8</w:t>
                  </w:r>
                </w:sdtContent>
              </w:sdt>
              <w:r>
                <w:rPr>
                  <w:b/>
                  <w:bCs/>
                  <w:kern w:val="2"/>
                </w:rPr>
                <w:t>. Ar įstatymų pakeitimų projektai neprieštarauja strateginio lygmens planavimo dokumentams</w:t>
              </w:r>
            </w:p>
            <w:p w14:paraId="0501AAAA" w14:textId="77777777">
              <w:pPr>
                <w:tabs>
                  <w:tab w:val="left" w:pos="900"/>
                </w:tabs>
                <w:spacing w:line="276" w:lineRule="auto"/>
                <w:ind w:firstLine="709"/>
                <w:jc w:val="both"/>
                <w:rPr>
                  <w:kern w:val="2"/>
                  <w:lang w:eastAsia="lt-LT"/>
                </w:rPr>
              </w:pPr>
              <w:r>
                <w:rPr>
                  <w:kern w:val="2"/>
                  <w:lang w:eastAsia="lt-LT"/>
                </w:rPr>
                <w:t>Įstatymų p</w:t>
              </w:r>
              <w:r>
                <w:rPr>
                  <w:color w:val="000000"/>
                  <w:lang w:eastAsia="en-GB"/>
                </w:rPr>
                <w:t xml:space="preserve">rojektai </w:t>
              </w:r>
              <w:r>
                <w:rPr>
                  <w:kern w:val="2"/>
                </w:rPr>
                <w:t>neprieštarauja strateginio lygmens planavimo dokumentams.</w:t>
              </w:r>
            </w:p>
          </w:sdtContent>
        </w:sdt>
        <w:sdt>
          <w:sdtPr>
            <w:alias w:val="9 p."/>
            <w:tag w:val="part_700f522a8e034ec582408829bd185585"/>
            <w:lock w:val="sdtLocked"/>
            <w:richText/>
          </w:sdtPr>
          <w:sdtContent>
            <w:p w14:paraId="78BBD9B3" w14:textId="77777777">
              <w:pPr>
                <w:shd w:val="clear" w:color="auto" w:fill="FFFFFF"/>
                <w:spacing w:line="23" w:lineRule="atLeast"/>
                <w:ind w:firstLine="709"/>
                <w:jc w:val="both"/>
                <w:rPr>
                  <w:color w:val="000000"/>
                  <w:lang w:eastAsia="en-GB"/>
                </w:rPr>
              </w:pPr>
              <w:sdt>
                <w:sdtPr>
                  <w:alias w:val="Numeris"/>
                  <w:tag w:val="nr_700f522a8e034ec582408829bd185585"/>
                  <w:lock w:val="sdtLocked"/>
                  <w:richText/>
                </w:sdtPr>
                <w:sdtContent>
                  <w:r>
                    <w:rPr>
                      <w:b/>
                      <w:bCs/>
                      <w:color w:val="000000"/>
                      <w:lang w:eastAsia="en-GB"/>
                    </w:rPr>
                    <w:t>9</w:t>
                  </w:r>
                </w:sdtContent>
              </w:sdt>
              <w:r>
                <w:rPr>
                  <w:b/>
                  <w:bCs/>
                  <w:color w:val="000000"/>
                  <w:lang w:eastAsia="en-GB"/>
                </w:rPr>
                <w:t>. Įstatymų inkorporavimas į teisinę sistemą, kokius teisės aktus būtina priimti, kokius galiojančius teisės aktus reikia pakeisti ar pripažinti netekusiais galios</w:t>
              </w:r>
            </w:p>
            <w:p w14:paraId="2AB2E26C" w14:textId="77777777">
              <w:pPr>
                <w:widowControl w:val="0"/>
                <w:spacing w:line="276" w:lineRule="auto"/>
                <w:ind w:firstLine="709"/>
                <w:jc w:val="both"/>
                <w:rPr>
                  <w:kern w:val="2"/>
                  <w:lang w:eastAsia="lt-LT"/>
                </w:rPr>
              </w:pPr>
              <w:r>
                <w:rPr>
                  <w:color w:val="000000"/>
                  <w:lang w:eastAsia="en-GB"/>
                </w:rPr>
                <w:t xml:space="preserve">Priėmus </w:t>
              </w:r>
              <w:r>
                <w:rPr>
                  <w:kern w:val="2"/>
                  <w:lang w:eastAsia="lt-LT"/>
                </w:rPr>
                <w:t xml:space="preserve">įstatymų </w:t>
              </w:r>
              <w:r>
                <w:rPr>
                  <w:color w:val="000000"/>
                  <w:lang w:eastAsia="en-GB"/>
                </w:rPr>
                <w:t>projektus,</w:t>
              </w:r>
              <w:r>
                <w:rPr>
                  <w:kern w:val="2"/>
                  <w:lang w:eastAsia="lt-LT"/>
                </w:rPr>
                <w:t xml:space="preserve"> nereikės priimti ar keisti teisės aktų.</w:t>
              </w:r>
            </w:p>
          </w:sdtContent>
        </w:sdt>
        <w:sdt>
          <w:sdtPr>
            <w:alias w:val="10 p."/>
            <w:tag w:val="part_6e2728852cc5499daea48615714ee9d2"/>
            <w:lock w:val="sdtLocked"/>
            <w:richText/>
          </w:sdtPr>
          <w:sdtContent>
            <w:p w14:paraId="283ECA11" w14:textId="77777777">
              <w:pPr>
                <w:spacing w:line="23" w:lineRule="atLeast"/>
                <w:ind w:firstLine="720"/>
                <w:jc w:val="both"/>
                <w:rPr>
                  <w:color w:val="000000"/>
                  <w:lang w:eastAsia="en-GB"/>
                </w:rPr>
              </w:pPr>
              <w:sdt>
                <w:sdtPr>
                  <w:alias w:val="Numeris"/>
                  <w:tag w:val="nr_6e2728852cc5499daea48615714ee9d2"/>
                  <w:lock w:val="sdtLocked"/>
                  <w:richText/>
                </w:sdtPr>
                <w:sdtContent>
                  <w:r>
                    <w:rPr>
                      <w:b/>
                      <w:bCs/>
                      <w:color w:val="000000"/>
                      <w:lang w:eastAsia="en-GB"/>
                    </w:rPr>
                    <w:t>10</w:t>
                  </w:r>
                </w:sdtContent>
              </w:sdt>
              <w:r>
                <w:rPr>
                  <w:b/>
                  <w:bCs/>
                  <w:color w:val="000000"/>
                  <w:lang w:eastAsia="en-GB"/>
                </w:rPr>
                <w:t>. Ar įstatymų projektai parengti laikantis Lietuvos Respublikos valstybinės kalbos, Teisėkūros pagrindų įstatymų reikalavimų, o įstatymų projektų sąvokos ir jas įvardijantys terminai įvertinti Terminų banko įstatymo ir jo įgyvendinamųjų teisės aktų nustatyta tvarka</w:t>
              </w:r>
            </w:p>
            <w:p w14:paraId="0A728BD0" w14:textId="77777777">
              <w:pPr>
                <w:spacing w:line="276" w:lineRule="auto"/>
                <w:ind w:firstLine="709"/>
                <w:jc w:val="both"/>
                <w:rPr>
                  <w:kern w:val="2"/>
                  <w:lang w:eastAsia="lt-LT"/>
                </w:rPr>
              </w:pPr>
              <w:r>
                <w:rPr>
                  <w:kern w:val="2"/>
                  <w:lang w:eastAsia="lt-LT"/>
                </w:rPr>
                <w:t xml:space="preserve">Įstatymų projektai parengti laikantis Lietuvos Respublikos valstybinės kalbos įstatymo, Lietuvos Respublikos teisėkūros pagrindų įstatymo reikalavimų ir atitinka bendrinės lietuvių kalbos normas. </w:t>
              </w:r>
            </w:p>
          </w:sdtContent>
        </w:sdt>
        <w:sdt>
          <w:sdtPr>
            <w:alias w:val="11 p."/>
            <w:tag w:val="part_2aa47419b13a4d79b3858c932cb9d8ee"/>
            <w:lock w:val="sdtLocked"/>
            <w:richText/>
          </w:sdtPr>
          <w:sdtContent>
            <w:p w14:paraId="18636F0C" w14:textId="77777777">
              <w:pPr>
                <w:shd w:val="clear" w:color="auto" w:fill="FFFFFF"/>
                <w:spacing w:line="23" w:lineRule="atLeast"/>
                <w:ind w:firstLine="709"/>
                <w:jc w:val="both"/>
                <w:rPr>
                  <w:color w:val="000000"/>
                  <w:lang w:eastAsia="en-GB"/>
                </w:rPr>
              </w:pPr>
              <w:sdt>
                <w:sdtPr>
                  <w:alias w:val="Numeris"/>
                  <w:tag w:val="nr_2aa47419b13a4d79b3858c932cb9d8ee"/>
                  <w:lock w:val="sdtLocked"/>
                  <w:richText/>
                </w:sdtPr>
                <w:sdtContent>
                  <w:r>
                    <w:rPr>
                      <w:b/>
                      <w:bCs/>
                      <w:color w:val="000000"/>
                      <w:lang w:eastAsia="en-GB"/>
                    </w:rPr>
                    <w:t>11</w:t>
                  </w:r>
                </w:sdtContent>
              </w:sdt>
              <w:r>
                <w:rPr>
                  <w:b/>
                  <w:bCs/>
                  <w:color w:val="000000"/>
                  <w:lang w:eastAsia="en-GB"/>
                </w:rPr>
                <w:t>. Ar įstatymų projektai atitinka Žmogaus teisių ir pagrindinių laisvių apsaugos konvencijos nuostatas ir Europos Sąjungos dokumentus</w:t>
              </w:r>
            </w:p>
            <w:p w14:paraId="51A578B2" w14:textId="77777777">
              <w:pPr>
                <w:shd w:val="clear" w:color="auto" w:fill="FFFFFF"/>
                <w:spacing w:line="23" w:lineRule="atLeast"/>
                <w:ind w:firstLine="709"/>
                <w:jc w:val="both"/>
                <w:rPr>
                  <w:color w:val="000000"/>
                  <w:lang w:eastAsia="en-GB"/>
                </w:rPr>
              </w:pPr>
              <w:r>
                <w:rPr>
                  <w:kern w:val="2"/>
                  <w:lang w:eastAsia="lt-LT"/>
                </w:rPr>
                <w:t xml:space="preserve">Įstatymų </w:t>
              </w:r>
              <w:r>
                <w:rPr>
                  <w:color w:val="000000"/>
                  <w:lang w:eastAsia="en-GB"/>
                </w:rPr>
                <w:t>projektai neprieštarauja Europos žmogaus teisių ir pagrindinių laisvių apsaugos konvencijos nuostatoms ir Europos Sąjungos dokumentams.</w:t>
              </w:r>
            </w:p>
          </w:sdtContent>
        </w:sdt>
        <w:sdt>
          <w:sdtPr>
            <w:alias w:val="12 p."/>
            <w:tag w:val="part_dba1f47c64e4493f81324c30c72d437c"/>
            <w:lock w:val="sdtLocked"/>
            <w:richText/>
          </w:sdtPr>
          <w:sdtContent>
            <w:p w14:paraId="4E342C75" w14:textId="77777777">
              <w:pPr>
                <w:shd w:val="clear" w:color="auto" w:fill="FFFFFF"/>
                <w:spacing w:line="23" w:lineRule="atLeast"/>
                <w:ind w:firstLine="709"/>
                <w:jc w:val="both"/>
                <w:rPr>
                  <w:color w:val="000000"/>
                  <w:lang w:eastAsia="en-GB"/>
                </w:rPr>
              </w:pPr>
              <w:sdt>
                <w:sdtPr>
                  <w:alias w:val="Numeris"/>
                  <w:tag w:val="nr_dba1f47c64e4493f81324c30c72d437c"/>
                  <w:lock w:val="sdtLocked"/>
                  <w:richText/>
                </w:sdtPr>
                <w:sdtContent>
                  <w:r>
                    <w:rPr>
                      <w:b/>
                      <w:bCs/>
                      <w:color w:val="000000"/>
                      <w:lang w:eastAsia="en-GB"/>
                    </w:rPr>
                    <w:t>12</w:t>
                  </w:r>
                </w:sdtContent>
              </w:sdt>
              <w:r>
                <w:rPr>
                  <w:b/>
                  <w:bCs/>
                  <w:color w:val="000000"/>
                  <w:lang w:eastAsia="en-GB"/>
                </w:rPr>
                <w:t>. Jeigu įstatymams įgyvendinti reikia įgyvendinamųjų teisės aktų, – kas ir kada juos turėtų priimti</w:t>
              </w:r>
            </w:p>
            <w:p w14:paraId="7F6021BC" w14:textId="1B12B677">
              <w:pPr>
                <w:shd w:val="clear" w:color="auto" w:fill="FFFFFF"/>
                <w:spacing w:line="276" w:lineRule="auto"/>
                <w:ind w:firstLine="709"/>
                <w:jc w:val="both"/>
                <w:rPr>
                  <w:lang w:eastAsia="lt-LT"/>
                </w:rPr>
              </w:pPr>
              <w:r>
                <w:rPr>
                  <w:kern w:val="2"/>
                  <w:lang w:eastAsia="lt-LT"/>
                </w:rPr>
                <w:t>Priėmus įstatymų projektais siūlomais pakeitimus, reikės</w:t>
              </w:r>
              <w:r>
                <w:rPr>
                  <w:lang w:eastAsia="lt-LT"/>
                </w:rPr>
                <w:t>:</w:t>
              </w:r>
            </w:p>
            <w:sdt>
              <w:sdtPr>
                <w:alias w:val="12 p. 1 pp."/>
                <w:tag w:val="part_3177f70b0f2e49ad84111b380e770066"/>
                <w:lock w:val="sdtLocked"/>
                <w:richText/>
              </w:sdtPr>
              <w:sdtContent>
                <w:p w14:paraId="3D2087FC" w14:textId="7D248A61">
                  <w:pPr>
                    <w:shd w:val="clear" w:color="auto" w:fill="FFFFFF"/>
                    <w:spacing w:line="276" w:lineRule="auto"/>
                    <w:ind w:firstLine="709"/>
                    <w:jc w:val="both"/>
                  </w:pPr>
                  <w:sdt>
                    <w:sdtPr>
                      <w:alias w:val="Numeris"/>
                      <w:tag w:val="nr_3177f70b0f2e49ad84111b380e770066"/>
                      <w:lock w:val="sdtLocked"/>
                      <w:richText/>
                    </w:sdtPr>
                    <w:sdtContent>
                      <w:r>
                        <w:rPr>
                          <w:lang w:eastAsia="lt-LT"/>
                        </w:rPr>
                        <w:t>1</w:t>
                      </w:r>
                    </w:sdtContent>
                  </w:sdt>
                  <w:r>
                    <w:rPr>
                      <w:lang w:eastAsia="lt-LT"/>
                    </w:rPr>
                    <w:t xml:space="preserve">) iki 2026 m. gruodžio 31 dienos pakeisti Lietuvos Respublikos aplinkos ministro </w:t>
                  </w:r>
                  <w:r>
                    <w:rPr>
                      <w:szCs w:val="24"/>
                    </w:rPr>
                    <w:t xml:space="preserve">2013 m. gegužės 20 d. įsakymą Nr. D1-359 </w:t>
                  </w:r>
                  <w:r>
                    <w:t>„Dėl G</w:t>
                  </w:r>
                  <w:r>
                    <w:rPr>
                      <w:szCs w:val="24"/>
                    </w:rPr>
                    <w:t>aminių ir (ar) pakuočių atliekų sutvarkymą įrodančių dokumentų išrašymo tvarkos aprašo patvirtinimo</w:t>
                  </w:r>
                  <w:r>
                    <w:t>“;</w:t>
                  </w:r>
                </w:p>
              </w:sdtContent>
            </w:sdt>
            <w:sdt>
              <w:sdtPr>
                <w:alias w:val="12 p. 2 pp."/>
                <w:tag w:val="part_a7c790e97cca4e08b74882f1a54a2292"/>
                <w:lock w:val="sdtLocked"/>
                <w:richText/>
              </w:sdtPr>
              <w:sdtContent>
                <w:p w14:paraId="664BBE41" w14:textId="1A3E8381">
                  <w:pPr>
                    <w:shd w:val="clear" w:color="auto" w:fill="FFFFFF"/>
                    <w:spacing w:line="276" w:lineRule="auto"/>
                    <w:ind w:firstLine="709"/>
                    <w:jc w:val="both"/>
                    <w:rPr>
                      <w:kern w:val="2"/>
                      <w:lang w:eastAsia="lt-LT"/>
                    </w:rPr>
                  </w:pPr>
                  <w:sdt>
                    <w:sdtPr>
                      <w:alias w:val="Numeris"/>
                      <w:tag w:val="nr_a7c790e97cca4e08b74882f1a54a2292"/>
                      <w:lock w:val="sdtLocked"/>
                      <w:richText/>
                    </w:sdtPr>
                    <w:sdtContent>
                      <w:r>
                        <w:rPr>
                          <w:lang w:eastAsia="lt-LT"/>
                        </w:rPr>
                        <w:t>2</w:t>
                      </w:r>
                    </w:sdtContent>
                  </w:sdt>
                  <w:r>
                    <w:rPr>
                      <w:lang w:eastAsia="lt-LT"/>
                    </w:rPr>
                    <w:t>)</w:t>
                  </w:r>
                  <w:r>
                    <w:rPr>
                      <w:kern w:val="2"/>
                      <w:lang w:eastAsia="lt-LT"/>
                    </w:rPr>
                    <w:t xml:space="preserve"> </w:t>
                  </w:r>
                  <w:r>
                    <w:t xml:space="preserve">iki 2028 m. rugpjūčio 11 d. arba praėjus 24 mėnesiams nuo įgyvendinimo aktų, priimtų pagal Reglamento </w:t>
                  </w:r>
                  <w:fldSimple w:instr="HYPERLINK http://eur-lex.europa.eu/legal-content/LIT/TXT/?uri=CELEX:32025R0040&amp;locale=lt \t _blank">
                    <w:r>
                      <w:rPr>
                        <w:u w:val="single"/>
                        <w:color w:val="0000FF" w:themeColor="hyperlink"/>
                      </w:rPr>
                      <w:t>(ES) 2025/40</w:t>
                    </w:r>
                  </w:fldSimple>
                  <w:r>
                    <w:t xml:space="preserve"> 12 straipsnio 6 arba 7 dalį, įsigaliojimo dienos, atsižvelgiant į tai, kuri data yra vėlesnė, </w:t>
                  </w:r>
                  <w:r>
                    <w:rPr>
                      <w:kern w:val="2"/>
                      <w:lang w:eastAsia="lt-LT"/>
                    </w:rPr>
                    <w:t>pakeisti</w:t>
                  </w:r>
                  <w:r>
                    <w:rPr>
                      <w:kern w:val="2"/>
                    </w:rPr>
                    <w:t xml:space="preserve"> </w:t>
                  </w:r>
                  <w:r>
                    <w:t xml:space="preserve">Lietuvos Respublikos aplinkos ministro 2002 m.  birželio 27 d. įsakymą Nr. 348 „Dėl Pakuočių ir pakuočių atliekų tvarkymo taisyklių patvirtinimo“</w:t>
                  </w:r>
                  <w:r>
                    <w:rPr>
                      <w:kern w:val="2"/>
                      <w:lang w:eastAsia="lt-LT"/>
                    </w:rPr>
                    <w:t>.</w:t>
                  </w:r>
                </w:p>
                <w:p w14:paraId="2D8637B2" w14:textId="27F253D2">
                  <w:pPr>
                    <w:shd w:val="clear" w:color="auto" w:fill="FFFFFF"/>
                    <w:spacing w:line="276" w:lineRule="auto"/>
                    <w:jc w:val="both"/>
                    <w:rPr>
                      <w:kern w:val="2"/>
                      <w:lang w:eastAsia="lt-LT"/>
                    </w:rPr>
                  </w:pPr>
                </w:p>
              </w:sdtContent>
            </w:sdt>
          </w:sdtContent>
        </w:sdt>
        <w:sdt>
          <w:sdtPr>
            <w:alias w:val="13 p."/>
            <w:tag w:val="part_1a9223dba2704f39b4e4233a5e6a4488"/>
            <w:lock w:val="sdtLocked"/>
            <w:richText/>
          </w:sdtPr>
          <w:sdtContent>
            <w:p w14:paraId="30C030AA" w14:textId="036262C0">
              <w:pPr>
                <w:shd w:val="clear" w:color="auto" w:fill="FFFFFF"/>
                <w:spacing w:line="276" w:lineRule="auto"/>
                <w:ind w:firstLine="709"/>
                <w:jc w:val="both"/>
                <w:rPr>
                  <w:color w:val="000000"/>
                  <w:lang w:eastAsia="en-GB"/>
                </w:rPr>
              </w:pPr>
              <w:sdt>
                <w:sdtPr>
                  <w:alias w:val="Numeris"/>
                  <w:tag w:val="nr_1a9223dba2704f39b4e4233a5e6a4488"/>
                  <w:lock w:val="sdtLocked"/>
                  <w:richText/>
                </w:sdtPr>
                <w:sdtContent>
                  <w:r>
                    <w:rPr>
                      <w:b/>
                      <w:bCs/>
                      <w:color w:val="000000"/>
                      <w:lang w:eastAsia="en-GB"/>
                    </w:rPr>
                    <w:t>13</w:t>
                  </w:r>
                </w:sdtContent>
              </w:sdt>
              <w:r>
                <w:rPr>
                  <w:b/>
                  <w:bCs/>
                  <w:color w:val="000000"/>
                  <w:lang w:eastAsia="en-GB"/>
                </w:rPr>
                <w:t>. Kiek valstybės, savivaldybių biudžetų ir kitų valstybės įsteigtų fondų lėšų prireiks įstatymams įgyvendinti, ar bus galima sutaupyti (pateikiami prognozuojami rodikliai einamaisiais ir artimiausiais 3 biudžetiniais metais)</w:t>
              </w:r>
            </w:p>
            <w:p w14:paraId="01B110A2" w14:textId="77777777">
              <w:pPr>
                <w:tabs>
                  <w:tab w:val="left" w:pos="540"/>
                </w:tabs>
                <w:spacing w:line="276" w:lineRule="auto"/>
                <w:ind w:firstLine="709"/>
                <w:jc w:val="both"/>
                <w:rPr>
                  <w:kern w:val="2"/>
                </w:rPr>
              </w:pPr>
              <w:r>
                <w:rPr>
                  <w:kern w:val="2"/>
                </w:rPr>
                <w:t xml:space="preserve">Priėmus </w:t>
              </w:r>
              <w:r>
                <w:rPr>
                  <w:kern w:val="2"/>
                  <w:lang w:eastAsia="lt-LT"/>
                </w:rPr>
                <w:t xml:space="preserve">įstatymų projektų </w:t>
              </w:r>
              <w:r>
                <w:rPr>
                  <w:kern w:val="2"/>
                </w:rPr>
                <w:t>pakeitimus, jų įgyvendinimas papildomų valstybės biudžeto asignavimų nepareikalaus.</w:t>
              </w:r>
            </w:p>
          </w:sdtContent>
        </w:sdt>
        <w:sdt>
          <w:sdtPr>
            <w:alias w:val="14 p."/>
            <w:tag w:val="part_3e2377e52b494d5cb5d43337795ff1ce"/>
            <w:lock w:val="sdtLocked"/>
            <w:richText/>
          </w:sdtPr>
          <w:sdtContent>
            <w:p w14:paraId="0F553943" w14:textId="77777777">
              <w:pPr>
                <w:shd w:val="clear" w:color="auto" w:fill="FFFFFF"/>
                <w:spacing w:line="23" w:lineRule="atLeast"/>
                <w:ind w:firstLine="709"/>
                <w:jc w:val="both"/>
                <w:rPr>
                  <w:color w:val="000000"/>
                  <w:lang w:eastAsia="en-GB"/>
                </w:rPr>
              </w:pPr>
              <w:sdt>
                <w:sdtPr>
                  <w:alias w:val="Numeris"/>
                  <w:tag w:val="nr_3e2377e52b494d5cb5d43337795ff1ce"/>
                  <w:lock w:val="sdtLocked"/>
                  <w:richText/>
                </w:sdtPr>
                <w:sdtContent>
                  <w:r>
                    <w:rPr>
                      <w:b/>
                      <w:bCs/>
                      <w:color w:val="000000"/>
                      <w:lang w:eastAsia="en-GB"/>
                    </w:rPr>
                    <w:t>14</w:t>
                  </w:r>
                </w:sdtContent>
              </w:sdt>
              <w:r>
                <w:rPr>
                  <w:b/>
                  <w:bCs/>
                  <w:color w:val="000000"/>
                  <w:lang w:eastAsia="en-GB"/>
                </w:rPr>
                <w:t>.</w:t>
              </w:r>
              <w:r>
                <w:rPr>
                  <w:color w:val="000000"/>
                  <w:lang w:eastAsia="en-GB"/>
                </w:rPr>
                <w:t xml:space="preserve"> </w:t>
              </w:r>
              <w:r>
                <w:rPr>
                  <w:b/>
                  <w:bCs/>
                  <w:color w:val="000000"/>
                  <w:lang w:eastAsia="en-GB"/>
                </w:rPr>
                <w:t>Įstatymų projektų rengimo metu gauti specialistų vertinimai ir išvados</w:t>
              </w:r>
            </w:p>
            <w:p w14:paraId="598C79E6" w14:textId="77777777">
              <w:pPr>
                <w:shd w:val="clear" w:color="auto" w:fill="FFFFFF"/>
                <w:spacing w:line="23" w:lineRule="atLeast"/>
                <w:ind w:firstLine="709"/>
                <w:jc w:val="both"/>
                <w:rPr>
                  <w:color w:val="000000"/>
                  <w:lang w:eastAsia="en-GB"/>
                </w:rPr>
              </w:pPr>
              <w:r>
                <w:rPr>
                  <w:color w:val="000000"/>
                  <w:lang w:eastAsia="en-GB"/>
                </w:rPr>
                <w:t>Nėra gauta.</w:t>
              </w:r>
            </w:p>
          </w:sdtContent>
        </w:sdt>
        <w:sdt>
          <w:sdtPr>
            <w:alias w:val="15 p."/>
            <w:tag w:val="part_5d9bd988777742b184a78e5784466feb"/>
            <w:lock w:val="sdtLocked"/>
            <w:richText/>
          </w:sdtPr>
          <w:sdtContent>
            <w:p w14:paraId="2D321D97" w14:textId="77777777">
              <w:pPr>
                <w:shd w:val="clear" w:color="auto" w:fill="FFFFFF"/>
                <w:spacing w:line="23" w:lineRule="atLeast"/>
                <w:ind w:firstLine="709"/>
                <w:jc w:val="both"/>
                <w:rPr>
                  <w:color w:val="000000"/>
                  <w:lang w:eastAsia="en-GB"/>
                </w:rPr>
              </w:pPr>
              <w:sdt>
                <w:sdtPr>
                  <w:alias w:val="Numeris"/>
                  <w:tag w:val="nr_5d9bd988777742b184a78e5784466feb"/>
                  <w:lock w:val="sdtLocked"/>
                  <w:richText/>
                </w:sdtPr>
                <w:sdtContent>
                  <w:r>
                    <w:rPr>
                      <w:b/>
                      <w:bCs/>
                      <w:color w:val="000000"/>
                      <w:lang w:eastAsia="en-GB"/>
                    </w:rPr>
                    <w:t>15</w:t>
                  </w:r>
                </w:sdtContent>
              </w:sdt>
              <w:r>
                <w:rPr>
                  <w:b/>
                  <w:bCs/>
                  <w:color w:val="000000"/>
                  <w:lang w:eastAsia="en-GB"/>
                </w:rPr>
                <w:t>. Reikšminiai žodžiai, kurių reikia šiems projektams įtraukti į kompiuterinę paieškos sistemą, įskaitant Europos žodyno „Eurovoc“ terminus, temas bei sritis</w:t>
              </w:r>
            </w:p>
            <w:p w14:paraId="28465F8D" w14:textId="3889B93A">
              <w:pPr>
                <w:shd w:val="clear" w:color="auto" w:fill="FFFFFF"/>
                <w:spacing w:line="23" w:lineRule="atLeast"/>
                <w:ind w:firstLine="709"/>
                <w:jc w:val="both"/>
                <w:rPr>
                  <w:color w:val="000000"/>
                  <w:lang w:eastAsia="en-GB"/>
                </w:rPr>
              </w:pPr>
              <w:r>
                <w:rPr>
                  <w:color w:val="000000"/>
                  <w:lang w:eastAsia="en-GB"/>
                </w:rPr>
                <w:t>Nėra.</w:t>
              </w:r>
            </w:p>
          </w:sdtContent>
        </w:sdt>
        <w:sdt>
          <w:sdtPr>
            <w:alias w:val="16 p."/>
            <w:tag w:val="part_61b665b5830e4ff4aa9b8b7796293ce5"/>
            <w:lock w:val="sdtLocked"/>
            <w:richText/>
          </w:sdtPr>
          <w:sdtContent>
            <w:p w14:paraId="6FA7D29B" w14:textId="77777777">
              <w:pPr>
                <w:shd w:val="clear" w:color="auto" w:fill="FFFFFF"/>
                <w:spacing w:line="23" w:lineRule="atLeast"/>
                <w:ind w:firstLine="709"/>
                <w:jc w:val="both"/>
                <w:rPr>
                  <w:color w:val="000000"/>
                  <w:lang w:eastAsia="en-GB"/>
                </w:rPr>
              </w:pPr>
              <w:sdt>
                <w:sdtPr>
                  <w:alias w:val="Numeris"/>
                  <w:tag w:val="nr_61b665b5830e4ff4aa9b8b7796293ce5"/>
                  <w:lock w:val="sdtLocked"/>
                  <w:richText/>
                </w:sdtPr>
                <w:sdtContent>
                  <w:r>
                    <w:rPr>
                      <w:b/>
                      <w:bCs/>
                      <w:color w:val="000000"/>
                      <w:lang w:eastAsia="en-GB"/>
                    </w:rPr>
                    <w:t>16</w:t>
                  </w:r>
                </w:sdtContent>
              </w:sdt>
              <w:r>
                <w:rPr>
                  <w:b/>
                  <w:bCs/>
                  <w:color w:val="000000"/>
                  <w:lang w:eastAsia="en-GB"/>
                </w:rPr>
                <w:t>. Kiti, iniciatorių nuomone, reikalingi pagrindimai ir paaiškinimai</w:t>
              </w:r>
            </w:p>
            <w:p w14:paraId="41C8F396" w14:textId="040C4B55">
              <w:pPr>
                <w:shd w:val="clear" w:color="auto" w:fill="FFFFFF"/>
                <w:spacing w:line="23" w:lineRule="atLeast"/>
                <w:ind w:firstLine="709"/>
                <w:jc w:val="both"/>
              </w:pPr>
              <w:r>
                <w:t>Nėra.</w:t>
              </w:r>
            </w:p>
          </w:sdtContent>
        </w:sdt>
        <w:sdt>
          <w:sdtPr>
            <w:alias w:val="signatura"/>
            <w:tag w:val="part_5b24575505b84964aa7e1a4142601162"/>
            <w:lock w:val="sdtLocked"/>
            <w:richText/>
          </w:sdtPr>
          <w:sdtContent>
            <w:p w14:paraId="2D4C4241" w14:textId="77777777">
              <w:pPr>
                <w:shd w:val="clear" w:color="auto" w:fill="FFFFFF"/>
                <w:spacing w:line="23" w:lineRule="atLeast"/>
                <w:ind w:firstLine="709"/>
                <w:jc w:val="center"/>
                <w:rPr>
                  <w:kern w:val="2"/>
                </w:rPr>
              </w:pPr>
              <w:r>
                <w:rPr>
                  <w:kern w:val="2"/>
                </w:rPr>
                <w:t>_________________________</w:t>
              </w:r>
            </w:p>
          </w:sdtContent>
        </w:sdt>
      </w:sdtContent>
    </w:sdt>
    <w:sectPr>
      <w:headerReference w:type="even" r:id="rId14"/>
      <w:headerReference w:type="default" r:id="rId15"/>
      <w:footerReference w:type="even" r:id="rId16"/>
      <w:footerReference w:type="default" r:id="rId17"/>
      <w:headerReference w:type="first" r:id="rId18"/>
      <w:footerReference w:type="first" r:id="rId19"/>
      <w:pgSz w:w="11906" w:h="16838"/>
      <w:pgMar w:top="1134" w:right="567" w:bottom="1134" w:left="1701" w:header="567" w:footer="567" w:gutter="0"/>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8A41D12" w14:textId="77777777">
      <w:pPr>
        <w:rPr>
          <w:kern w:val="2"/>
          <w:sz w:val="22"/>
          <w:szCs w:val="22"/>
        </w:rPr>
      </w:pPr>
      <w:r>
        <w:rPr>
          <w:kern w:val="2"/>
          <w:sz w:val="22"/>
          <w:szCs w:val="22"/>
        </w:rPr>
        <w:separator/>
      </w:r>
    </w:p>
  </w:endnote>
  <w:endnote w:type="continuationSeparator" w:id="0">
    <w:p w14:paraId="4C72309E" w14:textId="77777777">
      <w:pPr>
        <w:rPr>
          <w:kern w:val="2"/>
          <w:sz w:val="22"/>
          <w:szCs w:val="22"/>
        </w:rPr>
      </w:pPr>
      <w:r>
        <w:rPr>
          <w:kern w:val="2"/>
          <w:sz w:val="22"/>
          <w:szCs w:val="22"/>
        </w:rPr>
        <w:continuationSeparator/>
      </w:r>
    </w:p>
  </w:endnote>
  <w:endnote w:type="continuationNotice" w:id="1">
    <w:p w14:paraId="087F39B0" w14:textId="77777777">
      <w:pPr>
        <w:rPr>
          <w:kern w:val="2"/>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Times New Roman"/>
    <w:charset w:val="BA"/>
    <w:family w:val="swiss"/>
    <w:pitch w:val="variable"/>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27B00A" w14:textId="77777777">
    <w:pPr>
      <w:tabs>
        <w:tab w:val="center" w:pos="4819"/>
        <w:tab w:val="right" w:pos="9638"/>
      </w:tabs>
      <w:rPr>
        <w:kern w:val="2"/>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061E4C" w14:textId="77777777">
    <w:pPr>
      <w:tabs>
        <w:tab w:val="center" w:pos="4819"/>
        <w:tab w:val="right" w:pos="9638"/>
      </w:tabs>
      <w:rPr>
        <w:kern w:val="2"/>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94D5A5" w14:textId="77777777">
    <w:pPr>
      <w:tabs>
        <w:tab w:val="center" w:pos="4819"/>
        <w:tab w:val="right" w:pos="9638"/>
      </w:tabs>
      <w:rPr>
        <w:kern w:val="2"/>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97D09EC" w14:textId="77777777">
      <w:pPr>
        <w:rPr>
          <w:kern w:val="2"/>
          <w:sz w:val="22"/>
          <w:szCs w:val="22"/>
        </w:rPr>
      </w:pPr>
      <w:r>
        <w:rPr>
          <w:kern w:val="2"/>
          <w:sz w:val="22"/>
          <w:szCs w:val="22"/>
        </w:rPr>
        <w:separator/>
      </w:r>
    </w:p>
  </w:footnote>
  <w:footnote w:type="continuationSeparator" w:id="0">
    <w:p w14:paraId="4DC183A7" w14:textId="77777777">
      <w:pPr>
        <w:rPr>
          <w:kern w:val="2"/>
          <w:sz w:val="22"/>
          <w:szCs w:val="22"/>
        </w:rPr>
      </w:pPr>
      <w:r>
        <w:rPr>
          <w:kern w:val="2"/>
          <w:sz w:val="22"/>
          <w:szCs w:val="22"/>
        </w:rPr>
        <w:continuationSeparator/>
      </w:r>
    </w:p>
  </w:footnote>
  <w:footnote w:type="continuationNotice" w:id="1">
    <w:p w14:paraId="3DACF4B4" w14:textId="77777777">
      <w:pPr>
        <w:rPr>
          <w:kern w:val="2"/>
          <w:sz w:val="22"/>
          <w:szCs w:val="22"/>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A3D3EC" w14:textId="77777777">
    <w:pPr>
      <w:tabs>
        <w:tab w:val="center" w:pos="4819"/>
        <w:tab w:val="right" w:pos="9638"/>
      </w:tabs>
      <w:rPr>
        <w:kern w:val="2"/>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B546F9" w14:textId="77777777">
    <w:pPr>
      <w:tabs>
        <w:tab w:val="center" w:pos="4819"/>
        <w:tab w:val="right" w:pos="9638"/>
      </w:tabs>
      <w:jc w:val="center"/>
      <w:rPr>
        <w:kern w:val="2"/>
        <w:szCs w:val="24"/>
      </w:rPr>
    </w:pPr>
    <w:r>
      <w:rPr>
        <w:kern w:val="2"/>
        <w:szCs w:val="24"/>
      </w:rPr>
      <w:fldChar w:fldCharType="begin"/>
    </w:r>
    <w:r>
      <w:rPr>
        <w:kern w:val="2"/>
        <w:szCs w:val="24"/>
      </w:rPr>
      <w:instrText>PAGE   \* MERGEFORMAT</w:instrText>
    </w:r>
    <w:r>
      <w:rPr>
        <w:kern w:val="2"/>
        <w:szCs w:val="24"/>
      </w:rPr>
      <w:fldChar w:fldCharType="separate"/>
    </w:r>
    <w:r>
      <w:rPr>
        <w:kern w:val="2"/>
        <w:szCs w:val="24"/>
      </w:rPr>
      <w:t>2</w:t>
    </w:r>
    <w:r>
      <w:rPr>
        <w:kern w:val="2"/>
        <w:szCs w:val="24"/>
      </w:rPr>
      <w:fldChar w:fldCharType="end"/>
    </w:r>
  </w:p>
  <w:p w14:paraId="0D0B940D" w14:textId="77777777">
    <w:pPr>
      <w:tabs>
        <w:tab w:val="center" w:pos="4819"/>
        <w:tab w:val="right" w:pos="9638"/>
      </w:tabs>
      <w:rPr>
        <w:kern w:val="2"/>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EAFD9C"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78FE"/>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361161"/>
  <w15:chartTrackingRefBased/>
  <w15:docId w15:val="{A60F88ED-8864-4E2A-8F29-4F6B095275F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3725214">
      <w:bodyDiv w:val="1"/>
      <w:marLeft w:val="0"/>
      <w:marRight w:val="0"/>
      <w:marTop w:val="0"/>
      <w:marBottom w:val="0"/>
      <w:divBdr>
        <w:top w:val="none" w:sz="0" w:space="0" w:color="auto"/>
        <w:left w:val="none" w:sz="0" w:space="0" w:color="auto"/>
        <w:bottom w:val="none" w:sz="0" w:space="0" w:color="auto"/>
        <w:right w:val="none" w:sz="0" w:space="0" w:color="auto"/>
      </w:divBdr>
      <w:divsChild>
        <w:div w:id="95028003">
          <w:marLeft w:val="0"/>
          <w:marRight w:val="0"/>
          <w:marTop w:val="0"/>
          <w:marBottom w:val="0"/>
          <w:divBdr>
            <w:top w:val="none" w:sz="0" w:space="0" w:color="auto"/>
            <w:left w:val="none" w:sz="0" w:space="0" w:color="auto"/>
            <w:bottom w:val="none" w:sz="0" w:space="0" w:color="auto"/>
            <w:right w:val="none" w:sz="0" w:space="0" w:color="auto"/>
          </w:divBdr>
        </w:div>
        <w:div w:id="347219714">
          <w:marLeft w:val="0"/>
          <w:marRight w:val="0"/>
          <w:marTop w:val="0"/>
          <w:marBottom w:val="0"/>
          <w:divBdr>
            <w:top w:val="none" w:sz="0" w:space="0" w:color="auto"/>
            <w:left w:val="none" w:sz="0" w:space="0" w:color="auto"/>
            <w:bottom w:val="none" w:sz="0" w:space="0" w:color="auto"/>
            <w:right w:val="none" w:sz="0" w:space="0" w:color="auto"/>
          </w:divBdr>
        </w:div>
        <w:div w:id="384723664">
          <w:marLeft w:val="0"/>
          <w:marRight w:val="0"/>
          <w:marTop w:val="0"/>
          <w:marBottom w:val="0"/>
          <w:divBdr>
            <w:top w:val="none" w:sz="0" w:space="0" w:color="auto"/>
            <w:left w:val="none" w:sz="0" w:space="0" w:color="auto"/>
            <w:bottom w:val="none" w:sz="0" w:space="0" w:color="auto"/>
            <w:right w:val="none" w:sz="0" w:space="0" w:color="auto"/>
          </w:divBdr>
        </w:div>
        <w:div w:id="493958106">
          <w:marLeft w:val="0"/>
          <w:marRight w:val="0"/>
          <w:marTop w:val="0"/>
          <w:marBottom w:val="0"/>
          <w:divBdr>
            <w:top w:val="none" w:sz="0" w:space="0" w:color="auto"/>
            <w:left w:val="none" w:sz="0" w:space="0" w:color="auto"/>
            <w:bottom w:val="none" w:sz="0" w:space="0" w:color="auto"/>
            <w:right w:val="none" w:sz="0" w:space="0" w:color="auto"/>
          </w:divBdr>
        </w:div>
        <w:div w:id="896816368">
          <w:marLeft w:val="0"/>
          <w:marRight w:val="0"/>
          <w:marTop w:val="0"/>
          <w:marBottom w:val="0"/>
          <w:divBdr>
            <w:top w:val="none" w:sz="0" w:space="0" w:color="auto"/>
            <w:left w:val="none" w:sz="0" w:space="0" w:color="auto"/>
            <w:bottom w:val="none" w:sz="0" w:space="0" w:color="auto"/>
            <w:right w:val="none" w:sz="0" w:space="0" w:color="auto"/>
          </w:divBdr>
        </w:div>
        <w:div w:id="1265191646">
          <w:marLeft w:val="0"/>
          <w:marRight w:val="0"/>
          <w:marTop w:val="0"/>
          <w:marBottom w:val="0"/>
          <w:divBdr>
            <w:top w:val="none" w:sz="0" w:space="0" w:color="auto"/>
            <w:left w:val="none" w:sz="0" w:space="0" w:color="auto"/>
            <w:bottom w:val="none" w:sz="0" w:space="0" w:color="auto"/>
            <w:right w:val="none" w:sz="0" w:space="0" w:color="auto"/>
          </w:divBdr>
        </w:div>
        <w:div w:id="1326318929">
          <w:marLeft w:val="0"/>
          <w:marRight w:val="0"/>
          <w:marTop w:val="0"/>
          <w:marBottom w:val="0"/>
          <w:divBdr>
            <w:top w:val="none" w:sz="0" w:space="0" w:color="auto"/>
            <w:left w:val="none" w:sz="0" w:space="0" w:color="auto"/>
            <w:bottom w:val="none" w:sz="0" w:space="0" w:color="auto"/>
            <w:right w:val="none" w:sz="0" w:space="0" w:color="auto"/>
          </w:divBdr>
        </w:div>
        <w:div w:id="1485512292">
          <w:marLeft w:val="0"/>
          <w:marRight w:val="0"/>
          <w:marTop w:val="0"/>
          <w:marBottom w:val="0"/>
          <w:divBdr>
            <w:top w:val="none" w:sz="0" w:space="0" w:color="auto"/>
            <w:left w:val="none" w:sz="0" w:space="0" w:color="auto"/>
            <w:bottom w:val="none" w:sz="0" w:space="0" w:color="auto"/>
            <w:right w:val="none" w:sz="0" w:space="0" w:color="auto"/>
          </w:divBdr>
        </w:div>
        <w:div w:id="1702317499">
          <w:marLeft w:val="0"/>
          <w:marRight w:val="0"/>
          <w:marTop w:val="0"/>
          <w:marBottom w:val="0"/>
          <w:divBdr>
            <w:top w:val="none" w:sz="0" w:space="0" w:color="auto"/>
            <w:left w:val="none" w:sz="0" w:space="0" w:color="auto"/>
            <w:bottom w:val="none" w:sz="0" w:space="0" w:color="auto"/>
            <w:right w:val="none" w:sz="0" w:space="0" w:color="auto"/>
          </w:divBdr>
        </w:div>
      </w:divsChild>
    </w:div>
    <w:div w:id="354236328">
      <w:bodyDiv w:val="1"/>
      <w:marLeft w:val="0"/>
      <w:marRight w:val="0"/>
      <w:marTop w:val="0"/>
      <w:marBottom w:val="0"/>
      <w:divBdr>
        <w:top w:val="none" w:sz="0" w:space="0" w:color="auto"/>
        <w:left w:val="none" w:sz="0" w:space="0" w:color="auto"/>
        <w:bottom w:val="none" w:sz="0" w:space="0" w:color="auto"/>
        <w:right w:val="none" w:sz="0" w:space="0" w:color="auto"/>
      </w:divBdr>
      <w:divsChild>
        <w:div w:id="49040476">
          <w:marLeft w:val="0"/>
          <w:marRight w:val="0"/>
          <w:marTop w:val="0"/>
          <w:marBottom w:val="0"/>
          <w:divBdr>
            <w:top w:val="none" w:sz="0" w:space="0" w:color="auto"/>
            <w:left w:val="none" w:sz="0" w:space="0" w:color="auto"/>
            <w:bottom w:val="none" w:sz="0" w:space="0" w:color="auto"/>
            <w:right w:val="none" w:sz="0" w:space="0" w:color="auto"/>
          </w:divBdr>
        </w:div>
        <w:div w:id="244266201">
          <w:marLeft w:val="0"/>
          <w:marRight w:val="0"/>
          <w:marTop w:val="0"/>
          <w:marBottom w:val="0"/>
          <w:divBdr>
            <w:top w:val="none" w:sz="0" w:space="0" w:color="auto"/>
            <w:left w:val="none" w:sz="0" w:space="0" w:color="auto"/>
            <w:bottom w:val="none" w:sz="0" w:space="0" w:color="auto"/>
            <w:right w:val="none" w:sz="0" w:space="0" w:color="auto"/>
          </w:divBdr>
        </w:div>
        <w:div w:id="290326354">
          <w:marLeft w:val="0"/>
          <w:marRight w:val="0"/>
          <w:marTop w:val="0"/>
          <w:marBottom w:val="0"/>
          <w:divBdr>
            <w:top w:val="none" w:sz="0" w:space="0" w:color="auto"/>
            <w:left w:val="none" w:sz="0" w:space="0" w:color="auto"/>
            <w:bottom w:val="none" w:sz="0" w:space="0" w:color="auto"/>
            <w:right w:val="none" w:sz="0" w:space="0" w:color="auto"/>
          </w:divBdr>
        </w:div>
        <w:div w:id="474875755">
          <w:marLeft w:val="0"/>
          <w:marRight w:val="0"/>
          <w:marTop w:val="0"/>
          <w:marBottom w:val="0"/>
          <w:divBdr>
            <w:top w:val="none" w:sz="0" w:space="0" w:color="auto"/>
            <w:left w:val="none" w:sz="0" w:space="0" w:color="auto"/>
            <w:bottom w:val="none" w:sz="0" w:space="0" w:color="auto"/>
            <w:right w:val="none" w:sz="0" w:space="0" w:color="auto"/>
          </w:divBdr>
        </w:div>
        <w:div w:id="632833254">
          <w:marLeft w:val="0"/>
          <w:marRight w:val="0"/>
          <w:marTop w:val="0"/>
          <w:marBottom w:val="0"/>
          <w:divBdr>
            <w:top w:val="none" w:sz="0" w:space="0" w:color="auto"/>
            <w:left w:val="none" w:sz="0" w:space="0" w:color="auto"/>
            <w:bottom w:val="none" w:sz="0" w:space="0" w:color="auto"/>
            <w:right w:val="none" w:sz="0" w:space="0" w:color="auto"/>
          </w:divBdr>
        </w:div>
        <w:div w:id="666834543">
          <w:marLeft w:val="0"/>
          <w:marRight w:val="0"/>
          <w:marTop w:val="0"/>
          <w:marBottom w:val="0"/>
          <w:divBdr>
            <w:top w:val="none" w:sz="0" w:space="0" w:color="auto"/>
            <w:left w:val="none" w:sz="0" w:space="0" w:color="auto"/>
            <w:bottom w:val="none" w:sz="0" w:space="0" w:color="auto"/>
            <w:right w:val="none" w:sz="0" w:space="0" w:color="auto"/>
          </w:divBdr>
        </w:div>
        <w:div w:id="677272836">
          <w:marLeft w:val="0"/>
          <w:marRight w:val="0"/>
          <w:marTop w:val="0"/>
          <w:marBottom w:val="0"/>
          <w:divBdr>
            <w:top w:val="none" w:sz="0" w:space="0" w:color="auto"/>
            <w:left w:val="none" w:sz="0" w:space="0" w:color="auto"/>
            <w:bottom w:val="none" w:sz="0" w:space="0" w:color="auto"/>
            <w:right w:val="none" w:sz="0" w:space="0" w:color="auto"/>
          </w:divBdr>
        </w:div>
        <w:div w:id="1073699178">
          <w:marLeft w:val="0"/>
          <w:marRight w:val="0"/>
          <w:marTop w:val="0"/>
          <w:marBottom w:val="0"/>
          <w:divBdr>
            <w:top w:val="none" w:sz="0" w:space="0" w:color="auto"/>
            <w:left w:val="none" w:sz="0" w:space="0" w:color="auto"/>
            <w:bottom w:val="none" w:sz="0" w:space="0" w:color="auto"/>
            <w:right w:val="none" w:sz="0" w:space="0" w:color="auto"/>
          </w:divBdr>
        </w:div>
        <w:div w:id="1094208869">
          <w:marLeft w:val="0"/>
          <w:marRight w:val="0"/>
          <w:marTop w:val="0"/>
          <w:marBottom w:val="0"/>
          <w:divBdr>
            <w:top w:val="none" w:sz="0" w:space="0" w:color="auto"/>
            <w:left w:val="none" w:sz="0" w:space="0" w:color="auto"/>
            <w:bottom w:val="none" w:sz="0" w:space="0" w:color="auto"/>
            <w:right w:val="none" w:sz="0" w:space="0" w:color="auto"/>
          </w:divBdr>
        </w:div>
        <w:div w:id="1107116629">
          <w:marLeft w:val="0"/>
          <w:marRight w:val="0"/>
          <w:marTop w:val="0"/>
          <w:marBottom w:val="0"/>
          <w:divBdr>
            <w:top w:val="none" w:sz="0" w:space="0" w:color="auto"/>
            <w:left w:val="none" w:sz="0" w:space="0" w:color="auto"/>
            <w:bottom w:val="none" w:sz="0" w:space="0" w:color="auto"/>
            <w:right w:val="none" w:sz="0" w:space="0" w:color="auto"/>
          </w:divBdr>
        </w:div>
        <w:div w:id="1220674470">
          <w:marLeft w:val="0"/>
          <w:marRight w:val="0"/>
          <w:marTop w:val="0"/>
          <w:marBottom w:val="0"/>
          <w:divBdr>
            <w:top w:val="none" w:sz="0" w:space="0" w:color="auto"/>
            <w:left w:val="none" w:sz="0" w:space="0" w:color="auto"/>
            <w:bottom w:val="none" w:sz="0" w:space="0" w:color="auto"/>
            <w:right w:val="none" w:sz="0" w:space="0" w:color="auto"/>
          </w:divBdr>
        </w:div>
        <w:div w:id="1326981658">
          <w:marLeft w:val="0"/>
          <w:marRight w:val="0"/>
          <w:marTop w:val="0"/>
          <w:marBottom w:val="0"/>
          <w:divBdr>
            <w:top w:val="none" w:sz="0" w:space="0" w:color="auto"/>
            <w:left w:val="none" w:sz="0" w:space="0" w:color="auto"/>
            <w:bottom w:val="none" w:sz="0" w:space="0" w:color="auto"/>
            <w:right w:val="none" w:sz="0" w:space="0" w:color="auto"/>
          </w:divBdr>
          <w:divsChild>
            <w:div w:id="109857975">
              <w:marLeft w:val="0"/>
              <w:marRight w:val="0"/>
              <w:marTop w:val="0"/>
              <w:marBottom w:val="0"/>
              <w:divBdr>
                <w:top w:val="none" w:sz="0" w:space="0" w:color="auto"/>
                <w:left w:val="none" w:sz="0" w:space="0" w:color="auto"/>
                <w:bottom w:val="none" w:sz="0" w:space="0" w:color="auto"/>
                <w:right w:val="none" w:sz="0" w:space="0" w:color="auto"/>
              </w:divBdr>
            </w:div>
            <w:div w:id="237330463">
              <w:marLeft w:val="0"/>
              <w:marRight w:val="0"/>
              <w:marTop w:val="0"/>
              <w:marBottom w:val="0"/>
              <w:divBdr>
                <w:top w:val="none" w:sz="0" w:space="0" w:color="auto"/>
                <w:left w:val="none" w:sz="0" w:space="0" w:color="auto"/>
                <w:bottom w:val="none" w:sz="0" w:space="0" w:color="auto"/>
                <w:right w:val="none" w:sz="0" w:space="0" w:color="auto"/>
              </w:divBdr>
            </w:div>
            <w:div w:id="254630388">
              <w:marLeft w:val="0"/>
              <w:marRight w:val="0"/>
              <w:marTop w:val="0"/>
              <w:marBottom w:val="0"/>
              <w:divBdr>
                <w:top w:val="none" w:sz="0" w:space="0" w:color="auto"/>
                <w:left w:val="none" w:sz="0" w:space="0" w:color="auto"/>
                <w:bottom w:val="none" w:sz="0" w:space="0" w:color="auto"/>
                <w:right w:val="none" w:sz="0" w:space="0" w:color="auto"/>
              </w:divBdr>
            </w:div>
            <w:div w:id="386077325">
              <w:marLeft w:val="0"/>
              <w:marRight w:val="0"/>
              <w:marTop w:val="0"/>
              <w:marBottom w:val="0"/>
              <w:divBdr>
                <w:top w:val="none" w:sz="0" w:space="0" w:color="auto"/>
                <w:left w:val="none" w:sz="0" w:space="0" w:color="auto"/>
                <w:bottom w:val="none" w:sz="0" w:space="0" w:color="auto"/>
                <w:right w:val="none" w:sz="0" w:space="0" w:color="auto"/>
              </w:divBdr>
            </w:div>
            <w:div w:id="420569150">
              <w:marLeft w:val="0"/>
              <w:marRight w:val="0"/>
              <w:marTop w:val="0"/>
              <w:marBottom w:val="0"/>
              <w:divBdr>
                <w:top w:val="none" w:sz="0" w:space="0" w:color="auto"/>
                <w:left w:val="none" w:sz="0" w:space="0" w:color="auto"/>
                <w:bottom w:val="none" w:sz="0" w:space="0" w:color="auto"/>
                <w:right w:val="none" w:sz="0" w:space="0" w:color="auto"/>
              </w:divBdr>
            </w:div>
            <w:div w:id="498351156">
              <w:marLeft w:val="0"/>
              <w:marRight w:val="0"/>
              <w:marTop w:val="0"/>
              <w:marBottom w:val="0"/>
              <w:divBdr>
                <w:top w:val="none" w:sz="0" w:space="0" w:color="auto"/>
                <w:left w:val="none" w:sz="0" w:space="0" w:color="auto"/>
                <w:bottom w:val="none" w:sz="0" w:space="0" w:color="auto"/>
                <w:right w:val="none" w:sz="0" w:space="0" w:color="auto"/>
              </w:divBdr>
            </w:div>
            <w:div w:id="520053938">
              <w:marLeft w:val="0"/>
              <w:marRight w:val="0"/>
              <w:marTop w:val="0"/>
              <w:marBottom w:val="0"/>
              <w:divBdr>
                <w:top w:val="none" w:sz="0" w:space="0" w:color="auto"/>
                <w:left w:val="none" w:sz="0" w:space="0" w:color="auto"/>
                <w:bottom w:val="none" w:sz="0" w:space="0" w:color="auto"/>
                <w:right w:val="none" w:sz="0" w:space="0" w:color="auto"/>
              </w:divBdr>
            </w:div>
            <w:div w:id="663168714">
              <w:marLeft w:val="0"/>
              <w:marRight w:val="0"/>
              <w:marTop w:val="0"/>
              <w:marBottom w:val="0"/>
              <w:divBdr>
                <w:top w:val="none" w:sz="0" w:space="0" w:color="auto"/>
                <w:left w:val="none" w:sz="0" w:space="0" w:color="auto"/>
                <w:bottom w:val="none" w:sz="0" w:space="0" w:color="auto"/>
                <w:right w:val="none" w:sz="0" w:space="0" w:color="auto"/>
              </w:divBdr>
            </w:div>
            <w:div w:id="889073319">
              <w:marLeft w:val="0"/>
              <w:marRight w:val="0"/>
              <w:marTop w:val="0"/>
              <w:marBottom w:val="0"/>
              <w:divBdr>
                <w:top w:val="none" w:sz="0" w:space="0" w:color="auto"/>
                <w:left w:val="none" w:sz="0" w:space="0" w:color="auto"/>
                <w:bottom w:val="none" w:sz="0" w:space="0" w:color="auto"/>
                <w:right w:val="none" w:sz="0" w:space="0" w:color="auto"/>
              </w:divBdr>
            </w:div>
            <w:div w:id="893468305">
              <w:marLeft w:val="0"/>
              <w:marRight w:val="0"/>
              <w:marTop w:val="0"/>
              <w:marBottom w:val="0"/>
              <w:divBdr>
                <w:top w:val="none" w:sz="0" w:space="0" w:color="auto"/>
                <w:left w:val="none" w:sz="0" w:space="0" w:color="auto"/>
                <w:bottom w:val="none" w:sz="0" w:space="0" w:color="auto"/>
                <w:right w:val="none" w:sz="0" w:space="0" w:color="auto"/>
              </w:divBdr>
            </w:div>
            <w:div w:id="962537229">
              <w:marLeft w:val="0"/>
              <w:marRight w:val="0"/>
              <w:marTop w:val="0"/>
              <w:marBottom w:val="0"/>
              <w:divBdr>
                <w:top w:val="none" w:sz="0" w:space="0" w:color="auto"/>
                <w:left w:val="none" w:sz="0" w:space="0" w:color="auto"/>
                <w:bottom w:val="none" w:sz="0" w:space="0" w:color="auto"/>
                <w:right w:val="none" w:sz="0" w:space="0" w:color="auto"/>
              </w:divBdr>
            </w:div>
            <w:div w:id="997198004">
              <w:marLeft w:val="0"/>
              <w:marRight w:val="0"/>
              <w:marTop w:val="0"/>
              <w:marBottom w:val="0"/>
              <w:divBdr>
                <w:top w:val="none" w:sz="0" w:space="0" w:color="auto"/>
                <w:left w:val="none" w:sz="0" w:space="0" w:color="auto"/>
                <w:bottom w:val="none" w:sz="0" w:space="0" w:color="auto"/>
                <w:right w:val="none" w:sz="0" w:space="0" w:color="auto"/>
              </w:divBdr>
            </w:div>
            <w:div w:id="998768960">
              <w:marLeft w:val="0"/>
              <w:marRight w:val="0"/>
              <w:marTop w:val="0"/>
              <w:marBottom w:val="0"/>
              <w:divBdr>
                <w:top w:val="none" w:sz="0" w:space="0" w:color="auto"/>
                <w:left w:val="none" w:sz="0" w:space="0" w:color="auto"/>
                <w:bottom w:val="none" w:sz="0" w:space="0" w:color="auto"/>
                <w:right w:val="none" w:sz="0" w:space="0" w:color="auto"/>
              </w:divBdr>
            </w:div>
            <w:div w:id="1060903415">
              <w:marLeft w:val="0"/>
              <w:marRight w:val="0"/>
              <w:marTop w:val="0"/>
              <w:marBottom w:val="0"/>
              <w:divBdr>
                <w:top w:val="none" w:sz="0" w:space="0" w:color="auto"/>
                <w:left w:val="none" w:sz="0" w:space="0" w:color="auto"/>
                <w:bottom w:val="none" w:sz="0" w:space="0" w:color="auto"/>
                <w:right w:val="none" w:sz="0" w:space="0" w:color="auto"/>
              </w:divBdr>
            </w:div>
            <w:div w:id="1118528293">
              <w:marLeft w:val="0"/>
              <w:marRight w:val="0"/>
              <w:marTop w:val="0"/>
              <w:marBottom w:val="0"/>
              <w:divBdr>
                <w:top w:val="none" w:sz="0" w:space="0" w:color="auto"/>
                <w:left w:val="none" w:sz="0" w:space="0" w:color="auto"/>
                <w:bottom w:val="none" w:sz="0" w:space="0" w:color="auto"/>
                <w:right w:val="none" w:sz="0" w:space="0" w:color="auto"/>
              </w:divBdr>
            </w:div>
            <w:div w:id="1304695558">
              <w:marLeft w:val="0"/>
              <w:marRight w:val="0"/>
              <w:marTop w:val="0"/>
              <w:marBottom w:val="0"/>
              <w:divBdr>
                <w:top w:val="none" w:sz="0" w:space="0" w:color="auto"/>
                <w:left w:val="none" w:sz="0" w:space="0" w:color="auto"/>
                <w:bottom w:val="none" w:sz="0" w:space="0" w:color="auto"/>
                <w:right w:val="none" w:sz="0" w:space="0" w:color="auto"/>
              </w:divBdr>
            </w:div>
            <w:div w:id="1467966650">
              <w:marLeft w:val="0"/>
              <w:marRight w:val="0"/>
              <w:marTop w:val="0"/>
              <w:marBottom w:val="0"/>
              <w:divBdr>
                <w:top w:val="none" w:sz="0" w:space="0" w:color="auto"/>
                <w:left w:val="none" w:sz="0" w:space="0" w:color="auto"/>
                <w:bottom w:val="none" w:sz="0" w:space="0" w:color="auto"/>
                <w:right w:val="none" w:sz="0" w:space="0" w:color="auto"/>
              </w:divBdr>
            </w:div>
            <w:div w:id="1679847227">
              <w:marLeft w:val="0"/>
              <w:marRight w:val="0"/>
              <w:marTop w:val="0"/>
              <w:marBottom w:val="0"/>
              <w:divBdr>
                <w:top w:val="none" w:sz="0" w:space="0" w:color="auto"/>
                <w:left w:val="none" w:sz="0" w:space="0" w:color="auto"/>
                <w:bottom w:val="none" w:sz="0" w:space="0" w:color="auto"/>
                <w:right w:val="none" w:sz="0" w:space="0" w:color="auto"/>
              </w:divBdr>
            </w:div>
            <w:div w:id="1703629404">
              <w:marLeft w:val="0"/>
              <w:marRight w:val="0"/>
              <w:marTop w:val="0"/>
              <w:marBottom w:val="0"/>
              <w:divBdr>
                <w:top w:val="none" w:sz="0" w:space="0" w:color="auto"/>
                <w:left w:val="none" w:sz="0" w:space="0" w:color="auto"/>
                <w:bottom w:val="none" w:sz="0" w:space="0" w:color="auto"/>
                <w:right w:val="none" w:sz="0" w:space="0" w:color="auto"/>
              </w:divBdr>
            </w:div>
            <w:div w:id="2043047950">
              <w:marLeft w:val="0"/>
              <w:marRight w:val="0"/>
              <w:marTop w:val="0"/>
              <w:marBottom w:val="0"/>
              <w:divBdr>
                <w:top w:val="none" w:sz="0" w:space="0" w:color="auto"/>
                <w:left w:val="none" w:sz="0" w:space="0" w:color="auto"/>
                <w:bottom w:val="none" w:sz="0" w:space="0" w:color="auto"/>
                <w:right w:val="none" w:sz="0" w:space="0" w:color="auto"/>
              </w:divBdr>
            </w:div>
          </w:divsChild>
        </w:div>
        <w:div w:id="1343052019">
          <w:marLeft w:val="0"/>
          <w:marRight w:val="0"/>
          <w:marTop w:val="0"/>
          <w:marBottom w:val="0"/>
          <w:divBdr>
            <w:top w:val="none" w:sz="0" w:space="0" w:color="auto"/>
            <w:left w:val="none" w:sz="0" w:space="0" w:color="auto"/>
            <w:bottom w:val="none" w:sz="0" w:space="0" w:color="auto"/>
            <w:right w:val="none" w:sz="0" w:space="0" w:color="auto"/>
          </w:divBdr>
        </w:div>
        <w:div w:id="1420444489">
          <w:marLeft w:val="0"/>
          <w:marRight w:val="0"/>
          <w:marTop w:val="0"/>
          <w:marBottom w:val="0"/>
          <w:divBdr>
            <w:top w:val="none" w:sz="0" w:space="0" w:color="auto"/>
            <w:left w:val="none" w:sz="0" w:space="0" w:color="auto"/>
            <w:bottom w:val="none" w:sz="0" w:space="0" w:color="auto"/>
            <w:right w:val="none" w:sz="0" w:space="0" w:color="auto"/>
          </w:divBdr>
        </w:div>
        <w:div w:id="1533375774">
          <w:marLeft w:val="0"/>
          <w:marRight w:val="0"/>
          <w:marTop w:val="0"/>
          <w:marBottom w:val="0"/>
          <w:divBdr>
            <w:top w:val="none" w:sz="0" w:space="0" w:color="auto"/>
            <w:left w:val="none" w:sz="0" w:space="0" w:color="auto"/>
            <w:bottom w:val="none" w:sz="0" w:space="0" w:color="auto"/>
            <w:right w:val="none" w:sz="0" w:space="0" w:color="auto"/>
          </w:divBdr>
        </w:div>
        <w:div w:id="1661470592">
          <w:marLeft w:val="0"/>
          <w:marRight w:val="0"/>
          <w:marTop w:val="0"/>
          <w:marBottom w:val="0"/>
          <w:divBdr>
            <w:top w:val="none" w:sz="0" w:space="0" w:color="auto"/>
            <w:left w:val="none" w:sz="0" w:space="0" w:color="auto"/>
            <w:bottom w:val="none" w:sz="0" w:space="0" w:color="auto"/>
            <w:right w:val="none" w:sz="0" w:space="0" w:color="auto"/>
          </w:divBdr>
        </w:div>
        <w:div w:id="1726292812">
          <w:marLeft w:val="0"/>
          <w:marRight w:val="0"/>
          <w:marTop w:val="0"/>
          <w:marBottom w:val="0"/>
          <w:divBdr>
            <w:top w:val="none" w:sz="0" w:space="0" w:color="auto"/>
            <w:left w:val="none" w:sz="0" w:space="0" w:color="auto"/>
            <w:bottom w:val="none" w:sz="0" w:space="0" w:color="auto"/>
            <w:right w:val="none" w:sz="0" w:space="0" w:color="auto"/>
          </w:divBdr>
        </w:div>
        <w:div w:id="1848593155">
          <w:marLeft w:val="0"/>
          <w:marRight w:val="0"/>
          <w:marTop w:val="0"/>
          <w:marBottom w:val="0"/>
          <w:divBdr>
            <w:top w:val="none" w:sz="0" w:space="0" w:color="auto"/>
            <w:left w:val="none" w:sz="0" w:space="0" w:color="auto"/>
            <w:bottom w:val="none" w:sz="0" w:space="0" w:color="auto"/>
            <w:right w:val="none" w:sz="0" w:space="0" w:color="auto"/>
          </w:divBdr>
        </w:div>
        <w:div w:id="1967153966">
          <w:marLeft w:val="0"/>
          <w:marRight w:val="0"/>
          <w:marTop w:val="0"/>
          <w:marBottom w:val="0"/>
          <w:divBdr>
            <w:top w:val="none" w:sz="0" w:space="0" w:color="auto"/>
            <w:left w:val="none" w:sz="0" w:space="0" w:color="auto"/>
            <w:bottom w:val="none" w:sz="0" w:space="0" w:color="auto"/>
            <w:right w:val="none" w:sz="0" w:space="0" w:color="auto"/>
          </w:divBdr>
        </w:div>
        <w:div w:id="2004815342">
          <w:marLeft w:val="0"/>
          <w:marRight w:val="0"/>
          <w:marTop w:val="0"/>
          <w:marBottom w:val="0"/>
          <w:divBdr>
            <w:top w:val="none" w:sz="0" w:space="0" w:color="auto"/>
            <w:left w:val="none" w:sz="0" w:space="0" w:color="auto"/>
            <w:bottom w:val="none" w:sz="0" w:space="0" w:color="auto"/>
            <w:right w:val="none" w:sz="0" w:space="0" w:color="auto"/>
          </w:divBdr>
        </w:div>
      </w:divsChild>
    </w:div>
    <w:div w:id="384069538">
      <w:bodyDiv w:val="1"/>
      <w:marLeft w:val="0"/>
      <w:marRight w:val="0"/>
      <w:marTop w:val="0"/>
      <w:marBottom w:val="0"/>
      <w:divBdr>
        <w:top w:val="none" w:sz="0" w:space="0" w:color="auto"/>
        <w:left w:val="none" w:sz="0" w:space="0" w:color="auto"/>
        <w:bottom w:val="none" w:sz="0" w:space="0" w:color="auto"/>
        <w:right w:val="none" w:sz="0" w:space="0" w:color="auto"/>
      </w:divBdr>
      <w:divsChild>
        <w:div w:id="72167415">
          <w:marLeft w:val="0"/>
          <w:marRight w:val="0"/>
          <w:marTop w:val="0"/>
          <w:marBottom w:val="0"/>
          <w:divBdr>
            <w:top w:val="none" w:sz="0" w:space="0" w:color="auto"/>
            <w:left w:val="none" w:sz="0" w:space="0" w:color="auto"/>
            <w:bottom w:val="none" w:sz="0" w:space="0" w:color="auto"/>
            <w:right w:val="none" w:sz="0" w:space="0" w:color="auto"/>
          </w:divBdr>
        </w:div>
        <w:div w:id="438377732">
          <w:marLeft w:val="0"/>
          <w:marRight w:val="0"/>
          <w:marTop w:val="0"/>
          <w:marBottom w:val="0"/>
          <w:divBdr>
            <w:top w:val="none" w:sz="0" w:space="0" w:color="auto"/>
            <w:left w:val="none" w:sz="0" w:space="0" w:color="auto"/>
            <w:bottom w:val="none" w:sz="0" w:space="0" w:color="auto"/>
            <w:right w:val="none" w:sz="0" w:space="0" w:color="auto"/>
          </w:divBdr>
        </w:div>
        <w:div w:id="648285163">
          <w:marLeft w:val="0"/>
          <w:marRight w:val="0"/>
          <w:marTop w:val="0"/>
          <w:marBottom w:val="0"/>
          <w:divBdr>
            <w:top w:val="none" w:sz="0" w:space="0" w:color="auto"/>
            <w:left w:val="none" w:sz="0" w:space="0" w:color="auto"/>
            <w:bottom w:val="none" w:sz="0" w:space="0" w:color="auto"/>
            <w:right w:val="none" w:sz="0" w:space="0" w:color="auto"/>
          </w:divBdr>
        </w:div>
        <w:div w:id="801656701">
          <w:marLeft w:val="0"/>
          <w:marRight w:val="0"/>
          <w:marTop w:val="0"/>
          <w:marBottom w:val="0"/>
          <w:divBdr>
            <w:top w:val="none" w:sz="0" w:space="0" w:color="auto"/>
            <w:left w:val="none" w:sz="0" w:space="0" w:color="auto"/>
            <w:bottom w:val="none" w:sz="0" w:space="0" w:color="auto"/>
            <w:right w:val="none" w:sz="0" w:space="0" w:color="auto"/>
          </w:divBdr>
        </w:div>
        <w:div w:id="1138567627">
          <w:marLeft w:val="0"/>
          <w:marRight w:val="0"/>
          <w:marTop w:val="0"/>
          <w:marBottom w:val="0"/>
          <w:divBdr>
            <w:top w:val="none" w:sz="0" w:space="0" w:color="auto"/>
            <w:left w:val="none" w:sz="0" w:space="0" w:color="auto"/>
            <w:bottom w:val="none" w:sz="0" w:space="0" w:color="auto"/>
            <w:right w:val="none" w:sz="0" w:space="0" w:color="auto"/>
          </w:divBdr>
        </w:div>
        <w:div w:id="1215238000">
          <w:marLeft w:val="0"/>
          <w:marRight w:val="0"/>
          <w:marTop w:val="0"/>
          <w:marBottom w:val="0"/>
          <w:divBdr>
            <w:top w:val="none" w:sz="0" w:space="0" w:color="auto"/>
            <w:left w:val="none" w:sz="0" w:space="0" w:color="auto"/>
            <w:bottom w:val="none" w:sz="0" w:space="0" w:color="auto"/>
            <w:right w:val="none" w:sz="0" w:space="0" w:color="auto"/>
          </w:divBdr>
        </w:div>
        <w:div w:id="1445928315">
          <w:marLeft w:val="0"/>
          <w:marRight w:val="0"/>
          <w:marTop w:val="0"/>
          <w:marBottom w:val="0"/>
          <w:divBdr>
            <w:top w:val="none" w:sz="0" w:space="0" w:color="auto"/>
            <w:left w:val="none" w:sz="0" w:space="0" w:color="auto"/>
            <w:bottom w:val="none" w:sz="0" w:space="0" w:color="auto"/>
            <w:right w:val="none" w:sz="0" w:space="0" w:color="auto"/>
          </w:divBdr>
        </w:div>
        <w:div w:id="1999723133">
          <w:marLeft w:val="0"/>
          <w:marRight w:val="0"/>
          <w:marTop w:val="0"/>
          <w:marBottom w:val="0"/>
          <w:divBdr>
            <w:top w:val="none" w:sz="0" w:space="0" w:color="auto"/>
            <w:left w:val="none" w:sz="0" w:space="0" w:color="auto"/>
            <w:bottom w:val="none" w:sz="0" w:space="0" w:color="auto"/>
            <w:right w:val="none" w:sz="0" w:space="0" w:color="auto"/>
          </w:divBdr>
        </w:div>
        <w:div w:id="2127893103">
          <w:marLeft w:val="0"/>
          <w:marRight w:val="0"/>
          <w:marTop w:val="0"/>
          <w:marBottom w:val="0"/>
          <w:divBdr>
            <w:top w:val="none" w:sz="0" w:space="0" w:color="auto"/>
            <w:left w:val="none" w:sz="0" w:space="0" w:color="auto"/>
            <w:bottom w:val="none" w:sz="0" w:space="0" w:color="auto"/>
            <w:right w:val="none" w:sz="0" w:space="0" w:color="auto"/>
          </w:divBdr>
        </w:div>
      </w:divsChild>
    </w:div>
    <w:div w:id="723598547">
      <w:bodyDiv w:val="1"/>
      <w:marLeft w:val="0"/>
      <w:marRight w:val="0"/>
      <w:marTop w:val="0"/>
      <w:marBottom w:val="0"/>
      <w:divBdr>
        <w:top w:val="none" w:sz="0" w:space="0" w:color="auto"/>
        <w:left w:val="none" w:sz="0" w:space="0" w:color="auto"/>
        <w:bottom w:val="none" w:sz="0" w:space="0" w:color="auto"/>
        <w:right w:val="none" w:sz="0" w:space="0" w:color="auto"/>
      </w:divBdr>
    </w:div>
    <w:div w:id="726950879">
      <w:bodyDiv w:val="1"/>
      <w:marLeft w:val="0"/>
      <w:marRight w:val="0"/>
      <w:marTop w:val="0"/>
      <w:marBottom w:val="0"/>
      <w:divBdr>
        <w:top w:val="none" w:sz="0" w:space="0" w:color="auto"/>
        <w:left w:val="none" w:sz="0" w:space="0" w:color="auto"/>
        <w:bottom w:val="none" w:sz="0" w:space="0" w:color="auto"/>
        <w:right w:val="none" w:sz="0" w:space="0" w:color="auto"/>
      </w:divBdr>
    </w:div>
    <w:div w:id="748236288">
      <w:bodyDiv w:val="1"/>
      <w:marLeft w:val="0"/>
      <w:marRight w:val="0"/>
      <w:marTop w:val="0"/>
      <w:marBottom w:val="0"/>
      <w:divBdr>
        <w:top w:val="none" w:sz="0" w:space="0" w:color="auto"/>
        <w:left w:val="none" w:sz="0" w:space="0" w:color="auto"/>
        <w:bottom w:val="none" w:sz="0" w:space="0" w:color="auto"/>
        <w:right w:val="none" w:sz="0" w:space="0" w:color="auto"/>
      </w:divBdr>
      <w:divsChild>
        <w:div w:id="154416794">
          <w:marLeft w:val="0"/>
          <w:marRight w:val="0"/>
          <w:marTop w:val="0"/>
          <w:marBottom w:val="0"/>
          <w:divBdr>
            <w:top w:val="none" w:sz="0" w:space="0" w:color="auto"/>
            <w:left w:val="none" w:sz="0" w:space="0" w:color="auto"/>
            <w:bottom w:val="none" w:sz="0" w:space="0" w:color="auto"/>
            <w:right w:val="none" w:sz="0" w:space="0" w:color="auto"/>
          </w:divBdr>
        </w:div>
        <w:div w:id="1221208145">
          <w:marLeft w:val="0"/>
          <w:marRight w:val="0"/>
          <w:marTop w:val="0"/>
          <w:marBottom w:val="0"/>
          <w:divBdr>
            <w:top w:val="none" w:sz="0" w:space="0" w:color="auto"/>
            <w:left w:val="none" w:sz="0" w:space="0" w:color="auto"/>
            <w:bottom w:val="none" w:sz="0" w:space="0" w:color="auto"/>
            <w:right w:val="none" w:sz="0" w:space="0" w:color="auto"/>
          </w:divBdr>
        </w:div>
      </w:divsChild>
    </w:div>
    <w:div w:id="932471927">
      <w:bodyDiv w:val="1"/>
      <w:marLeft w:val="0"/>
      <w:marRight w:val="0"/>
      <w:marTop w:val="0"/>
      <w:marBottom w:val="0"/>
      <w:divBdr>
        <w:top w:val="none" w:sz="0" w:space="0" w:color="auto"/>
        <w:left w:val="none" w:sz="0" w:space="0" w:color="auto"/>
        <w:bottom w:val="none" w:sz="0" w:space="0" w:color="auto"/>
        <w:right w:val="none" w:sz="0" w:space="0" w:color="auto"/>
      </w:divBdr>
      <w:divsChild>
        <w:div w:id="85736752">
          <w:marLeft w:val="0"/>
          <w:marRight w:val="0"/>
          <w:marTop w:val="0"/>
          <w:marBottom w:val="0"/>
          <w:divBdr>
            <w:top w:val="none" w:sz="0" w:space="0" w:color="auto"/>
            <w:left w:val="none" w:sz="0" w:space="0" w:color="auto"/>
            <w:bottom w:val="none" w:sz="0" w:space="0" w:color="auto"/>
            <w:right w:val="none" w:sz="0" w:space="0" w:color="auto"/>
          </w:divBdr>
        </w:div>
        <w:div w:id="153492550">
          <w:marLeft w:val="0"/>
          <w:marRight w:val="0"/>
          <w:marTop w:val="0"/>
          <w:marBottom w:val="0"/>
          <w:divBdr>
            <w:top w:val="none" w:sz="0" w:space="0" w:color="auto"/>
            <w:left w:val="none" w:sz="0" w:space="0" w:color="auto"/>
            <w:bottom w:val="none" w:sz="0" w:space="0" w:color="auto"/>
            <w:right w:val="none" w:sz="0" w:space="0" w:color="auto"/>
          </w:divBdr>
        </w:div>
        <w:div w:id="234709781">
          <w:marLeft w:val="0"/>
          <w:marRight w:val="0"/>
          <w:marTop w:val="0"/>
          <w:marBottom w:val="0"/>
          <w:divBdr>
            <w:top w:val="none" w:sz="0" w:space="0" w:color="auto"/>
            <w:left w:val="none" w:sz="0" w:space="0" w:color="auto"/>
            <w:bottom w:val="none" w:sz="0" w:space="0" w:color="auto"/>
            <w:right w:val="none" w:sz="0" w:space="0" w:color="auto"/>
          </w:divBdr>
        </w:div>
        <w:div w:id="500974525">
          <w:marLeft w:val="0"/>
          <w:marRight w:val="0"/>
          <w:marTop w:val="0"/>
          <w:marBottom w:val="0"/>
          <w:divBdr>
            <w:top w:val="none" w:sz="0" w:space="0" w:color="auto"/>
            <w:left w:val="none" w:sz="0" w:space="0" w:color="auto"/>
            <w:bottom w:val="none" w:sz="0" w:space="0" w:color="auto"/>
            <w:right w:val="none" w:sz="0" w:space="0" w:color="auto"/>
          </w:divBdr>
        </w:div>
        <w:div w:id="664552173">
          <w:marLeft w:val="0"/>
          <w:marRight w:val="0"/>
          <w:marTop w:val="0"/>
          <w:marBottom w:val="0"/>
          <w:divBdr>
            <w:top w:val="none" w:sz="0" w:space="0" w:color="auto"/>
            <w:left w:val="none" w:sz="0" w:space="0" w:color="auto"/>
            <w:bottom w:val="none" w:sz="0" w:space="0" w:color="auto"/>
            <w:right w:val="none" w:sz="0" w:space="0" w:color="auto"/>
          </w:divBdr>
        </w:div>
        <w:div w:id="842089478">
          <w:marLeft w:val="0"/>
          <w:marRight w:val="0"/>
          <w:marTop w:val="0"/>
          <w:marBottom w:val="0"/>
          <w:divBdr>
            <w:top w:val="none" w:sz="0" w:space="0" w:color="auto"/>
            <w:left w:val="none" w:sz="0" w:space="0" w:color="auto"/>
            <w:bottom w:val="none" w:sz="0" w:space="0" w:color="auto"/>
            <w:right w:val="none" w:sz="0" w:space="0" w:color="auto"/>
          </w:divBdr>
        </w:div>
        <w:div w:id="872839260">
          <w:marLeft w:val="0"/>
          <w:marRight w:val="0"/>
          <w:marTop w:val="0"/>
          <w:marBottom w:val="0"/>
          <w:divBdr>
            <w:top w:val="none" w:sz="0" w:space="0" w:color="auto"/>
            <w:left w:val="none" w:sz="0" w:space="0" w:color="auto"/>
            <w:bottom w:val="none" w:sz="0" w:space="0" w:color="auto"/>
            <w:right w:val="none" w:sz="0" w:space="0" w:color="auto"/>
          </w:divBdr>
        </w:div>
        <w:div w:id="1147666786">
          <w:marLeft w:val="0"/>
          <w:marRight w:val="0"/>
          <w:marTop w:val="0"/>
          <w:marBottom w:val="0"/>
          <w:divBdr>
            <w:top w:val="none" w:sz="0" w:space="0" w:color="auto"/>
            <w:left w:val="none" w:sz="0" w:space="0" w:color="auto"/>
            <w:bottom w:val="none" w:sz="0" w:space="0" w:color="auto"/>
            <w:right w:val="none" w:sz="0" w:space="0" w:color="auto"/>
          </w:divBdr>
        </w:div>
        <w:div w:id="2028411053">
          <w:marLeft w:val="0"/>
          <w:marRight w:val="0"/>
          <w:marTop w:val="0"/>
          <w:marBottom w:val="0"/>
          <w:divBdr>
            <w:top w:val="none" w:sz="0" w:space="0" w:color="auto"/>
            <w:left w:val="none" w:sz="0" w:space="0" w:color="auto"/>
            <w:bottom w:val="none" w:sz="0" w:space="0" w:color="auto"/>
            <w:right w:val="none" w:sz="0" w:space="0" w:color="auto"/>
          </w:divBdr>
        </w:div>
      </w:divsChild>
    </w:div>
    <w:div w:id="1036545330">
      <w:bodyDiv w:val="1"/>
      <w:marLeft w:val="0"/>
      <w:marRight w:val="0"/>
      <w:marTop w:val="0"/>
      <w:marBottom w:val="0"/>
      <w:divBdr>
        <w:top w:val="none" w:sz="0" w:space="0" w:color="auto"/>
        <w:left w:val="none" w:sz="0" w:space="0" w:color="auto"/>
        <w:bottom w:val="none" w:sz="0" w:space="0" w:color="auto"/>
        <w:right w:val="none" w:sz="0" w:space="0" w:color="auto"/>
      </w:divBdr>
      <w:divsChild>
        <w:div w:id="735274686">
          <w:marLeft w:val="0"/>
          <w:marRight w:val="0"/>
          <w:marTop w:val="0"/>
          <w:marBottom w:val="0"/>
          <w:divBdr>
            <w:top w:val="none" w:sz="0" w:space="0" w:color="auto"/>
            <w:left w:val="none" w:sz="0" w:space="0" w:color="auto"/>
            <w:bottom w:val="none" w:sz="0" w:space="0" w:color="auto"/>
            <w:right w:val="none" w:sz="0" w:space="0" w:color="auto"/>
          </w:divBdr>
        </w:div>
        <w:div w:id="963268198">
          <w:marLeft w:val="0"/>
          <w:marRight w:val="0"/>
          <w:marTop w:val="0"/>
          <w:marBottom w:val="0"/>
          <w:divBdr>
            <w:top w:val="none" w:sz="0" w:space="0" w:color="auto"/>
            <w:left w:val="none" w:sz="0" w:space="0" w:color="auto"/>
            <w:bottom w:val="none" w:sz="0" w:space="0" w:color="auto"/>
            <w:right w:val="none" w:sz="0" w:space="0" w:color="auto"/>
          </w:divBdr>
        </w:div>
      </w:divsChild>
    </w:div>
    <w:div w:id="1143154158">
      <w:bodyDiv w:val="1"/>
      <w:marLeft w:val="0"/>
      <w:marRight w:val="0"/>
      <w:marTop w:val="0"/>
      <w:marBottom w:val="0"/>
      <w:divBdr>
        <w:top w:val="none" w:sz="0" w:space="0" w:color="auto"/>
        <w:left w:val="none" w:sz="0" w:space="0" w:color="auto"/>
        <w:bottom w:val="none" w:sz="0" w:space="0" w:color="auto"/>
        <w:right w:val="none" w:sz="0" w:space="0" w:color="auto"/>
      </w:divBdr>
      <w:divsChild>
        <w:div w:id="264308201">
          <w:marLeft w:val="0"/>
          <w:marRight w:val="0"/>
          <w:marTop w:val="0"/>
          <w:marBottom w:val="0"/>
          <w:divBdr>
            <w:top w:val="none" w:sz="0" w:space="0" w:color="auto"/>
            <w:left w:val="none" w:sz="0" w:space="0" w:color="auto"/>
            <w:bottom w:val="none" w:sz="0" w:space="0" w:color="auto"/>
            <w:right w:val="none" w:sz="0" w:space="0" w:color="auto"/>
          </w:divBdr>
        </w:div>
        <w:div w:id="320742346">
          <w:marLeft w:val="0"/>
          <w:marRight w:val="0"/>
          <w:marTop w:val="0"/>
          <w:marBottom w:val="0"/>
          <w:divBdr>
            <w:top w:val="none" w:sz="0" w:space="0" w:color="auto"/>
            <w:left w:val="none" w:sz="0" w:space="0" w:color="auto"/>
            <w:bottom w:val="none" w:sz="0" w:space="0" w:color="auto"/>
            <w:right w:val="none" w:sz="0" w:space="0" w:color="auto"/>
          </w:divBdr>
        </w:div>
      </w:divsChild>
    </w:div>
    <w:div w:id="1322656216">
      <w:bodyDiv w:val="1"/>
      <w:marLeft w:val="0"/>
      <w:marRight w:val="0"/>
      <w:marTop w:val="0"/>
      <w:marBottom w:val="0"/>
      <w:divBdr>
        <w:top w:val="none" w:sz="0" w:space="0" w:color="auto"/>
        <w:left w:val="none" w:sz="0" w:space="0" w:color="auto"/>
        <w:bottom w:val="none" w:sz="0" w:space="0" w:color="auto"/>
        <w:right w:val="none" w:sz="0" w:space="0" w:color="auto"/>
      </w:divBdr>
    </w:div>
    <w:div w:id="1342320098">
      <w:bodyDiv w:val="1"/>
      <w:marLeft w:val="0"/>
      <w:marRight w:val="0"/>
      <w:marTop w:val="0"/>
      <w:marBottom w:val="0"/>
      <w:divBdr>
        <w:top w:val="none" w:sz="0" w:space="0" w:color="auto"/>
        <w:left w:val="none" w:sz="0" w:space="0" w:color="auto"/>
        <w:bottom w:val="none" w:sz="0" w:space="0" w:color="auto"/>
        <w:right w:val="none" w:sz="0" w:space="0" w:color="auto"/>
      </w:divBdr>
    </w:div>
    <w:div w:id="1443574842">
      <w:bodyDiv w:val="1"/>
      <w:marLeft w:val="0"/>
      <w:marRight w:val="0"/>
      <w:marTop w:val="0"/>
      <w:marBottom w:val="0"/>
      <w:divBdr>
        <w:top w:val="none" w:sz="0" w:space="0" w:color="auto"/>
        <w:left w:val="none" w:sz="0" w:space="0" w:color="auto"/>
        <w:bottom w:val="none" w:sz="0" w:space="0" w:color="auto"/>
        <w:right w:val="none" w:sz="0" w:space="0" w:color="auto"/>
      </w:divBdr>
      <w:divsChild>
        <w:div w:id="705369962">
          <w:marLeft w:val="0"/>
          <w:marRight w:val="0"/>
          <w:marTop w:val="0"/>
          <w:marBottom w:val="0"/>
          <w:divBdr>
            <w:top w:val="none" w:sz="0" w:space="0" w:color="auto"/>
            <w:left w:val="none" w:sz="0" w:space="0" w:color="auto"/>
            <w:bottom w:val="none" w:sz="0" w:space="0" w:color="auto"/>
            <w:right w:val="none" w:sz="0" w:space="0" w:color="auto"/>
          </w:divBdr>
        </w:div>
        <w:div w:id="1877035771">
          <w:marLeft w:val="0"/>
          <w:marRight w:val="0"/>
          <w:marTop w:val="0"/>
          <w:marBottom w:val="0"/>
          <w:divBdr>
            <w:top w:val="none" w:sz="0" w:space="0" w:color="auto"/>
            <w:left w:val="none" w:sz="0" w:space="0" w:color="auto"/>
            <w:bottom w:val="none" w:sz="0" w:space="0" w:color="auto"/>
            <w:right w:val="none" w:sz="0" w:space="0" w:color="auto"/>
          </w:divBdr>
        </w:div>
      </w:divsChild>
    </w:div>
    <w:div w:id="1482699644">
      <w:bodyDiv w:val="1"/>
      <w:marLeft w:val="0"/>
      <w:marRight w:val="0"/>
      <w:marTop w:val="0"/>
      <w:marBottom w:val="0"/>
      <w:divBdr>
        <w:top w:val="none" w:sz="0" w:space="0" w:color="auto"/>
        <w:left w:val="none" w:sz="0" w:space="0" w:color="auto"/>
        <w:bottom w:val="none" w:sz="0" w:space="0" w:color="auto"/>
        <w:right w:val="none" w:sz="0" w:space="0" w:color="auto"/>
      </w:divBdr>
      <w:divsChild>
        <w:div w:id="66802392">
          <w:marLeft w:val="0"/>
          <w:marRight w:val="0"/>
          <w:marTop w:val="0"/>
          <w:marBottom w:val="0"/>
          <w:divBdr>
            <w:top w:val="none" w:sz="0" w:space="0" w:color="auto"/>
            <w:left w:val="none" w:sz="0" w:space="0" w:color="auto"/>
            <w:bottom w:val="none" w:sz="0" w:space="0" w:color="auto"/>
            <w:right w:val="none" w:sz="0" w:space="0" w:color="auto"/>
          </w:divBdr>
        </w:div>
        <w:div w:id="185946559">
          <w:marLeft w:val="0"/>
          <w:marRight w:val="0"/>
          <w:marTop w:val="0"/>
          <w:marBottom w:val="0"/>
          <w:divBdr>
            <w:top w:val="none" w:sz="0" w:space="0" w:color="auto"/>
            <w:left w:val="none" w:sz="0" w:space="0" w:color="auto"/>
            <w:bottom w:val="none" w:sz="0" w:space="0" w:color="auto"/>
            <w:right w:val="none" w:sz="0" w:space="0" w:color="auto"/>
          </w:divBdr>
        </w:div>
        <w:div w:id="420222521">
          <w:marLeft w:val="0"/>
          <w:marRight w:val="0"/>
          <w:marTop w:val="0"/>
          <w:marBottom w:val="0"/>
          <w:divBdr>
            <w:top w:val="none" w:sz="0" w:space="0" w:color="auto"/>
            <w:left w:val="none" w:sz="0" w:space="0" w:color="auto"/>
            <w:bottom w:val="none" w:sz="0" w:space="0" w:color="auto"/>
            <w:right w:val="none" w:sz="0" w:space="0" w:color="auto"/>
          </w:divBdr>
        </w:div>
        <w:div w:id="588125691">
          <w:marLeft w:val="0"/>
          <w:marRight w:val="0"/>
          <w:marTop w:val="0"/>
          <w:marBottom w:val="0"/>
          <w:divBdr>
            <w:top w:val="none" w:sz="0" w:space="0" w:color="auto"/>
            <w:left w:val="none" w:sz="0" w:space="0" w:color="auto"/>
            <w:bottom w:val="none" w:sz="0" w:space="0" w:color="auto"/>
            <w:right w:val="none" w:sz="0" w:space="0" w:color="auto"/>
          </w:divBdr>
        </w:div>
        <w:div w:id="648557702">
          <w:marLeft w:val="0"/>
          <w:marRight w:val="0"/>
          <w:marTop w:val="0"/>
          <w:marBottom w:val="0"/>
          <w:divBdr>
            <w:top w:val="none" w:sz="0" w:space="0" w:color="auto"/>
            <w:left w:val="none" w:sz="0" w:space="0" w:color="auto"/>
            <w:bottom w:val="none" w:sz="0" w:space="0" w:color="auto"/>
            <w:right w:val="none" w:sz="0" w:space="0" w:color="auto"/>
          </w:divBdr>
        </w:div>
        <w:div w:id="702249040">
          <w:marLeft w:val="0"/>
          <w:marRight w:val="0"/>
          <w:marTop w:val="0"/>
          <w:marBottom w:val="0"/>
          <w:divBdr>
            <w:top w:val="none" w:sz="0" w:space="0" w:color="auto"/>
            <w:left w:val="none" w:sz="0" w:space="0" w:color="auto"/>
            <w:bottom w:val="none" w:sz="0" w:space="0" w:color="auto"/>
            <w:right w:val="none" w:sz="0" w:space="0" w:color="auto"/>
          </w:divBdr>
        </w:div>
        <w:div w:id="766191246">
          <w:marLeft w:val="0"/>
          <w:marRight w:val="0"/>
          <w:marTop w:val="0"/>
          <w:marBottom w:val="0"/>
          <w:divBdr>
            <w:top w:val="none" w:sz="0" w:space="0" w:color="auto"/>
            <w:left w:val="none" w:sz="0" w:space="0" w:color="auto"/>
            <w:bottom w:val="none" w:sz="0" w:space="0" w:color="auto"/>
            <w:right w:val="none" w:sz="0" w:space="0" w:color="auto"/>
          </w:divBdr>
        </w:div>
        <w:div w:id="774638613">
          <w:marLeft w:val="0"/>
          <w:marRight w:val="0"/>
          <w:marTop w:val="0"/>
          <w:marBottom w:val="0"/>
          <w:divBdr>
            <w:top w:val="none" w:sz="0" w:space="0" w:color="auto"/>
            <w:left w:val="none" w:sz="0" w:space="0" w:color="auto"/>
            <w:bottom w:val="none" w:sz="0" w:space="0" w:color="auto"/>
            <w:right w:val="none" w:sz="0" w:space="0" w:color="auto"/>
          </w:divBdr>
        </w:div>
        <w:div w:id="1243297526">
          <w:marLeft w:val="0"/>
          <w:marRight w:val="0"/>
          <w:marTop w:val="0"/>
          <w:marBottom w:val="0"/>
          <w:divBdr>
            <w:top w:val="none" w:sz="0" w:space="0" w:color="auto"/>
            <w:left w:val="none" w:sz="0" w:space="0" w:color="auto"/>
            <w:bottom w:val="none" w:sz="0" w:space="0" w:color="auto"/>
            <w:right w:val="none" w:sz="0" w:space="0" w:color="auto"/>
          </w:divBdr>
        </w:div>
      </w:divsChild>
    </w:div>
    <w:div w:id="1627931336">
      <w:bodyDiv w:val="1"/>
      <w:marLeft w:val="0"/>
      <w:marRight w:val="0"/>
      <w:marTop w:val="0"/>
      <w:marBottom w:val="0"/>
      <w:divBdr>
        <w:top w:val="none" w:sz="0" w:space="0" w:color="auto"/>
        <w:left w:val="none" w:sz="0" w:space="0" w:color="auto"/>
        <w:bottom w:val="none" w:sz="0" w:space="0" w:color="auto"/>
        <w:right w:val="none" w:sz="0" w:space="0" w:color="auto"/>
      </w:divBdr>
    </w:div>
    <w:div w:id="1680620147">
      <w:bodyDiv w:val="1"/>
      <w:marLeft w:val="0"/>
      <w:marRight w:val="0"/>
      <w:marTop w:val="0"/>
      <w:marBottom w:val="0"/>
      <w:divBdr>
        <w:top w:val="none" w:sz="0" w:space="0" w:color="auto"/>
        <w:left w:val="none" w:sz="0" w:space="0" w:color="auto"/>
        <w:bottom w:val="none" w:sz="0" w:space="0" w:color="auto"/>
        <w:right w:val="none" w:sz="0" w:space="0" w:color="auto"/>
      </w:divBdr>
    </w:div>
    <w:div w:id="1686326195">
      <w:bodyDiv w:val="1"/>
      <w:marLeft w:val="0"/>
      <w:marRight w:val="0"/>
      <w:marTop w:val="0"/>
      <w:marBottom w:val="0"/>
      <w:divBdr>
        <w:top w:val="none" w:sz="0" w:space="0" w:color="auto"/>
        <w:left w:val="none" w:sz="0" w:space="0" w:color="auto"/>
        <w:bottom w:val="none" w:sz="0" w:space="0" w:color="auto"/>
        <w:right w:val="none" w:sz="0" w:space="0" w:color="auto"/>
      </w:divBdr>
      <w:divsChild>
        <w:div w:id="187110441">
          <w:marLeft w:val="0"/>
          <w:marRight w:val="0"/>
          <w:marTop w:val="0"/>
          <w:marBottom w:val="0"/>
          <w:divBdr>
            <w:top w:val="none" w:sz="0" w:space="0" w:color="auto"/>
            <w:left w:val="none" w:sz="0" w:space="0" w:color="auto"/>
            <w:bottom w:val="none" w:sz="0" w:space="0" w:color="auto"/>
            <w:right w:val="none" w:sz="0" w:space="0" w:color="auto"/>
          </w:divBdr>
        </w:div>
        <w:div w:id="392773681">
          <w:marLeft w:val="0"/>
          <w:marRight w:val="0"/>
          <w:marTop w:val="0"/>
          <w:marBottom w:val="0"/>
          <w:divBdr>
            <w:top w:val="none" w:sz="0" w:space="0" w:color="auto"/>
            <w:left w:val="none" w:sz="0" w:space="0" w:color="auto"/>
            <w:bottom w:val="none" w:sz="0" w:space="0" w:color="auto"/>
            <w:right w:val="none" w:sz="0" w:space="0" w:color="auto"/>
          </w:divBdr>
        </w:div>
        <w:div w:id="459112294">
          <w:marLeft w:val="0"/>
          <w:marRight w:val="0"/>
          <w:marTop w:val="0"/>
          <w:marBottom w:val="0"/>
          <w:divBdr>
            <w:top w:val="none" w:sz="0" w:space="0" w:color="auto"/>
            <w:left w:val="none" w:sz="0" w:space="0" w:color="auto"/>
            <w:bottom w:val="none" w:sz="0" w:space="0" w:color="auto"/>
            <w:right w:val="none" w:sz="0" w:space="0" w:color="auto"/>
          </w:divBdr>
        </w:div>
        <w:div w:id="560099138">
          <w:marLeft w:val="0"/>
          <w:marRight w:val="0"/>
          <w:marTop w:val="0"/>
          <w:marBottom w:val="0"/>
          <w:divBdr>
            <w:top w:val="none" w:sz="0" w:space="0" w:color="auto"/>
            <w:left w:val="none" w:sz="0" w:space="0" w:color="auto"/>
            <w:bottom w:val="none" w:sz="0" w:space="0" w:color="auto"/>
            <w:right w:val="none" w:sz="0" w:space="0" w:color="auto"/>
          </w:divBdr>
        </w:div>
        <w:div w:id="788009165">
          <w:marLeft w:val="0"/>
          <w:marRight w:val="0"/>
          <w:marTop w:val="0"/>
          <w:marBottom w:val="0"/>
          <w:divBdr>
            <w:top w:val="none" w:sz="0" w:space="0" w:color="auto"/>
            <w:left w:val="none" w:sz="0" w:space="0" w:color="auto"/>
            <w:bottom w:val="none" w:sz="0" w:space="0" w:color="auto"/>
            <w:right w:val="none" w:sz="0" w:space="0" w:color="auto"/>
          </w:divBdr>
        </w:div>
        <w:div w:id="1551846412">
          <w:marLeft w:val="0"/>
          <w:marRight w:val="0"/>
          <w:marTop w:val="0"/>
          <w:marBottom w:val="0"/>
          <w:divBdr>
            <w:top w:val="none" w:sz="0" w:space="0" w:color="auto"/>
            <w:left w:val="none" w:sz="0" w:space="0" w:color="auto"/>
            <w:bottom w:val="none" w:sz="0" w:space="0" w:color="auto"/>
            <w:right w:val="none" w:sz="0" w:space="0" w:color="auto"/>
          </w:divBdr>
        </w:div>
        <w:div w:id="2023775017">
          <w:marLeft w:val="0"/>
          <w:marRight w:val="0"/>
          <w:marTop w:val="0"/>
          <w:marBottom w:val="0"/>
          <w:divBdr>
            <w:top w:val="none" w:sz="0" w:space="0" w:color="auto"/>
            <w:left w:val="none" w:sz="0" w:space="0" w:color="auto"/>
            <w:bottom w:val="none" w:sz="0" w:space="0" w:color="auto"/>
            <w:right w:val="none" w:sz="0" w:space="0" w:color="auto"/>
          </w:divBdr>
        </w:div>
        <w:div w:id="2084834956">
          <w:marLeft w:val="0"/>
          <w:marRight w:val="0"/>
          <w:marTop w:val="0"/>
          <w:marBottom w:val="0"/>
          <w:divBdr>
            <w:top w:val="none" w:sz="0" w:space="0" w:color="auto"/>
            <w:left w:val="none" w:sz="0" w:space="0" w:color="auto"/>
            <w:bottom w:val="none" w:sz="0" w:space="0" w:color="auto"/>
            <w:right w:val="none" w:sz="0" w:space="0" w:color="auto"/>
          </w:divBdr>
        </w:div>
        <w:div w:id="2138335593">
          <w:marLeft w:val="0"/>
          <w:marRight w:val="0"/>
          <w:marTop w:val="0"/>
          <w:marBottom w:val="0"/>
          <w:divBdr>
            <w:top w:val="none" w:sz="0" w:space="0" w:color="auto"/>
            <w:left w:val="none" w:sz="0" w:space="0" w:color="auto"/>
            <w:bottom w:val="none" w:sz="0" w:space="0" w:color="auto"/>
            <w:right w:val="none" w:sz="0" w:space="0" w:color="auto"/>
          </w:divBdr>
        </w:div>
      </w:divsChild>
    </w:div>
    <w:div w:id="1692146037">
      <w:bodyDiv w:val="1"/>
      <w:marLeft w:val="0"/>
      <w:marRight w:val="0"/>
      <w:marTop w:val="0"/>
      <w:marBottom w:val="0"/>
      <w:divBdr>
        <w:top w:val="none" w:sz="0" w:space="0" w:color="auto"/>
        <w:left w:val="none" w:sz="0" w:space="0" w:color="auto"/>
        <w:bottom w:val="none" w:sz="0" w:space="0" w:color="auto"/>
        <w:right w:val="none" w:sz="0" w:space="0" w:color="auto"/>
      </w:divBdr>
    </w:div>
    <w:div w:id="1949653517">
      <w:bodyDiv w:val="1"/>
      <w:marLeft w:val="0"/>
      <w:marRight w:val="0"/>
      <w:marTop w:val="0"/>
      <w:marBottom w:val="0"/>
      <w:divBdr>
        <w:top w:val="none" w:sz="0" w:space="0" w:color="auto"/>
        <w:left w:val="none" w:sz="0" w:space="0" w:color="auto"/>
        <w:bottom w:val="none" w:sz="0" w:space="0" w:color="auto"/>
        <w:right w:val="none" w:sz="0" w:space="0" w:color="auto"/>
      </w:divBdr>
      <w:divsChild>
        <w:div w:id="223950468">
          <w:marLeft w:val="0"/>
          <w:marRight w:val="0"/>
          <w:marTop w:val="0"/>
          <w:marBottom w:val="0"/>
          <w:divBdr>
            <w:top w:val="none" w:sz="0" w:space="0" w:color="auto"/>
            <w:left w:val="none" w:sz="0" w:space="0" w:color="auto"/>
            <w:bottom w:val="none" w:sz="0" w:space="0" w:color="auto"/>
            <w:right w:val="none" w:sz="0" w:space="0" w:color="auto"/>
          </w:divBdr>
        </w:div>
        <w:div w:id="343746466">
          <w:marLeft w:val="0"/>
          <w:marRight w:val="0"/>
          <w:marTop w:val="0"/>
          <w:marBottom w:val="0"/>
          <w:divBdr>
            <w:top w:val="none" w:sz="0" w:space="0" w:color="auto"/>
            <w:left w:val="none" w:sz="0" w:space="0" w:color="auto"/>
            <w:bottom w:val="none" w:sz="0" w:space="0" w:color="auto"/>
            <w:right w:val="none" w:sz="0" w:space="0" w:color="auto"/>
          </w:divBdr>
        </w:div>
        <w:div w:id="402607018">
          <w:marLeft w:val="0"/>
          <w:marRight w:val="0"/>
          <w:marTop w:val="0"/>
          <w:marBottom w:val="0"/>
          <w:divBdr>
            <w:top w:val="none" w:sz="0" w:space="0" w:color="auto"/>
            <w:left w:val="none" w:sz="0" w:space="0" w:color="auto"/>
            <w:bottom w:val="none" w:sz="0" w:space="0" w:color="auto"/>
            <w:right w:val="none" w:sz="0" w:space="0" w:color="auto"/>
          </w:divBdr>
        </w:div>
        <w:div w:id="510680288">
          <w:marLeft w:val="0"/>
          <w:marRight w:val="0"/>
          <w:marTop w:val="0"/>
          <w:marBottom w:val="0"/>
          <w:divBdr>
            <w:top w:val="none" w:sz="0" w:space="0" w:color="auto"/>
            <w:left w:val="none" w:sz="0" w:space="0" w:color="auto"/>
            <w:bottom w:val="none" w:sz="0" w:space="0" w:color="auto"/>
            <w:right w:val="none" w:sz="0" w:space="0" w:color="auto"/>
          </w:divBdr>
        </w:div>
        <w:div w:id="575633295">
          <w:marLeft w:val="0"/>
          <w:marRight w:val="0"/>
          <w:marTop w:val="0"/>
          <w:marBottom w:val="0"/>
          <w:divBdr>
            <w:top w:val="none" w:sz="0" w:space="0" w:color="auto"/>
            <w:left w:val="none" w:sz="0" w:space="0" w:color="auto"/>
            <w:bottom w:val="none" w:sz="0" w:space="0" w:color="auto"/>
            <w:right w:val="none" w:sz="0" w:space="0" w:color="auto"/>
          </w:divBdr>
        </w:div>
        <w:div w:id="1256404511">
          <w:marLeft w:val="0"/>
          <w:marRight w:val="0"/>
          <w:marTop w:val="0"/>
          <w:marBottom w:val="0"/>
          <w:divBdr>
            <w:top w:val="none" w:sz="0" w:space="0" w:color="auto"/>
            <w:left w:val="none" w:sz="0" w:space="0" w:color="auto"/>
            <w:bottom w:val="none" w:sz="0" w:space="0" w:color="auto"/>
            <w:right w:val="none" w:sz="0" w:space="0" w:color="auto"/>
          </w:divBdr>
        </w:div>
        <w:div w:id="1289118336">
          <w:marLeft w:val="0"/>
          <w:marRight w:val="0"/>
          <w:marTop w:val="0"/>
          <w:marBottom w:val="0"/>
          <w:divBdr>
            <w:top w:val="none" w:sz="0" w:space="0" w:color="auto"/>
            <w:left w:val="none" w:sz="0" w:space="0" w:color="auto"/>
            <w:bottom w:val="none" w:sz="0" w:space="0" w:color="auto"/>
            <w:right w:val="none" w:sz="0" w:space="0" w:color="auto"/>
          </w:divBdr>
        </w:div>
        <w:div w:id="1542203729">
          <w:marLeft w:val="0"/>
          <w:marRight w:val="0"/>
          <w:marTop w:val="0"/>
          <w:marBottom w:val="0"/>
          <w:divBdr>
            <w:top w:val="none" w:sz="0" w:space="0" w:color="auto"/>
            <w:left w:val="none" w:sz="0" w:space="0" w:color="auto"/>
            <w:bottom w:val="none" w:sz="0" w:space="0" w:color="auto"/>
            <w:right w:val="none" w:sz="0" w:space="0" w:color="auto"/>
          </w:divBdr>
        </w:div>
        <w:div w:id="210318394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4" Type="http://schemas.openxmlformats.org/officeDocument/2006/relationships/header" Target="header1.xml"/>
  <Relationship Id="rId15" Type="http://schemas.openxmlformats.org/officeDocument/2006/relationships/header" Target="header2.xml"/>
  <Relationship Id="rId16" Type="http://schemas.openxmlformats.org/officeDocument/2006/relationships/footer" Target="footer1.xml"/>
  <Relationship Id="rId17" Type="http://schemas.openxmlformats.org/officeDocument/2006/relationships/footer" Target="footer2.xml"/>
  <Relationship Id="rId18" Type="http://schemas.openxmlformats.org/officeDocument/2006/relationships/header" Target="header3.xml"/>
  <Relationship Id="rId19" Type="http://schemas.openxmlformats.org/officeDocument/2006/relationships/footer" Target="footer3.xml"/>
  <Relationship Id="rId2" Type="http://schemas.openxmlformats.org/officeDocument/2006/relationships/customXml" Target="../customXml/item2.xml"/>
  <Relationship Id="rId20" Type="http://schemas.openxmlformats.org/officeDocument/2006/relationships/fontTable" Target="fontTable.xml"/>
  <Relationship Id="rId21" Type="http://schemas.openxmlformats.org/officeDocument/2006/relationships/theme" Target="theme/theme1.xml"/>
  <Relationship Id="rId22" Type="http://schemas.openxmlformats.org/officeDocument/2006/relationships/customXml" Target="../customXml/item5.xml"/>
  <Relationship Id="rId24" Type="http://schemas.microsoft.com/office/2019/05/relationships/documenttasks" Target="documenttasks/documenttasks1.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documenttasks/documenttasks1.xml><?xml version="1.0" encoding="utf-8"?>
<t:Tasks xmlns:t="http://schemas.microsoft.com/office/tasks/2019/documenttasks" xmlns:oel="http://schemas.microsoft.com/office/2019/extlst">
  <t:Task id="{202D9B40-FCDC-46EE-96CA-9A7CFE82A330}">
    <t:Anchor>
      <t:Comment id="645075413"/>
    </t:Anchor>
    <t:History>
      <t:Event id="{059560AF-7986-4B0C-AB5B-485CA3BFFD9A}" time="2026-03-09T08:50:54.242Z">
        <t:Attribution userId="S::greta.cesnaityte@am.lt::4a39d102-2f72-4a87-a7f5-5df777fe2244" userProvider="AD" userName="Greta Česnaitytė"/>
        <t:Anchor>
          <t:Comment id="645075413"/>
        </t:Anchor>
        <t:Create/>
      </t:Event>
      <t:Event id="{9B4DD8F8-5EE3-419E-A472-8ABB2186B487}" time="2026-03-09T08:50:54.242Z">
        <t:Attribution userId="S::greta.cesnaityte@am.lt::4a39d102-2f72-4a87-a7f5-5df777fe2244" userProvider="AD" userName="Greta Česnaitytė"/>
        <t:Anchor>
          <t:Comment id="645075413"/>
        </t:Anchor>
        <t:Assign userId="S::gitana.vaiksnoraite-petkiene@am.lt::b9ab166b-771b-432b-ba7e-7184ede17a14" userProvider="AD" userName="Gitana Vaikšnoraitė-Petkienė"/>
      </t:Event>
      <t:Event id="{89117903-8EC0-49D9-AD9E-060585B1A6EB}" time="2026-03-09T08:50:54.242Z">
        <t:Attribution userId="S::greta.cesnaityte@am.lt::4a39d102-2f72-4a87-a7f5-5df777fe2244" userProvider="AD" userName="Greta Česnaitytė"/>
        <t:Anchor>
          <t:Comment id="645075413"/>
        </t:Anchor>
        <t:SetTitle title="@Gitana Vaikšnoraitė-Petkienė pilnai rašytiapie kokią asoc. eina kalba"/>
      </t:Event>
    </t:History>
  </t:Task>
  <t:Task id="{90D15173-49F6-445A-A46C-BB9B36965B5F}">
    <t:Anchor>
      <t:Comment id="1000681063"/>
    </t:Anchor>
    <t:History>
      <t:Event id="{356E8DCC-CDC1-429A-8A7B-25D16C36B160}" time="2026-03-09T08:53:06.962Z">
        <t:Attribution userId="S::greta.cesnaityte@am.lt::4a39d102-2f72-4a87-a7f5-5df777fe2244" userProvider="AD" userName="Greta Česnaitytė"/>
        <t:Anchor>
          <t:Comment id="1000681063"/>
        </t:Anchor>
        <t:Create/>
      </t:Event>
      <t:Event id="{E2D462E0-11B1-4A70-9E31-D47EB1848086}" time="2026-03-09T08:53:06.962Z">
        <t:Attribution userId="S::greta.cesnaityte@am.lt::4a39d102-2f72-4a87-a7f5-5df777fe2244" userProvider="AD" userName="Greta Česnaitytė"/>
        <t:Anchor>
          <t:Comment id="1000681063"/>
        </t:Anchor>
        <t:Assign userId="S::gitana.vaiksnoraite-petkiene@am.lt::b9ab166b-771b-432b-ba7e-7184ede17a14" userProvider="AD" userName="Gitana Vaikšnoraitė-Petkienė"/>
      </t:Event>
      <t:Event id="{3C05308B-B0CB-4CAE-9664-00B31B89ADA6}" time="2026-03-09T08:53:06.962Z">
        <t:Attribution userId="S::greta.cesnaityte@am.lt::4a39d102-2f72-4a87-a7f5-5df777fe2244" userProvider="AD" userName="Greta Česnaitytė"/>
        <t:Anchor>
          <t:Comment id="1000681063"/>
        </t:Anchor>
        <t:SetTitle title="čia ne įstatymas - dar trumpinio nėra, tad pirmą kartą pilnai rašome apie kokią org. kalbama @Gitana Vaikšnoraitė-Petkienė cc: @Eglė Razbadauskaitė nebent viršuje galima įvesti trumpinį?"/>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0164633ED94994D9773E53D567FF5BF" ma:contentTypeVersion="14" ma:contentTypeDescription="Create a new document." ma:contentTypeScope="" ma:versionID="6e4420773c8a227daef6c045b72bc81e">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922eb6792ea364f94f21b5ea25fa34e9"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0379a545-9986-45d7-9e6d-3845025712a0" xsi:nil="true"/>
    <lcf76f155ced4ddcb4097134ff3c332f xmlns="47c1ea38-b788-4873-88f4-3b1f34597b9a">
      <Terms xmlns="http://schemas.microsoft.com/office/infopath/2007/PartnerControls"/>
    </lcf76f155ced4ddcb4097134ff3c332f>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ba191c54ecb64ac4b501274ed6d4ebdd" PartId="0c354aa0b6874d0dbfa88074b70227a1">
    <Part Type="punktas" Nr="1" Abbr="1 p." DocPartId="3ed3811707bc47f480c6494675f27b63" PartId="515b02ed24094fdf852f2231d5de51e3"/>
    <Part Type="punktas" Nr="2" Abbr="2 p." DocPartId="9f62a5b3169e4584a0b3a19aa2a24c8b" PartId="b7e94949b9044f5ab008f5b0a6d4425e"/>
    <Part Type="punktas" Nr="3" Abbr="3 p." DocPartId="3b4e21ac890142c4a3c34773970e07c8" PartId="5e9b34510d734193944558fe6ab2c295"/>
    <Part Type="punktas" Nr="4" Abbr="4 p." DocPartId="ac87c3b90d654537abf7ad40349216a4" PartId="20306c39edc74e829bfee3ffe5ac5064"/>
    <Part Type="punktas" Nr="5" Abbr="5 p." DocPartId="587e222894204cdbb76518fb3fed1430" PartId="90cc4e61162744c29b19bf7f7708584f"/>
    <Part Type="punktas" Nr="6" Abbr="6 p." DocPartId="5974c4aec4a64abd817ee581530edfe8" PartId="62eeee2afd2849d4a0f737b4525b0a3e"/>
    <Part Type="punktas" Nr="7" Abbr="7 p." DocPartId="297f13b9c93246f98e302791cd133390" PartId="6c35b8aa0515444781b3a48cae5bbb65"/>
    <Part Type="punktas" Nr="8" Abbr="8 p." DocPartId="71ebcfdc480842febc37cb1286dbb2b7" PartId="770c4e1700a042f4b5a01120ee27b20d"/>
    <Part Type="punktas" Nr="9" Abbr="9 p." DocPartId="6189edb566c64c9d812e5edd67aa5799" PartId="700f522a8e034ec582408829bd185585"/>
    <Part Type="punktas" Nr="10" Abbr="10 p." DocPartId="9def84f928504f158b43fbc2d47b793c" PartId="6e2728852cc5499daea48615714ee9d2"/>
    <Part Type="punktas" Nr="11" Abbr="11 p." DocPartId="dd5cab0e1bd043118e0b28395b86cfcd" PartId="2aa47419b13a4d79b3858c932cb9d8ee"/>
    <Part Type="punktas" Nr="12" Abbr="12 p." DocPartId="2143bff8e1a847abbd11d3cc88b52c8c" PartId="dba1f47c64e4493f81324c30c72d437c">
      <Part Type="strPapunktis" Nr="1" Abbr="12 p. 1 pp." DocPartId="61afa05e14334bbaaafa47a0580bccf9" PartId="3177f70b0f2e49ad84111b380e770066"/>
      <Part Type="strPapunktis" Nr="2" Abbr="12 p. 2 pp." DocPartId="7b0df4ccb6b54c4c9a5b7cb63e6675ab" PartId="a7c790e97cca4e08b74882f1a54a2292"/>
    </Part>
    <Part Type="punktas" Nr="13" Abbr="13 p." DocPartId="244e1b8bd3b24ed9a93bd0fb198cf191" PartId="1a9223dba2704f39b4e4233a5e6a4488"/>
    <Part Type="punktas" Nr="14" Abbr="14 p." DocPartId="3a484b6ccbf743d4815e1ba54ed98395" PartId="3e2377e52b494d5cb5d43337795ff1ce"/>
    <Part Type="punktas" Nr="15" Abbr="15 p." DocPartId="71baa29958db4e8c81cf4e2b91ff016c" PartId="5d9bd988777742b184a78e5784466feb"/>
    <Part Type="punktas" Nr="16" Abbr="16 p." DocPartId="6e037f2a6e874a02b9a3a4f548c8e4d4" PartId="61b665b5830e4ff4aa9b8b7796293ce5"/>
    <Part Type="signatura" DocPartId="5cc544aa40ff4e8cb028f301175d3717" PartId="5b24575505b84964aa7e1a4142601162"/>
  </Part>
</Parts>
</file>

<file path=customXml/itemProps1.xml><?xml version="1.0" encoding="utf-8"?>
<ds:datastoreItem xmlns:ds="http://schemas.openxmlformats.org/officeDocument/2006/customXml" ds:itemID="{0082382F-7A3A-4C07-8D66-4D2B6825977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930A2B0-C10D-4698-A6AE-33F3E966253B}">
  <ds:schemaRefs>
    <ds:schemaRef ds:uri="http://schemas.microsoft.com/office/2006/metadata/properties"/>
    <ds:schemaRef ds:uri="http://schemas.microsoft.com/office/infopath/2007/PartnerControls"/>
    <ds:schemaRef ds:uri="0379a545-9986-45d7-9e6d-3845025712a0"/>
    <ds:schemaRef ds:uri="47c1ea38-b788-4873-88f4-3b1f34597b9a"/>
  </ds:schemaRefs>
</ds:datastoreItem>
</file>

<file path=customXml/itemProps3.xml><?xml version="1.0" encoding="utf-8"?>
<ds:datastoreItem xmlns:ds="http://schemas.openxmlformats.org/officeDocument/2006/customXml" ds:itemID="{6A3728A7-C9E6-4795-8AF0-B23EEF29AC28}">
  <ds:schemaRefs>
    <ds:schemaRef ds:uri="http://schemas.microsoft.com/sharepoint/v3/contenttype/forms"/>
  </ds:schemaRefs>
</ds:datastoreItem>
</file>

<file path=customXml/itemProps4.xml><?xml version="1.0" encoding="utf-8"?>
<ds:datastoreItem xmlns:ds="http://schemas.openxmlformats.org/officeDocument/2006/customXml" ds:itemID="{60602F76-6BFF-403E-88E8-4AD5903A229C}">
  <ds:schemaRefs>
    <ds:schemaRef ds:uri="http://schemas.openxmlformats.org/officeDocument/2006/bibliography"/>
  </ds:schemaRefs>
</ds:datastoreItem>
</file>

<file path=customXml/itemProps5.xml><?xml version="1.0" encoding="utf-8"?>
<ds:datastoreItem xmlns:ds="http://schemas.openxmlformats.org/officeDocument/2006/customXml" ds:itemID="{99BEACB0-35F4-4136-AAEA-D3A61EC9E1F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5145</Words>
  <Characters>35557</Characters>
  <Application>Microsoft Office Word</Application>
  <DocSecurity>4</DocSecurity>
  <Lines>522</Lines>
  <Paragraphs>131</Paragraphs>
  <ScaleCrop>false</ScaleCrop>
  <Company/>
  <LinksUpToDate>false</LinksUpToDate>
  <CharactersWithSpaces>40571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2026-03-23T06:24:00Z</dcterms:created>
  <dc:creator>Orinta Vaitkutė</dc:creator>
  <lastModifiedBy>adlibuser</lastModifiedBy>
  <dcterms:modified xsi:type="dcterms:W3CDTF">2026-03-23T06:24:00Z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y fmtid="{D5CDD505-2E9C-101B-9397-08002B2CF9AE}" pid="3" name="MediaServiceImageTags">
    <vt:lpwstr/>
  </property>
</Properties>
</file>