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f6342f64bb26408ebe3305c76f9b69c7"/>
        <w:lock w:val="sdtLocked"/>
        <w:richText/>
      </w:sdtPr>
      <w:sdtContent>
        <w:p>
          <w:pPr>
            <w:tabs>
              <w:tab w:val="center" w:pos="4819"/>
              <w:tab w:val="right" w:pos="9638"/>
            </w:tabs>
            <w:jc w:val="center"/>
            <w:rPr>
              <w:kern w:val="2"/>
              <w:szCs w:val="24"/>
            </w:rPr>
          </w:pPr>
        </w:p>
        <w:p>
          <w:pPr>
            <w:tabs>
              <w:tab w:val="center" w:pos="4153"/>
              <w:tab w:val="right" w:pos="8306"/>
            </w:tabs>
            <w:spacing w:line="278" w:lineRule="auto"/>
            <w:rPr>
              <w:rFonts w:ascii="TimesLT" w:hAnsi="TimesLT"/>
              <w:kern w:val="2"/>
              <w:szCs w:val="24"/>
              <w:lang w:val="en-US"/>
            </w:rPr>
          </w:pPr>
        </w:p>
        <w:p>
          <w:pPr>
            <w:rPr>
              <w:sz w:val="14"/>
              <w:szCs w:val="14"/>
            </w:rPr>
          </w:pPr>
        </w:p>
        <w:p>
          <w:pPr>
            <w:spacing w:line="264" w:lineRule="auto"/>
            <w:jc w:val="center"/>
            <w:rPr>
              <w:b/>
              <w:bCs/>
              <w:szCs w:val="24"/>
              <w:lang w:eastAsia="lt-LT"/>
            </w:rPr>
          </w:pPr>
          <w:r>
            <w:rPr>
              <w:b/>
              <w:bCs/>
              <w:szCs w:val="24"/>
              <w:lang w:eastAsia="lt-LT"/>
            </w:rPr>
            <w:t>REGLAMENTO (ES) 2025/40</w:t>
          </w:r>
          <w:r>
            <w:rPr>
              <w:b/>
              <w:bCs/>
              <w:kern w:val="2"/>
              <w:szCs w:val="24"/>
              <w:lang w:eastAsia="lt-LT"/>
            </w:rPr>
            <w:t xml:space="preserve"> </w:t>
          </w:r>
          <w:r>
            <w:rPr>
              <w:b/>
              <w:bCs/>
              <w:szCs w:val="24"/>
              <w:lang w:eastAsia="lt-LT"/>
            </w:rPr>
            <w:t xml:space="preserve">IR </w:t>
          </w:r>
          <w:r>
            <w:rPr>
              <w:b/>
              <w:bCs/>
              <w:kern w:val="2"/>
              <w:szCs w:val="24"/>
              <w:lang w:eastAsia="lt-LT"/>
            </w:rPr>
            <w:t>NACIONALINIŲ TEISĖS AKTŲ ATITIKTIES LENTELĖ</w:t>
          </w:r>
        </w:p>
        <w:p>
          <w:pPr>
            <w:rPr>
              <w:sz w:val="14"/>
              <w:szCs w:val="14"/>
            </w:rPr>
          </w:pPr>
        </w:p>
        <w:p>
          <w:pPr>
            <w:spacing w:line="278" w:lineRule="auto"/>
            <w:jc w:val="center"/>
            <w:rPr>
              <w:kern w:val="2"/>
              <w:szCs w:val="24"/>
            </w:rPr>
          </w:pPr>
        </w:p>
        <w:p>
          <w:pPr>
            <w:rPr>
              <w:sz w:val="14"/>
              <w:szCs w:val="1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5"/>
            <w:gridCol w:w="5529"/>
            <w:gridCol w:w="3543"/>
          </w:tblGrid>
          <w:tr>
            <w:tc>
              <w:tcPr>
                <w:tcW w:w="5665" w:type="dxa"/>
              </w:tcPr>
              <w:p>
                <w:pPr>
                  <w:jc w:val="both"/>
                  <w:rPr>
                    <w:kern w:val="2"/>
                    <w:szCs w:val="24"/>
                  </w:rPr>
                </w:pPr>
                <w:r>
                  <w:rPr>
                    <w:b/>
                    <w:bCs/>
                    <w:szCs w:val="24"/>
                    <w:lang w:eastAsia="lt-LT"/>
                  </w:rPr>
                  <w:t xml:space="preserve">2024 m. gruodžio 19 d. Europos Parlamento ir tarybos Reglamentas </w:t>
                </w:r>
                <w:fldSimple w:instr="HYPERLINK http://eur-lex.europa.eu/legal-content/LIT/TXT/?uri=CELEX:32025R0040&amp;locale=lt \t _blank">
                  <w:r>
                    <w:rPr>
                      <w:b/>
                      <w:bCs/>
                      <w:szCs w:val="24"/>
                      <w:lang w:eastAsia="lt-LT"/>
                      <w:u w:val="single"/>
                      <w:color w:val="0000FF" w:themeColor="hyperlink"/>
                    </w:rPr>
                    <w:t>(ES) 2025/40</w:t>
                  </w:r>
                </w:fldSimple>
                <w:r>
                  <w:rPr>
                    <w:b/>
                    <w:bCs/>
                    <w:szCs w:val="24"/>
                    <w:lang w:eastAsia="lt-LT"/>
                  </w:rPr>
                  <w:t xml:space="preserve">, dėl pakuočių ir pakuočių atliekų, kuriuo iš dalies keičiamas Reglamentas </w:t>
                </w:r>
                <w:fldSimple w:instr="HYPERLINK http://eur-lex.europa.eu/legal-content/LIT/TXT/?uri=CELEX:32019R1020&amp;locale=lt \t _blank">
                  <w:r>
                    <w:rPr>
                      <w:b/>
                      <w:bCs/>
                      <w:szCs w:val="24"/>
                      <w:lang w:eastAsia="lt-LT"/>
                      <w:u w:val="single"/>
                      <w:color w:val="0000FF" w:themeColor="hyperlink"/>
                    </w:rPr>
                    <w:t>(ES) 2019/1020</w:t>
                  </w:r>
                </w:fldSimple>
                <w:r>
                  <w:rPr>
                    <w:b/>
                    <w:bCs/>
                    <w:szCs w:val="24"/>
                    <w:lang w:eastAsia="lt-LT"/>
                  </w:rPr>
                  <w:t xml:space="preserve"> ir Direktyva </w:t>
                </w:r>
                <w:fldSimple w:instr="HYPERLINK http://eur-lex.europa.eu/legal-content/LIT/TXT/?uri=CELEX:32019L0904&amp;locale=lt \t _blank">
                  <w:r>
                    <w:rPr>
                      <w:b/>
                      <w:bCs/>
                      <w:szCs w:val="24"/>
                      <w:lang w:eastAsia="lt-LT"/>
                      <w:u w:val="single"/>
                      <w:color w:val="0000FF" w:themeColor="hyperlink"/>
                    </w:rPr>
                    <w:t>(ES) 2019/904</w:t>
                  </w:r>
                </w:fldSimple>
                <w:r>
                  <w:rPr>
                    <w:b/>
                    <w:bCs/>
                    <w:szCs w:val="24"/>
                    <w:lang w:eastAsia="lt-LT"/>
                  </w:rPr>
                  <w:t xml:space="preserve"> ir panaikinama Direktyva </w:t>
                </w:r>
                <w:fldSimple w:instr="HYPERLINK http://eur-lex.europa.eu/legal-content/LIT/TXT/?uri=CELEX:31994L0062&amp;locale=lt \t _blank">
                  <w:r>
                    <w:rPr>
                      <w:b/>
                      <w:bCs/>
                      <w:szCs w:val="24"/>
                      <w:lang w:eastAsia="lt-LT"/>
                      <w:u w:val="single"/>
                      <w:color w:val="0000FF" w:themeColor="hyperlink"/>
                    </w:rPr>
                    <w:t>94/62/EB</w:t>
                  </w:r>
                </w:fldSimple>
              </w:p>
            </w:tc>
            <w:tc>
              <w:tcPr>
                <w:tcW w:w="5529" w:type="dxa"/>
              </w:tcPr>
              <w:p>
                <w:pPr>
                  <w:jc w:val="both"/>
                  <w:rPr>
                    <w:b/>
                    <w:bCs/>
                    <w:kern w:val="2"/>
                    <w:szCs w:val="24"/>
                    <w:lang w:eastAsia="lt-LT"/>
                  </w:rPr>
                </w:pPr>
                <w:r>
                  <w:rPr>
                    <w:b/>
                    <w:bCs/>
                    <w:szCs w:val="24"/>
                    <w:lang w:eastAsia="lt-LT"/>
                  </w:rPr>
                  <w:t>1. Lietuvos Respublikos pakuočių ir pakuočių atliekų tvarkymo įstatymo Nr. IX-517 pakeitimo įstatymo projektas (t</w:t>
                </w:r>
                <w:r>
                  <w:rPr>
                    <w:b/>
                    <w:bCs/>
                    <w:kern w:val="2"/>
                    <w:szCs w:val="24"/>
                    <w:lang w:eastAsia="lt-LT"/>
                  </w:rPr>
                  <w:t>oliau - PPATĮ projektas)</w:t>
                </w:r>
              </w:p>
              <w:p>
                <w:pPr>
                  <w:jc w:val="both"/>
                  <w:rPr>
                    <w:b/>
                    <w:bCs/>
                    <w:color w:val="000000"/>
                    <w:kern w:val="2"/>
                    <w:szCs w:val="24"/>
                  </w:rPr>
                </w:pPr>
                <w:r>
                  <w:rPr>
                    <w:b/>
                    <w:bCs/>
                    <w:kern w:val="2"/>
                    <w:szCs w:val="24"/>
                    <w:lang w:eastAsia="lt-LT"/>
                  </w:rPr>
                  <w:t>2.</w:t>
                </w:r>
                <w:r>
                  <w:rPr>
                    <w:b/>
                    <w:bCs/>
                    <w:color w:val="000000"/>
                    <w:kern w:val="2"/>
                    <w:szCs w:val="24"/>
                  </w:rPr>
                  <w:t xml:space="preserve"> Lietuvos Respublikos administracinių nusižengimų kodekso Nr.IX-1869 248 straipsnio pakeitimo įstatymo projektas (toliau – ANK projektas)</w:t>
                </w:r>
              </w:p>
              <w:p>
                <w:pPr>
                  <w:jc w:val="both"/>
                  <w:rPr>
                    <w:b/>
                    <w:bCs/>
                    <w:color w:val="000000"/>
                    <w:kern w:val="2"/>
                    <w:szCs w:val="24"/>
                  </w:rPr>
                </w:pPr>
                <w:r>
                  <w:rPr>
                    <w:b/>
                    <w:bCs/>
                    <w:color w:val="000000"/>
                    <w:kern w:val="2"/>
                    <w:szCs w:val="24"/>
                    <w:lang w:val="en-US"/>
                  </w:rPr>
                  <w:t xml:space="preserve">3. </w:t>
                </w:r>
                <w:r>
                  <w:rPr>
                    <w:b/>
                    <w:bCs/>
                    <w:color w:val="000000"/>
                    <w:kern w:val="2"/>
                    <w:szCs w:val="24"/>
                  </w:rPr>
                  <w:t xml:space="preserve">Lietuvos Respublikos aplinkos apsaugos įstatymo Nr. I-2223 priedo pakeitimo ir įstatymo papildymo </w:t>
                </w:r>
                <w:r>
                  <w:rPr>
                    <w:b/>
                    <w:bCs/>
                    <w:caps/>
                    <w:color w:val="000000"/>
                    <w:kern w:val="2"/>
                    <w:szCs w:val="24"/>
                  </w:rPr>
                  <w:t>108</w:t>
                </w:r>
                <w:r>
                  <w:rPr>
                    <w:b/>
                    <w:bCs/>
                    <w:caps/>
                    <w:color w:val="000000"/>
                    <w:kern w:val="2"/>
                    <w:szCs w:val="24"/>
                    <w:vertAlign w:val="superscript"/>
                  </w:rPr>
                  <w:t>5</w:t>
                </w:r>
                <w:r>
                  <w:rPr>
                    <w:b/>
                    <w:bCs/>
                    <w:caps/>
                    <w:color w:val="000000"/>
                    <w:kern w:val="2"/>
                    <w:szCs w:val="24"/>
                  </w:rPr>
                  <w:t>, 108</w:t>
                </w:r>
                <w:r>
                  <w:rPr>
                    <w:b/>
                    <w:bCs/>
                    <w:caps/>
                    <w:color w:val="000000"/>
                    <w:kern w:val="2"/>
                    <w:szCs w:val="24"/>
                    <w:vertAlign w:val="superscript"/>
                  </w:rPr>
                  <w:t>6</w:t>
                </w:r>
                <w:r>
                  <w:rPr>
                    <w:b/>
                    <w:bCs/>
                    <w:caps/>
                    <w:color w:val="000000"/>
                    <w:kern w:val="2"/>
                    <w:szCs w:val="24"/>
                  </w:rPr>
                  <w:t>, 108</w:t>
                </w:r>
                <w:r>
                  <w:rPr>
                    <w:b/>
                    <w:bCs/>
                    <w:caps/>
                    <w:color w:val="000000"/>
                    <w:kern w:val="2"/>
                    <w:szCs w:val="24"/>
                    <w:vertAlign w:val="superscript"/>
                  </w:rPr>
                  <w:t>7</w:t>
                </w:r>
                <w:r>
                  <w:rPr>
                    <w:b/>
                    <w:bCs/>
                    <w:caps/>
                    <w:color w:val="000000"/>
                    <w:kern w:val="2"/>
                    <w:szCs w:val="24"/>
                  </w:rPr>
                  <w:t>, 108</w:t>
                </w:r>
                <w:r>
                  <w:rPr>
                    <w:b/>
                    <w:bCs/>
                    <w:caps/>
                    <w:color w:val="000000"/>
                    <w:kern w:val="2"/>
                    <w:szCs w:val="24"/>
                    <w:vertAlign w:val="superscript"/>
                  </w:rPr>
                  <w:t>8</w:t>
                </w:r>
                <w:r>
                  <w:rPr>
                    <w:b/>
                    <w:bCs/>
                    <w:caps/>
                    <w:color w:val="000000"/>
                    <w:kern w:val="2"/>
                    <w:szCs w:val="24"/>
                  </w:rPr>
                  <w:t>, 108</w:t>
                </w:r>
                <w:r>
                  <w:rPr>
                    <w:b/>
                    <w:bCs/>
                    <w:caps/>
                    <w:color w:val="000000"/>
                    <w:kern w:val="2"/>
                    <w:szCs w:val="24"/>
                    <w:vertAlign w:val="superscript"/>
                  </w:rPr>
                  <w:t>9</w:t>
                </w:r>
                <w:r>
                  <w:rPr>
                    <w:b/>
                    <w:bCs/>
                    <w:caps/>
                    <w:color w:val="000000"/>
                    <w:kern w:val="2"/>
                    <w:szCs w:val="24"/>
                  </w:rPr>
                  <w:t>, 108</w:t>
                </w:r>
                <w:r>
                  <w:rPr>
                    <w:b/>
                    <w:bCs/>
                    <w:caps/>
                    <w:color w:val="000000"/>
                    <w:kern w:val="2"/>
                    <w:szCs w:val="24"/>
                    <w:vertAlign w:val="superscript"/>
                  </w:rPr>
                  <w:t>10</w:t>
                </w:r>
                <w:r>
                  <w:rPr>
                    <w:b/>
                    <w:bCs/>
                    <w:caps/>
                    <w:color w:val="000000"/>
                    <w:kern w:val="2"/>
                    <w:szCs w:val="24"/>
                  </w:rPr>
                  <w:t>, 108</w:t>
                </w:r>
                <w:r>
                  <w:rPr>
                    <w:b/>
                    <w:bCs/>
                    <w:caps/>
                    <w:color w:val="000000"/>
                    <w:kern w:val="2"/>
                    <w:szCs w:val="24"/>
                    <w:vertAlign w:val="superscript"/>
                  </w:rPr>
                  <w:t>11</w:t>
                </w:r>
                <w:r>
                  <w:rPr>
                    <w:b/>
                    <w:bCs/>
                    <w:color w:val="000000"/>
                    <w:kern w:val="2"/>
                    <w:szCs w:val="24"/>
                  </w:rPr>
                  <w:t xml:space="preserve"> straipsniais įstatymo projektas (toliau - AAĮ projektas)</w:t>
                </w:r>
              </w:p>
              <w:p>
                <w:pPr>
                  <w:jc w:val="both"/>
                  <w:rPr>
                    <w:b/>
                    <w:bCs/>
                    <w:kern w:val="2"/>
                    <w:szCs w:val="24"/>
                    <w:lang w:eastAsia="lt-LT"/>
                  </w:rPr>
                </w:pPr>
              </w:p>
            </w:tc>
            <w:tc>
              <w:tcPr>
                <w:tcW w:w="3543" w:type="dxa"/>
              </w:tcPr>
              <w:p>
                <w:pPr>
                  <w:jc w:val="center"/>
                  <w:rPr>
                    <w:rFonts w:eastAsia="Calibri"/>
                    <w:b/>
                    <w:bCs/>
                    <w:color w:val="000000"/>
                    <w:szCs w:val="24"/>
                  </w:rPr>
                </w:pPr>
                <w:r>
                  <w:rPr>
                    <w:rFonts w:eastAsia="Calibri"/>
                    <w:b/>
                    <w:bCs/>
                    <w:color w:val="000000"/>
                    <w:szCs w:val="24"/>
                  </w:rPr>
                  <w:t xml:space="preserve">ES teisės akto įgyvendinimo lygis </w:t>
                </w:r>
              </w:p>
              <w:p>
                <w:pPr>
                  <w:jc w:val="center"/>
                  <w:rPr>
                    <w:kern w:val="2"/>
                    <w:szCs w:val="24"/>
                  </w:rPr>
                </w:pPr>
              </w:p>
            </w:tc>
          </w:tr>
          <w:tr>
            <w:trPr>
              <w:trHeight w:val="42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3 straipsnis</w:t>
                </w:r>
              </w:p>
              <w:p>
                <w:pPr>
                  <w:rPr>
                    <w:sz w:val="10"/>
                    <w:szCs w:val="10"/>
                  </w:rPr>
                </w:pPr>
              </w:p>
              <w:p>
                <w:pPr>
                  <w:shd w:val="clear" w:color="auto" w:fill="FFFFFF"/>
                  <w:jc w:val="center"/>
                  <w:rPr>
                    <w:b/>
                    <w:bCs/>
                    <w:color w:val="000000"/>
                    <w:szCs w:val="24"/>
                    <w:lang w:eastAsia="lt-LT"/>
                  </w:rPr>
                </w:pPr>
                <w:r>
                  <w:rPr>
                    <w:b/>
                    <w:bCs/>
                    <w:color w:val="000000"/>
                    <w:szCs w:val="24"/>
                    <w:lang w:eastAsia="lt-LT"/>
                  </w:rPr>
                  <w:t>Terminų apibrėžtys</w:t>
                </w:r>
              </w:p>
              <w:p>
                <w:pPr>
                  <w:rPr>
                    <w:sz w:val="10"/>
                    <w:szCs w:val="10"/>
                  </w:rPr>
                </w:pPr>
              </w:p>
              <w:p>
                <w:pPr>
                  <w:shd w:val="clear" w:color="auto" w:fill="FFFFFF"/>
                  <w:jc w:val="both"/>
                  <w:rPr>
                    <w:szCs w:val="24"/>
                    <w:lang w:eastAsia="lt-LT"/>
                  </w:rPr>
                </w:pPr>
                <w:r>
                  <w:rPr>
                    <w:szCs w:val="24"/>
                    <w:lang w:eastAsia="lt-LT"/>
                  </w:rPr>
                  <w:t>1. Šiame reglamente vartojamos tokios terminų apibrėžtys:</w:t>
                </w:r>
              </w:p>
              <w:p>
                <w:pPr>
                  <w:rPr>
                    <w:sz w:val="8"/>
                    <w:szCs w:val="8"/>
                  </w:rPr>
                </w:pPr>
              </w:p>
              <w:p>
                <w:pPr>
                  <w:jc w:val="both"/>
                  <w:rPr>
                    <w:szCs w:val="24"/>
                    <w:lang w:eastAsia="lt-LT"/>
                  </w:rPr>
                </w:pPr>
                <w:r>
                  <w:rPr>
                    <w:szCs w:val="24"/>
                    <w:lang w:eastAsia="lt-LT"/>
                  </w:rPr>
                  <w:t>[...]</w:t>
                </w:r>
              </w:p>
              <w:p>
                <w:pPr>
                  <w:rPr>
                    <w:sz w:val="10"/>
                    <w:szCs w:val="10"/>
                  </w:rPr>
                </w:pPr>
              </w:p>
              <w:p>
                <w:pPr>
                  <w:shd w:val="clear" w:color="auto" w:fill="FFFFFF"/>
                  <w:jc w:val="both"/>
                  <w:rPr>
                    <w:szCs w:val="24"/>
                    <w:lang w:eastAsia="lt-LT"/>
                  </w:rPr>
                </w:pPr>
                <w:r>
                  <w:rPr>
                    <w:szCs w:val="24"/>
                    <w:lang w:eastAsia="lt-LT"/>
                  </w:rPr>
                  <w:t>2. I priede pateikiamas orientacinis gaminių, kuriuos apima šio straipsnio 1 dalies pirmos pastraipos 1 punkte pateikta termino „pakuotė“ apibrėžtis, sąrašas.</w:t>
                </w:r>
              </w:p>
            </w:tc>
            <w:tc>
              <w:tcPr>
                <w:tcW w:w="5529" w:type="dxa"/>
              </w:tcPr>
              <w:p>
                <w:pPr>
                  <w:widowControl w:val="0"/>
                  <w:shd w:val="clear" w:color="auto" w:fill="FFFFFF"/>
                  <w:spacing w:line="23" w:lineRule="atLeast"/>
                  <w:rPr>
                    <w:b/>
                    <w:bCs/>
                    <w:color w:val="000000"/>
                    <w:szCs w:val="24"/>
                    <w:lang w:eastAsia="lt-LT"/>
                  </w:rPr>
                </w:pPr>
                <w:r>
                  <w:rPr>
                    <w:b/>
                    <w:bCs/>
                    <w:color w:val="000000"/>
                    <w:szCs w:val="24"/>
                    <w:lang w:eastAsia="lt-LT"/>
                  </w:rPr>
                  <w:t>PPATĮ projektas</w:t>
                </w:r>
              </w:p>
              <w:p>
                <w:pPr>
                  <w:widowControl w:val="0"/>
                  <w:shd w:val="clear" w:color="auto" w:fill="FFFFFF"/>
                  <w:spacing w:line="23" w:lineRule="atLeast"/>
                  <w:rPr>
                    <w:szCs w:val="24"/>
                    <w:lang w:eastAsia="lt-LT"/>
                  </w:rPr>
                </w:pPr>
                <w:r>
                  <w:rPr>
                    <w:b/>
                    <w:bCs/>
                    <w:color w:val="000000"/>
                    <w:szCs w:val="24"/>
                    <w:lang w:eastAsia="lt-LT"/>
                  </w:rPr>
                  <w:t xml:space="preserve">2 straipsnis. </w:t>
                </w:r>
                <w:r>
                  <w:rPr>
                    <w:szCs w:val="24"/>
                    <w:lang w:eastAsia="lt-LT"/>
                  </w:rPr>
                  <w:t>Pagrindinės šio Įstatymo sąvokos</w:t>
                </w:r>
              </w:p>
              <w:p>
                <w:pPr>
                  <w:jc w:val="both"/>
                  <w:rPr>
                    <w:color w:val="000000"/>
                    <w:kern w:val="2"/>
                    <w:szCs w:val="24"/>
                  </w:rPr>
                </w:pPr>
                <w:r>
                  <w:rPr>
                    <w:color w:val="000000"/>
                    <w:kern w:val="2"/>
                    <w:szCs w:val="24"/>
                  </w:rPr>
                  <w:t xml:space="preserve">14. Kitos šiame įstatyme vartojamos sąvokos suprantamos taip, kaip apibrėžtos Lietuvos Respublikos alkoholio kontrolės įstatyme, Lietuvos Respublikos atliekų tvarkymo įstatyme, Lietuvos Respublikos augalų apsaugos įstatyme bei Reglamente </w:t>
                </w:r>
                <w:fldSimple w:instr="HYPERLINK http://eur-lex.europa.eu/legal-content/LIT/TXT/?uri=CELEX:32025R0040&amp;locale=lt \t _blank">
                  <w:r>
                    <w:rPr>
                      <w:color w:val="0000FF" w:themeColor="hyperlink"/>
                      <w:kern w:val="2"/>
                      <w:szCs w:val="24"/>
                      <w:u w:val="single"/>
                    </w:rPr>
                    <w:t>(ES) 2025/40</w:t>
                  </w:r>
                </w:fldSimple>
                <w:r>
                  <w:rPr>
                    <w:color w:val="000000"/>
                    <w:kern w:val="2"/>
                    <w:szCs w:val="24"/>
                  </w:rPr>
                  <w:t>.</w:t>
                </w:r>
              </w:p>
              <w:p>
                <w:pPr>
                  <w:jc w:val="both"/>
                  <w:rPr>
                    <w:kern w:val="2"/>
                    <w:szCs w:val="24"/>
                  </w:rPr>
                </w:pPr>
                <w:r>
                  <w:rPr>
                    <w:color w:val="000000"/>
                    <w:kern w:val="2"/>
                    <w:szCs w:val="24"/>
                  </w:rPr>
                  <w:t xml:space="preserve">15. Ūkininkai, pakuojantys į pirminės gamybos pakuotes šienainį, naudojamą ūkininkavimo veikloje, nelaikomi gamintojais  pagal Reglamento </w:t>
                </w:r>
                <w:fldSimple w:instr="HYPERLINK http://eur-lex.europa.eu/legal-content/LIT/TXT/?uri=CELEX:32025R0040&amp;locale=lt \t _blank">
                  <w:r>
                    <w:rPr>
                      <w:color w:val="0000FF" w:themeColor="hyperlink"/>
                      <w:kern w:val="2"/>
                      <w:szCs w:val="24"/>
                      <w:u w:val="single"/>
                    </w:rPr>
                    <w:t>(ES) 2025/40</w:t>
                  </w:r>
                </w:fldSimple>
                <w:r>
                  <w:rPr>
                    <w:color w:val="000000"/>
                    <w:kern w:val="2"/>
                    <w:szCs w:val="24"/>
                  </w:rPr>
                  <w:t xml:space="preserve"> 3 straipsnio 1 dalies 15 punkte apibrėžtą sąvoką „Gamintojas“, jeigu pirminė gamybos pakuotė įsigyta iš kito subjekto, kuris pirmą kartą patiekė ją Lietuvos Respublikos vidaus rinkai ir kuriam dėl to tenka atsakomybė už gamintojo pareigų vykdymą. Išimtis taikoma, kai ūkininkas pats importuoja pakuotę ar supakuotą produktą – tokiu atveju jis laikomas gamintoju ir jam tenka atsakomybė už gamintojo pareigų vykdymą. </w:t>
                </w:r>
              </w:p>
            </w:tc>
            <w:tc>
              <w:tcPr>
                <w:tcW w:w="3543" w:type="dxa"/>
              </w:tcPr>
              <w:p>
                <w:pPr>
                  <w:jc w:val="center"/>
                  <w:rPr>
                    <w:b/>
                    <w:bCs/>
                    <w:kern w:val="2"/>
                    <w:szCs w:val="24"/>
                  </w:rPr>
                </w:pPr>
                <w:r>
                  <w:rPr>
                    <w:b/>
                    <w:bCs/>
                    <w:kern w:val="2"/>
                    <w:szCs w:val="24"/>
                  </w:rPr>
                  <w:t>Visiškas</w:t>
                </w: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6 straipsnis</w:t>
                </w:r>
              </w:p>
              <w:p>
                <w:pPr>
                  <w:rPr>
                    <w:sz w:val="10"/>
                    <w:szCs w:val="10"/>
                  </w:rPr>
                </w:pPr>
              </w:p>
              <w:p>
                <w:pPr>
                  <w:shd w:val="clear" w:color="auto" w:fill="FFFFFF"/>
                  <w:jc w:val="center"/>
                  <w:rPr>
                    <w:b/>
                    <w:bCs/>
                    <w:color w:val="000000"/>
                    <w:szCs w:val="24"/>
                    <w:lang w:eastAsia="lt-LT"/>
                  </w:rPr>
                </w:pPr>
                <w:r>
                  <w:rPr>
                    <w:b/>
                    <w:bCs/>
                    <w:color w:val="000000"/>
                    <w:szCs w:val="24"/>
                    <w:lang w:eastAsia="lt-LT"/>
                  </w:rPr>
                  <w:t>Tinkamos perdirbti pakuotės</w:t>
                </w:r>
              </w:p>
              <w:p>
                <w:pPr>
                  <w:rPr>
                    <w:sz w:val="10"/>
                    <w:szCs w:val="10"/>
                  </w:rPr>
                </w:pPr>
              </w:p>
              <w:p>
                <w:pPr>
                  <w:shd w:val="clear" w:color="auto" w:fill="FFFFFF"/>
                  <w:jc w:val="both"/>
                  <w:rPr>
                    <w:szCs w:val="24"/>
                    <w:lang w:eastAsia="lt-LT"/>
                  </w:rPr>
                </w:pPr>
                <w:r>
                  <w:rPr>
                    <w:szCs w:val="24"/>
                    <w:lang w:eastAsia="lt-LT"/>
                  </w:rPr>
                  <w:t>1. Visos rinkai pateiktos pakuotės turi būti tinkamos perdirbti</w:t>
                </w:r>
              </w:p>
              <w:p>
                <w:pPr>
                  <w:rPr>
                    <w:sz w:val="8"/>
                    <w:szCs w:val="8"/>
                  </w:rPr>
                </w:pPr>
              </w:p>
              <w:p>
                <w:pPr>
                  <w:jc w:val="both"/>
                  <w:rPr>
                    <w:szCs w:val="24"/>
                    <w:lang w:eastAsia="lt-LT"/>
                  </w:rPr>
                </w:pPr>
                <w:r>
                  <w:rPr>
                    <w:szCs w:val="24"/>
                    <w:lang w:eastAsia="lt-LT"/>
                  </w:rPr>
                  <w:t>[...]</w:t>
                </w:r>
              </w:p>
              <w:p>
                <w:pPr>
                  <w:rPr>
                    <w:sz w:val="10"/>
                    <w:szCs w:val="10"/>
                  </w:rPr>
                </w:pPr>
              </w:p>
              <w:p>
                <w:pPr>
                  <w:shd w:val="clear" w:color="auto" w:fill="FFFFFF"/>
                  <w:jc w:val="both"/>
                  <w:rPr>
                    <w:szCs w:val="24"/>
                    <w:lang w:eastAsia="lt-LT"/>
                  </w:rPr>
                </w:pPr>
                <w:r>
                  <w:rPr>
                    <w:szCs w:val="24"/>
                    <w:lang w:eastAsia="lt-LT"/>
                  </w:rPr>
                  <w:t>12. Ne vėliau kaip 2035 m. sausio 1 d. Komisija peržiūri 11 dalyje nurodytas išimtis, atsižvelgdama bent į rūšiavimo bei perdirbimo technologijų raidą ir į ekonominės veiklos vykdytojų bei valstybių narių įgytą praktinę patirtį. Tuo remdamasi Komisija įvertina tų išimčių tolesnio taikymo tinkamumą ir, kai tikslinga, pateikia pasiūlymą dėl teisėkūros procedūra priimamo akto.</w:t>
                </w:r>
              </w:p>
              <w:p>
                <w:pPr>
                  <w:rPr>
                    <w:sz w:val="8"/>
                    <w:szCs w:val="8"/>
                  </w:rPr>
                </w:pPr>
              </w:p>
              <w:p>
                <w:pPr>
                  <w:jc w:val="center"/>
                  <w:rPr>
                    <w:color w:val="000000"/>
                    <w:szCs w:val="24"/>
                    <w:lang w:eastAsia="lt-LT"/>
                  </w:rPr>
                </w:pP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5 straipsnis</w:t>
                </w:r>
              </w:p>
              <w:p>
                <w:pPr>
                  <w:rPr>
                    <w:sz w:val="10"/>
                    <w:szCs w:val="10"/>
                  </w:rPr>
                </w:pPr>
              </w:p>
              <w:p>
                <w:pPr>
                  <w:shd w:val="clear" w:color="auto" w:fill="FFFFFF"/>
                  <w:jc w:val="center"/>
                  <w:rPr>
                    <w:b/>
                    <w:bCs/>
                    <w:color w:val="000000"/>
                    <w:szCs w:val="24"/>
                    <w:lang w:eastAsia="lt-LT"/>
                  </w:rPr>
                </w:pPr>
                <w:r>
                  <w:rPr>
                    <w:b/>
                    <w:bCs/>
                    <w:color w:val="000000"/>
                    <w:szCs w:val="24"/>
                    <w:lang w:eastAsia="lt-LT"/>
                  </w:rPr>
                  <w:t>Pagrindiniai pakuočių reikalavimai</w:t>
                </w:r>
              </w:p>
              <w:p>
                <w:pPr>
                  <w:rPr>
                    <w:sz w:val="10"/>
                    <w:szCs w:val="10"/>
                  </w:rPr>
                </w:pPr>
              </w:p>
              <w:p>
                <w:pPr>
                  <w:widowControl w:val="0"/>
                  <w:ind w:firstLine="720"/>
                  <w:jc w:val="both"/>
                  <w:rPr>
                    <w:color w:val="D13438"/>
                    <w:kern w:val="2"/>
                    <w:szCs w:val="24"/>
                    <w:u w:val="single"/>
                  </w:rPr>
                </w:pPr>
              </w:p>
              <w:p>
                <w:pPr>
                  <w:widowControl w:val="0"/>
                  <w:jc w:val="both"/>
                  <w:rPr>
                    <w:kern w:val="2"/>
                    <w:szCs w:val="24"/>
                  </w:rPr>
                </w:pPr>
                <w:r>
                  <w:rPr>
                    <w:kern w:val="2"/>
                    <w:szCs w:val="24"/>
                  </w:rPr>
                  <w:t xml:space="preserve">9. Lietuvos Respublikos vidaus rinkai gali būti tiekiamos tik tokios pakuotės, kurios atitinka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6 straipsnyje numatytus tinkamumo perdirbti reikalavimus. Ši nuostata netaikoma pakuotėms, kurioms taikomos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6 straipsnio 11 dalyje numatytos išimtys.</w:t>
                </w: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7 straipsnis</w:t>
                </w:r>
              </w:p>
              <w:p>
                <w:pPr>
                  <w:rPr>
                    <w:sz w:val="10"/>
                    <w:szCs w:val="10"/>
                  </w:rPr>
                </w:pPr>
              </w:p>
              <w:p>
                <w:pPr>
                  <w:shd w:val="clear" w:color="auto" w:fill="FFFFFF"/>
                  <w:jc w:val="center"/>
                  <w:rPr>
                    <w:b/>
                    <w:bCs/>
                    <w:color w:val="000000"/>
                    <w:szCs w:val="24"/>
                    <w:lang w:eastAsia="lt-LT"/>
                  </w:rPr>
                </w:pPr>
                <w:r>
                  <w:rPr>
                    <w:b/>
                    <w:bCs/>
                    <w:color w:val="000000"/>
                    <w:szCs w:val="24"/>
                    <w:lang w:eastAsia="lt-LT"/>
                  </w:rPr>
                  <w:t>Tinkamos perdirbti pakuotės</w:t>
                </w:r>
              </w:p>
              <w:p>
                <w:pPr>
                  <w:rPr>
                    <w:sz w:val="10"/>
                    <w:szCs w:val="10"/>
                  </w:rPr>
                </w:pPr>
              </w:p>
              <w:p>
                <w:pPr>
                  <w:shd w:val="clear" w:color="auto" w:fill="FFFFFF"/>
                  <w:jc w:val="both"/>
                  <w:rPr>
                    <w:szCs w:val="24"/>
                    <w:lang w:eastAsia="lt-LT"/>
                  </w:rPr>
                </w:pPr>
                <w:r>
                  <w:rPr>
                    <w:szCs w:val="24"/>
                    <w:lang w:eastAsia="lt-LT"/>
                  </w:rPr>
                  <w:t>1. Ne vėliau kaip 2030 m. sausio 1 d. arba praėjus 3 metams nuo šio straipsnio 8 dalyje nurodyto įgyvendinimo akto įsigaliojimo dienos, atsižvelgiant į tai, kuri data yra vėlesnė, bet kurioje rinkai pateikiamų pakuočių plastikinėje dalyje turi būti toliau nurodyta minimali perdirbtų medžiagų, gautų perdirbus vartotojų plastiko atliekas, procentinė dalis pagal pakuočių rūšį ir formą, kaip nurodyta II priedo 1 lentelėje, apskaičiuota kaip gamyklos ir metų vidurkis:</w:t>
                </w:r>
              </w:p>
              <w:p>
                <w:pPr>
                  <w:rPr>
                    <w:sz w:val="8"/>
                    <w:szCs w:val="8"/>
                  </w:rPr>
                </w:pPr>
              </w:p>
              <w:p>
                <w:pPr>
                  <w:jc w:val="both"/>
                  <w:rPr>
                    <w:szCs w:val="24"/>
                    <w:lang w:eastAsia="lt-LT"/>
                  </w:rPr>
                </w:pPr>
                <w:r>
                  <w:rPr>
                    <w:szCs w:val="24"/>
                    <w:lang w:eastAsia="lt-LT"/>
                  </w:rPr>
                  <w:t>[...]</w:t>
                </w:r>
              </w:p>
              <w:p>
                <w:pPr>
                  <w:rPr>
                    <w:sz w:val="10"/>
                    <w:szCs w:val="10"/>
                  </w:rPr>
                </w:pPr>
              </w:p>
              <w:p>
                <w:pPr>
                  <w:shd w:val="clear" w:color="auto" w:fill="FFFFFF"/>
                  <w:jc w:val="both"/>
                  <w:rPr>
                    <w:szCs w:val="24"/>
                    <w:lang w:eastAsia="lt-LT"/>
                  </w:rPr>
                </w:pPr>
                <w:r>
                  <w:rPr>
                    <w:szCs w:val="24"/>
                    <w:lang w:eastAsia="lt-LT"/>
                  </w:rPr>
                  <w:t>15. Ne vėliau kaip 2032 m. vasario 12 d. Komisija peržiūri su perdirbtų pakuočių medžiagų naudojimu pakuotėse, išskyrus plastikines pakuotes, susijusią padėtį ir tuo remdamasi įvertina, ar tikslinga nustatyti priemones arba iškelti tikslus siekiant padidinti tokiose kitose pakuotėse naudojamų perdirbtų medžiagų dalį, ir, kai tikslinga, pateikia pasiūlymą dėl teisėkūros procedūra priimamo akto.</w:t>
                </w:r>
              </w:p>
              <w:p>
                <w:pPr>
                  <w:rPr>
                    <w:sz w:val="8"/>
                    <w:szCs w:val="8"/>
                  </w:rPr>
                </w:pPr>
              </w:p>
              <w:p>
                <w:pPr>
                  <w:jc w:val="center"/>
                  <w:rPr>
                    <w:color w:val="000000"/>
                    <w:szCs w:val="24"/>
                    <w:lang w:eastAsia="lt-LT"/>
                  </w:rPr>
                </w:pP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5 straipsnis</w:t>
                </w:r>
              </w:p>
              <w:p>
                <w:pPr>
                  <w:rPr>
                    <w:sz w:val="10"/>
                    <w:szCs w:val="10"/>
                  </w:rPr>
                </w:pPr>
              </w:p>
              <w:p>
                <w:pPr>
                  <w:shd w:val="clear" w:color="auto" w:fill="FFFFFF"/>
                  <w:jc w:val="center"/>
                  <w:rPr>
                    <w:b/>
                    <w:bCs/>
                    <w:color w:val="000000"/>
                    <w:szCs w:val="24"/>
                    <w:lang w:eastAsia="lt-LT"/>
                  </w:rPr>
                </w:pPr>
                <w:r>
                  <w:rPr>
                    <w:b/>
                    <w:bCs/>
                    <w:color w:val="000000"/>
                    <w:szCs w:val="24"/>
                    <w:lang w:eastAsia="lt-LT"/>
                  </w:rPr>
                  <w:t>Pagrindiniai pakuočių reikalavimai</w:t>
                </w:r>
              </w:p>
              <w:p>
                <w:pPr>
                  <w:rPr>
                    <w:sz w:val="10"/>
                    <w:szCs w:val="10"/>
                  </w:rPr>
                </w:pPr>
              </w:p>
              <w:p>
                <w:pPr>
                  <w:widowControl w:val="0"/>
                  <w:ind w:firstLine="720"/>
                  <w:jc w:val="both"/>
                  <w:rPr>
                    <w:color w:val="D13438"/>
                    <w:kern w:val="2"/>
                    <w:szCs w:val="24"/>
                    <w:u w:val="single"/>
                  </w:rPr>
                </w:pPr>
              </w:p>
              <w:p>
                <w:pPr>
                  <w:widowControl w:val="0"/>
                  <w:jc w:val="both"/>
                  <w:rPr>
                    <w:kern w:val="2"/>
                    <w:szCs w:val="24"/>
                  </w:rPr>
                </w:pPr>
                <w:r>
                  <w:rPr>
                    <w:kern w:val="2"/>
                    <w:szCs w:val="24"/>
                  </w:rPr>
                  <w:t xml:space="preserve">10. Lietuvos Respublikos vidaus rinkai gali būti tiekiamos tik tokios plastikinės pakuotės, kurios atitinka perdirbtų medžiagų dalies reikalavimus, nustatytus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7 straipsnyje pagal pakuotės rūšį ir formą. Ši nuostata netaikoma pakuotėms, kurioms taikomos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7 straipsnio 4 ir 5 dalyse numatytos išimtys.</w:t>
                </w:r>
              </w:p>
              <w:p>
                <w:pPr>
                  <w:widowControl w:val="0"/>
                  <w:ind w:firstLine="720"/>
                  <w:jc w:val="both"/>
                  <w:rPr>
                    <w:kern w:val="2"/>
                    <w:szCs w:val="24"/>
                  </w:rPr>
                </w:pP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9 straipsnis</w:t>
                </w:r>
              </w:p>
              <w:p>
                <w:pPr>
                  <w:rPr>
                    <w:sz w:val="10"/>
                    <w:szCs w:val="10"/>
                  </w:rPr>
                </w:pPr>
              </w:p>
              <w:p>
                <w:pPr>
                  <w:shd w:val="clear" w:color="auto" w:fill="FFFFFF"/>
                  <w:jc w:val="center"/>
                  <w:rPr>
                    <w:b/>
                    <w:bCs/>
                    <w:color w:val="000000"/>
                    <w:szCs w:val="24"/>
                    <w:lang w:eastAsia="lt-LT"/>
                  </w:rPr>
                </w:pPr>
                <w:r>
                  <w:rPr>
                    <w:b/>
                    <w:bCs/>
                    <w:color w:val="000000"/>
                    <w:szCs w:val="24"/>
                    <w:lang w:eastAsia="lt-LT"/>
                  </w:rPr>
                  <w:t>Kompostuojamos pakuotės</w:t>
                </w:r>
              </w:p>
              <w:p>
                <w:pPr>
                  <w:rPr>
                    <w:sz w:val="10"/>
                    <w:szCs w:val="10"/>
                  </w:rPr>
                </w:pPr>
              </w:p>
              <w:p>
                <w:pPr>
                  <w:jc w:val="both"/>
                  <w:rPr>
                    <w:szCs w:val="24"/>
                    <w:lang w:eastAsia="lt-LT"/>
                  </w:rPr>
                </w:pPr>
                <w:r>
                  <w:rPr>
                    <w:szCs w:val="24"/>
                    <w:lang w:eastAsia="lt-LT"/>
                  </w:rPr>
                  <w:t>1. Nukrypstant nuo 6 straipsnio 1 dalies, ne vėliau kaip 2028 m. vasario 12 d. turi būti užtikrinta, kad rinkai pateikiamos 3 straipsnio 1 dalies 1 punkto f papunktyje nurodytos pakuotės ir ant vaisių bei daržovių klijuojamos lipnios etiketės atitiktų kompostavimo pramoniniu būdu kontroliuojamomis sąlygomis biologinių atliekų apdorojimo įrenginiuose standartą, ir, kai valstybės narės to reikalauja, atitiktų šio straipsnio 6 dalyje nurodytus kompostavimo namų sąlygomis standartus.</w:t>
                </w:r>
              </w:p>
              <w:p>
                <w:pPr>
                  <w:rPr>
                    <w:sz w:val="8"/>
                    <w:szCs w:val="8"/>
                  </w:rPr>
                </w:pPr>
              </w:p>
              <w:p>
                <w:pPr>
                  <w:jc w:val="both"/>
                  <w:rPr>
                    <w:szCs w:val="24"/>
                    <w:lang w:eastAsia="lt-LT"/>
                  </w:rPr>
                </w:pPr>
                <w:r>
                  <w:rPr>
                    <w:szCs w:val="24"/>
                    <w:lang w:eastAsia="lt-LT"/>
                  </w:rPr>
                  <w:t>[...]</w:t>
                </w:r>
              </w:p>
              <w:p>
                <w:pPr>
                  <w:rPr>
                    <w:sz w:val="8"/>
                    <w:szCs w:val="8"/>
                  </w:rPr>
                </w:pPr>
              </w:p>
              <w:p>
                <w:pPr>
                  <w:jc w:val="both"/>
                  <w:rPr>
                    <w:szCs w:val="24"/>
                    <w:lang w:eastAsia="lt-LT"/>
                  </w:rPr>
                </w:pPr>
                <w:r>
                  <w:rPr>
                    <w:szCs w:val="24"/>
                    <w:lang w:eastAsia="lt-LT"/>
                  </w:rPr>
                  <w:t>6. Ne vėliau kaip 2026 m. vasario 12 d. Komisija paprašo Europos standartizacijos organizacijų parengti arba atnaujinti darniuosius standartus, kuriuose nustatomos išsamios reikalavimų dėl kompostuojamųjų pakuočių techninės specifikacijos. Tai darydama Komisija paprašo, kad, atsižvelgiant į naujausią mokslo ir technikos pažangą, būtų atsižvelgiama į tokius parametrus, kaip išlaikymo trukmė, temperatūra ir maišymas, kurie atspindi realias sąlygas namų komposte ir biologinių atliekų apdorojimo įrenginiuose, įskaitant anaerobinio skaidymo procesus. Komisija prašo, kad į tuos standartus būtų įtrauktas patikrinimas, ar pagal nustatytus parametrus biologiškai skaidomos kompostuojamosios pakuotės galiausiai virsta anglies dioksidu arba, nesant deguonies, – metanu, ir mineralinėmis druskomis, biomase bei vandeniu. Ne vėliau kaip 2026 m. vasario 12 d. Komisija taip pat paprašo Europos standartizacijos organizacijų parengti darniuosius standartus, kuriuose nustatomos išsamios reikalavimų dėl 1 dalyje nurodytų kompostavimo namų sąlygomis pakuočių techninės specifikacijos.</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5 straipsnis</w:t>
                </w:r>
              </w:p>
              <w:p>
                <w:pPr>
                  <w:rPr>
                    <w:sz w:val="10"/>
                    <w:szCs w:val="10"/>
                  </w:rPr>
                </w:pPr>
              </w:p>
              <w:p>
                <w:pPr>
                  <w:shd w:val="clear" w:color="auto" w:fill="FFFFFF"/>
                  <w:jc w:val="center"/>
                  <w:rPr>
                    <w:b/>
                    <w:bCs/>
                    <w:color w:val="000000"/>
                    <w:szCs w:val="24"/>
                    <w:lang w:eastAsia="lt-LT"/>
                  </w:rPr>
                </w:pPr>
                <w:r>
                  <w:rPr>
                    <w:b/>
                    <w:bCs/>
                    <w:color w:val="000000"/>
                    <w:szCs w:val="24"/>
                    <w:lang w:eastAsia="lt-LT"/>
                  </w:rPr>
                  <w:t>Pagrindiniai pakuočių reikalavimai</w:t>
                </w:r>
              </w:p>
              <w:p>
                <w:pPr>
                  <w:rPr>
                    <w:sz w:val="10"/>
                    <w:szCs w:val="10"/>
                  </w:rPr>
                </w:pPr>
              </w:p>
              <w:p>
                <w:pPr>
                  <w:widowControl w:val="0"/>
                  <w:ind w:firstLine="720"/>
                  <w:jc w:val="both"/>
                  <w:rPr>
                    <w:color w:val="D13438"/>
                    <w:kern w:val="2"/>
                    <w:szCs w:val="24"/>
                    <w:u w:val="single"/>
                  </w:rPr>
                </w:pPr>
              </w:p>
              <w:p>
                <w:pPr>
                  <w:widowControl w:val="0"/>
                  <w:jc w:val="both"/>
                  <w:rPr>
                    <w:kern w:val="2"/>
                    <w:szCs w:val="24"/>
                  </w:rPr>
                </w:pPr>
                <w:r>
                  <w:rPr>
                    <w:kern w:val="2"/>
                    <w:szCs w:val="24"/>
                  </w:rPr>
                  <w:t xml:space="preserve">8. Lietuvos Respublikos vidaus rinkai gali būti tiekiamos tik tokios kompostuojamosios pakuotės, kurios atitinka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9 straipsnyje nustatytus reikalavimus.</w:t>
                </w:r>
              </w:p>
              <w:p>
                <w:pPr>
                  <w:widowControl w:val="0"/>
                  <w:ind w:firstLine="720"/>
                  <w:jc w:val="both"/>
                  <w:rPr>
                    <w:kern w:val="2"/>
                    <w:szCs w:val="24"/>
                  </w:rPr>
                </w:pP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10 straipsnis</w:t>
                </w:r>
              </w:p>
              <w:p>
                <w:pPr>
                  <w:rPr>
                    <w:sz w:val="10"/>
                    <w:szCs w:val="10"/>
                  </w:rPr>
                </w:pPr>
              </w:p>
              <w:p>
                <w:pPr>
                  <w:shd w:val="clear" w:color="auto" w:fill="FFFFFF"/>
                  <w:jc w:val="center"/>
                  <w:rPr>
                    <w:b/>
                    <w:bCs/>
                    <w:color w:val="000000"/>
                    <w:szCs w:val="24"/>
                    <w:lang w:eastAsia="lt-LT"/>
                  </w:rPr>
                </w:pPr>
                <w:r>
                  <w:rPr>
                    <w:b/>
                    <w:bCs/>
                    <w:color w:val="000000"/>
                    <w:szCs w:val="24"/>
                    <w:lang w:eastAsia="lt-LT"/>
                  </w:rPr>
                  <w:t>Pakuočių kiekio mažinimas</w:t>
                </w:r>
              </w:p>
              <w:p>
                <w:pPr>
                  <w:rPr>
                    <w:sz w:val="10"/>
                    <w:szCs w:val="10"/>
                  </w:rPr>
                </w:pPr>
              </w:p>
              <w:p>
                <w:pPr>
                  <w:jc w:val="both"/>
                  <w:rPr>
                    <w:szCs w:val="24"/>
                    <w:lang w:eastAsia="lt-LT"/>
                  </w:rPr>
                </w:pPr>
                <w:r>
                  <w:rPr>
                    <w:szCs w:val="24"/>
                    <w:lang w:eastAsia="lt-LT"/>
                  </w:rPr>
                  <w:t>1. Ne vėliau kaip 2030 m. sausio 1 d. fizinis gamintojas arba importuotojas užtikrina, kad rinkai pateikiamos pakuotės būtų suprojektuotos taip, kad jų svoris ir tūris būtų sumažinti iki minimumo, būtino jų funkcionalumui užtikrinti, atsižvelgiant į pavidalą ir medžiagą, iš kurios jos pagamintos.</w:t>
                </w:r>
              </w:p>
              <w:p>
                <w:pPr>
                  <w:rPr>
                    <w:sz w:val="8"/>
                    <w:szCs w:val="8"/>
                  </w:rPr>
                </w:pPr>
              </w:p>
              <w:p>
                <w:pPr>
                  <w:jc w:val="both"/>
                  <w:rPr>
                    <w:szCs w:val="24"/>
                    <w:lang w:eastAsia="lt-LT"/>
                  </w:rPr>
                </w:pPr>
                <w:r>
                  <w:rPr>
                    <w:szCs w:val="24"/>
                    <w:lang w:eastAsia="lt-LT"/>
                  </w:rPr>
                  <w:t>[...]</w:t>
                </w:r>
              </w:p>
              <w:p>
                <w:pPr>
                  <w:rPr>
                    <w:sz w:val="8"/>
                    <w:szCs w:val="8"/>
                  </w:rPr>
                </w:pPr>
              </w:p>
              <w:p>
                <w:pPr>
                  <w:jc w:val="both"/>
                  <w:rPr>
                    <w:szCs w:val="24"/>
                    <w:lang w:eastAsia="lt-LT"/>
                  </w:rPr>
                </w:pPr>
                <w:r>
                  <w:rPr>
                    <w:szCs w:val="24"/>
                    <w:lang w:eastAsia="lt-LT"/>
                  </w:rPr>
                  <w:t>Vertinant daugkartinių pakuočių atitiktį šio straipsnio 1 dalyje nustatytiems reikalavimams, atsižvelgiama į tokių pakuočių savybes ir visų pirma 11 straipsnyje nustatytus reikalavimus.</w:t>
                </w:r>
              </w:p>
              <w:p>
                <w:pPr>
                  <w:rPr>
                    <w:sz w:val="8"/>
                    <w:szCs w:val="8"/>
                  </w:rPr>
                </w:pPr>
              </w:p>
              <w:p>
                <w:pPr>
                  <w:jc w:val="center"/>
                  <w:rPr>
                    <w:color w:val="000000"/>
                    <w:szCs w:val="24"/>
                    <w:lang w:eastAsia="lt-LT"/>
                  </w:rPr>
                </w:pP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5 straipsnis</w:t>
                </w:r>
              </w:p>
              <w:p>
                <w:pPr>
                  <w:rPr>
                    <w:sz w:val="10"/>
                    <w:szCs w:val="10"/>
                  </w:rPr>
                </w:pPr>
              </w:p>
              <w:p>
                <w:pPr>
                  <w:shd w:val="clear" w:color="auto" w:fill="FFFFFF"/>
                  <w:jc w:val="center"/>
                  <w:rPr>
                    <w:b/>
                    <w:bCs/>
                    <w:color w:val="000000"/>
                    <w:szCs w:val="24"/>
                    <w:lang w:eastAsia="lt-LT"/>
                  </w:rPr>
                </w:pPr>
                <w:r>
                  <w:rPr>
                    <w:b/>
                    <w:bCs/>
                    <w:color w:val="000000"/>
                    <w:szCs w:val="24"/>
                    <w:lang w:eastAsia="lt-LT"/>
                  </w:rPr>
                  <w:t>Pagrindiniai pakuočių reikalavimai</w:t>
                </w:r>
              </w:p>
              <w:p>
                <w:pPr>
                  <w:rPr>
                    <w:sz w:val="10"/>
                    <w:szCs w:val="10"/>
                  </w:rPr>
                </w:pPr>
              </w:p>
              <w:p>
                <w:pPr>
                  <w:widowControl w:val="0"/>
                  <w:ind w:firstLine="720"/>
                  <w:jc w:val="both"/>
                  <w:rPr>
                    <w:color w:val="D13438"/>
                    <w:kern w:val="2"/>
                    <w:szCs w:val="24"/>
                    <w:u w:val="single"/>
                  </w:rPr>
                </w:pPr>
              </w:p>
              <w:p>
                <w:pPr>
                  <w:widowControl w:val="0"/>
                  <w:jc w:val="both"/>
                  <w:rPr>
                    <w:strike/>
                    <w:kern w:val="2"/>
                    <w:szCs w:val="24"/>
                  </w:rPr>
                </w:pPr>
                <w:r>
                  <w:rPr>
                    <w:kern w:val="2"/>
                    <w:szCs w:val="24"/>
                  </w:rPr>
                  <w:t xml:space="preserve">11. Lietuvos Respublikos vidaus rinkai gali būti tiekiamos tik tokios pakuotės, kurios atitinka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10 straipsnyje nustatytų pakuočių kiekio mažinimo reikalavimus.</w:t>
                </w:r>
              </w:p>
              <w:p>
                <w:pPr>
                  <w:widowControl w:val="0"/>
                  <w:ind w:firstLine="720"/>
                  <w:jc w:val="both"/>
                  <w:rPr>
                    <w:color w:val="D13438"/>
                    <w:kern w:val="2"/>
                    <w:szCs w:val="24"/>
                    <w:u w:val="single"/>
                  </w:rPr>
                </w:pPr>
              </w:p>
              <w:p>
                <w:pPr>
                  <w:widowControl w:val="0"/>
                  <w:ind w:firstLine="720"/>
                  <w:jc w:val="both"/>
                  <w:rPr>
                    <w:kern w:val="2"/>
                    <w:szCs w:val="24"/>
                  </w:rPr>
                </w:pP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11 straipsnis</w:t>
                </w:r>
              </w:p>
              <w:p>
                <w:pPr>
                  <w:rPr>
                    <w:sz w:val="10"/>
                    <w:szCs w:val="10"/>
                  </w:rPr>
                </w:pPr>
              </w:p>
              <w:p>
                <w:pPr>
                  <w:shd w:val="clear" w:color="auto" w:fill="FFFFFF"/>
                  <w:jc w:val="center"/>
                  <w:rPr>
                    <w:b/>
                    <w:bCs/>
                    <w:color w:val="000000"/>
                    <w:szCs w:val="24"/>
                    <w:lang w:eastAsia="lt-LT"/>
                  </w:rPr>
                </w:pPr>
                <w:r>
                  <w:rPr>
                    <w:b/>
                    <w:bCs/>
                    <w:color w:val="000000"/>
                    <w:szCs w:val="24"/>
                    <w:lang w:eastAsia="lt-LT"/>
                  </w:rPr>
                  <w:t>Daugkartinės pakuotės</w:t>
                </w:r>
                <w:r>
                  <w:rPr>
                    <w:szCs w:val="24"/>
                    <w:lang w:eastAsia="lt-LT"/>
                  </w:rPr>
                  <w:t xml:space="preserve"> </w:t>
                </w:r>
              </w:p>
              <w:p>
                <w:pPr>
                  <w:rPr>
                    <w:sz w:val="10"/>
                    <w:szCs w:val="10"/>
                  </w:rPr>
                </w:pPr>
              </w:p>
              <w:p>
                <w:pPr>
                  <w:jc w:val="both"/>
                  <w:rPr>
                    <w:szCs w:val="24"/>
                    <w:lang w:eastAsia="lt-LT"/>
                  </w:rPr>
                </w:pPr>
                <w:r>
                  <w:rPr>
                    <w:szCs w:val="24"/>
                    <w:lang w:eastAsia="lt-LT"/>
                  </w:rPr>
                  <w:t>1. Pakuotės, pateikiamos rinkai nuo 2025 m. vasario 11 d., laikomos daugkartinėmis, jeigu jos atitinka visus šiuos reikalavimus:</w:t>
                </w:r>
              </w:p>
              <w:p>
                <w:pPr>
                  <w:rPr>
                    <w:sz w:val="8"/>
                    <w:szCs w:val="8"/>
                  </w:rPr>
                </w:pPr>
              </w:p>
              <w:p>
                <w:pPr>
                  <w:jc w:val="both"/>
                  <w:rPr>
                    <w:szCs w:val="24"/>
                    <w:lang w:eastAsia="lt-LT"/>
                  </w:rPr>
                </w:pPr>
                <w:r>
                  <w:rPr>
                    <w:szCs w:val="24"/>
                    <w:lang w:eastAsia="lt-LT"/>
                  </w:rPr>
                  <w:t>[...]</w:t>
                </w:r>
              </w:p>
              <w:p>
                <w:pPr>
                  <w:rPr>
                    <w:sz w:val="8"/>
                    <w:szCs w:val="8"/>
                  </w:rPr>
                </w:pPr>
              </w:p>
              <w:p>
                <w:pPr>
                  <w:jc w:val="both"/>
                  <w:rPr>
                    <w:szCs w:val="24"/>
                    <w:lang w:eastAsia="lt-LT"/>
                  </w:rPr>
                </w:pPr>
                <w:r>
                  <w:rPr>
                    <w:szCs w:val="24"/>
                    <w:lang w:eastAsia="lt-LT"/>
                  </w:rPr>
                  <w:t>3. Atitiktis šio straipsnio 1 dalyje nustatytiems reikalavimams įrodoma pateikiant VII priede nurodytą techninę informaciją apie pakuotes</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2 straipsnis</w:t>
                </w:r>
              </w:p>
              <w:p>
                <w:pPr>
                  <w:rPr>
                    <w:sz w:val="10"/>
                    <w:szCs w:val="10"/>
                  </w:rPr>
                </w:pPr>
              </w:p>
              <w:p>
                <w:pPr>
                  <w:shd w:val="clear" w:color="auto" w:fill="FFFFFF"/>
                  <w:jc w:val="center"/>
                  <w:rPr>
                    <w:b/>
                    <w:bCs/>
                    <w:color w:val="000000"/>
                    <w:szCs w:val="24"/>
                    <w:lang w:eastAsia="lt-LT"/>
                  </w:rPr>
                </w:pPr>
                <w:r>
                  <w:rPr>
                    <w:b/>
                    <w:bCs/>
                    <w:color w:val="000000"/>
                    <w:szCs w:val="24"/>
                    <w:lang w:eastAsia="lt-LT"/>
                  </w:rPr>
                  <w:t>Pagrindinės šio Įstatymo sąvokos</w:t>
                </w:r>
              </w:p>
              <w:p>
                <w:pPr>
                  <w:rPr>
                    <w:sz w:val="10"/>
                    <w:szCs w:val="10"/>
                  </w:rPr>
                </w:pPr>
              </w:p>
              <w:p>
                <w:pPr>
                  <w:widowControl w:val="0"/>
                  <w:ind w:firstLine="720"/>
                  <w:jc w:val="both"/>
                  <w:rPr>
                    <w:color w:val="D13438"/>
                    <w:kern w:val="2"/>
                    <w:szCs w:val="24"/>
                    <w:u w:val="single"/>
                  </w:rPr>
                </w:pPr>
              </w:p>
              <w:p>
                <w:pPr>
                  <w:jc w:val="both"/>
                  <w:rPr>
                    <w:kern w:val="2"/>
                    <w:szCs w:val="24"/>
                  </w:rPr>
                </w:pPr>
                <w:r>
                  <w:rPr>
                    <w:kern w:val="2"/>
                    <w:szCs w:val="24"/>
                  </w:rPr>
                  <w:t xml:space="preserve">3. Daugkartinė pakuotė – pakuotė, kuri sumanyta, sukurta ir pateikta rinkai taip, kad per jos gyvavimo ciklą ją būtų galima ne vieną kartą panaudoti vežant prekes arba iš naujo ją užpildant, arba pakartotinai naudoti tuo pačiu tikslu, kuriuo ji buvo sumanyta. Daugkartinės pakuotės turi atitikti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11 straipsnyje nustatytus reikalavimus.</w:t>
                </w: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12 straipsnis</w:t>
                </w:r>
              </w:p>
              <w:p>
                <w:pPr>
                  <w:rPr>
                    <w:sz w:val="10"/>
                    <w:szCs w:val="10"/>
                  </w:rPr>
                </w:pPr>
              </w:p>
              <w:p>
                <w:pPr>
                  <w:shd w:val="clear" w:color="auto" w:fill="FFFFFF"/>
                  <w:jc w:val="center"/>
                  <w:rPr>
                    <w:b/>
                    <w:bCs/>
                    <w:color w:val="000000"/>
                    <w:szCs w:val="24"/>
                    <w:lang w:eastAsia="lt-LT"/>
                  </w:rPr>
                </w:pPr>
                <w:r>
                  <w:rPr>
                    <w:b/>
                    <w:bCs/>
                    <w:color w:val="000000"/>
                    <w:szCs w:val="24"/>
                    <w:lang w:eastAsia="lt-LT"/>
                  </w:rPr>
                  <w:t>Pakuočių ženklinimas</w:t>
                </w:r>
              </w:p>
              <w:p>
                <w:pPr>
                  <w:rPr>
                    <w:sz w:val="10"/>
                    <w:szCs w:val="10"/>
                  </w:rPr>
                </w:pPr>
              </w:p>
              <w:p>
                <w:pPr>
                  <w:shd w:val="clear" w:color="auto" w:fill="FFFFFF"/>
                  <w:jc w:val="both"/>
                  <w:rPr>
                    <w:szCs w:val="24"/>
                    <w:lang w:eastAsia="lt-LT"/>
                  </w:rPr>
                </w:pPr>
                <w:r>
                  <w:rPr>
                    <w:szCs w:val="24"/>
                    <w:lang w:eastAsia="lt-LT"/>
                  </w:rPr>
                  <w:t>1. Nuo 2028 m. rugpjūčio 12 d. arba praėjus 24 mėnesiams nuo įgyvendinimo aktų, priimtų pagal šio straipsnio 6 arba 7 dalį, įsigaliojimo dienos, atsižvelgiant į tai, kuri data yra vėlesnė, rinkai pateikiamos pakuotės žymimos suderintu ženklu, kuriame pateikiama informacija apie jų sudėtyje esančias medžiagas, kad vartotojams būtų lengviau rūšiuoti. Ženklas turi būti grindžiamas piktogramomis ir jis turi būti lengvai suprantamas, be kita ko, asmenims su negalia. 9 straipsnio 1 dalyje ir, kai taikytina, 9 straipsnio 2 dalyje nurodytų pakuočių atveju ženkle nurodoma, kad medžiaga yra tinkama kompostuoti, kad ji nėra tinkama kompostuoti namų sąlygomis ir kad kompostuojamosios pakuotės neturi būti išmetamos gamtoje. Išskyrus e. prekybos siuntų pakuočių atveju, ta pareiga neapima transportavimo pakuočių ir pakuočių, kurioms taikoma užstato grąžinimo sistema.</w:t>
                </w:r>
              </w:p>
              <w:p>
                <w:pPr>
                  <w:rPr>
                    <w:sz w:val="10"/>
                    <w:szCs w:val="10"/>
                  </w:rPr>
                </w:pPr>
              </w:p>
              <w:p>
                <w:pPr>
                  <w:jc w:val="both"/>
                  <w:rPr>
                    <w:szCs w:val="24"/>
                    <w:lang w:eastAsia="lt-LT"/>
                  </w:rPr>
                </w:pPr>
                <w:r>
                  <w:rPr>
                    <w:szCs w:val="24"/>
                    <w:lang w:eastAsia="lt-LT"/>
                  </w:rPr>
                  <w:t>[...]</w:t>
                </w:r>
              </w:p>
              <w:p>
                <w:pPr>
                  <w:rPr>
                    <w:sz w:val="8"/>
                    <w:szCs w:val="8"/>
                  </w:rPr>
                </w:pPr>
              </w:p>
              <w:p>
                <w:pPr>
                  <w:shd w:val="clear" w:color="auto" w:fill="FFFFFF"/>
                  <w:jc w:val="both"/>
                  <w:rPr>
                    <w:szCs w:val="24"/>
                    <w:lang w:eastAsia="lt-LT"/>
                  </w:rPr>
                </w:pPr>
                <w:r>
                  <w:rPr>
                    <w:szCs w:val="24"/>
                    <w:lang w:eastAsia="lt-LT"/>
                  </w:rPr>
                  <w:t>12. 1, 2 ir 4 dalyse nurodytos pakuotės, pagamintos Sąjungoje arba importuotos iki tose dalyse nurodytų terminų, neatitinkančios tose dalyse išdėstytų kriterijų, gali būti pateikiamos rinkai 3 metus nuo tose dalyse nustatytų ženklinimo reikalavimų įsigaliojimo dienos.</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6 straipsnis</w:t>
                </w:r>
              </w:p>
              <w:p>
                <w:pPr>
                  <w:rPr>
                    <w:sz w:val="10"/>
                    <w:szCs w:val="10"/>
                  </w:rPr>
                </w:pPr>
              </w:p>
              <w:p>
                <w:pPr>
                  <w:shd w:val="clear" w:color="auto" w:fill="FFFFFF"/>
                  <w:jc w:val="center"/>
                  <w:rPr>
                    <w:b/>
                    <w:bCs/>
                    <w:color w:val="000000"/>
                    <w:szCs w:val="24"/>
                    <w:lang w:eastAsia="lt-LT"/>
                  </w:rPr>
                </w:pPr>
                <w:r>
                  <w:rPr>
                    <w:b/>
                    <w:bCs/>
                    <w:color w:val="000000"/>
                    <w:szCs w:val="24"/>
                    <w:lang w:eastAsia="lt-LT"/>
                  </w:rPr>
                  <w:t>Pakuočių ženklinimas</w:t>
                </w:r>
              </w:p>
              <w:p>
                <w:pPr>
                  <w:rPr>
                    <w:sz w:val="10"/>
                    <w:szCs w:val="10"/>
                  </w:rPr>
                </w:pPr>
              </w:p>
              <w:p>
                <w:pPr>
                  <w:rPr>
                    <w:b/>
                    <w:bCs/>
                    <w:color w:val="751D20"/>
                    <w:kern w:val="2"/>
                    <w:szCs w:val="24"/>
                    <w:u w:val="single"/>
                    <w:lang w:val="lt"/>
                  </w:rPr>
                </w:pPr>
              </w:p>
              <w:p>
                <w:pPr>
                  <w:rPr>
                    <w:kern w:val="2"/>
                    <w:szCs w:val="24"/>
                  </w:rPr>
                </w:pPr>
                <w:r>
                  <w:rPr>
                    <w:b/>
                    <w:bCs/>
                    <w:kern w:val="2"/>
                    <w:szCs w:val="24"/>
                    <w:lang w:val="lt"/>
                  </w:rPr>
                  <w:t>6 straipsnio 1 d. redakcija nuo 2028-08-12:</w:t>
                </w:r>
              </w:p>
              <w:p>
                <w:pPr>
                  <w:jc w:val="both"/>
                  <w:rPr>
                    <w:kern w:val="2"/>
                    <w:szCs w:val="24"/>
                  </w:rPr>
                </w:pPr>
                <w:r>
                  <w:rPr>
                    <w:b/>
                    <w:bCs/>
                    <w:kern w:val="2"/>
                    <w:szCs w:val="24"/>
                    <w:lang w:val="lt"/>
                  </w:rPr>
                  <w:t xml:space="preserve">1. </w:t>
                </w:r>
                <w:r>
                  <w:rPr>
                    <w:kern w:val="2"/>
                    <w:szCs w:val="24"/>
                  </w:rPr>
                  <w:t xml:space="preserve">Pakuotės, kad jas būtų galima identifikuoti ir klasifikuoti, gali būti ženklinamos, nurodant pakuotėms pagaminti naudotų medžiagų rūšis  ir tinkamiausią pakuočių atliekų tvarkymo būdą. Pakuočių ženklinimo</w:t>
                </w:r>
                <w:r>
                  <w:rPr>
                    <w:b/>
                    <w:bCs/>
                    <w:kern w:val="2"/>
                    <w:szCs w:val="24"/>
                  </w:rPr>
                  <w:t xml:space="preserve"> </w:t>
                </w:r>
                <w:r>
                  <w:rPr>
                    <w:kern w:val="2"/>
                    <w:szCs w:val="24"/>
                  </w:rPr>
                  <w:t xml:space="preserve">tvarka nustatyta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12 straipsnyje.</w:t>
                </w: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15 straipsnis</w:t>
                </w:r>
              </w:p>
              <w:p>
                <w:pPr>
                  <w:rPr>
                    <w:sz w:val="10"/>
                    <w:szCs w:val="10"/>
                  </w:rPr>
                </w:pPr>
              </w:p>
              <w:p>
                <w:pPr>
                  <w:shd w:val="clear" w:color="auto" w:fill="FFFFFF"/>
                  <w:jc w:val="center"/>
                  <w:rPr>
                    <w:b/>
                    <w:bCs/>
                    <w:color w:val="000000"/>
                    <w:szCs w:val="24"/>
                    <w:lang w:eastAsia="lt-LT"/>
                  </w:rPr>
                </w:pPr>
                <w:r>
                  <w:rPr>
                    <w:b/>
                    <w:bCs/>
                    <w:color w:val="000000"/>
                    <w:szCs w:val="24"/>
                    <w:lang w:eastAsia="lt-LT"/>
                  </w:rPr>
                  <w:t>Fizinių gamintojų pareigos</w:t>
                </w:r>
              </w:p>
              <w:p>
                <w:pPr>
                  <w:rPr>
                    <w:sz w:val="10"/>
                    <w:szCs w:val="10"/>
                  </w:rPr>
                </w:pPr>
              </w:p>
              <w:p>
                <w:pPr>
                  <w:jc w:val="both"/>
                  <w:rPr>
                    <w:szCs w:val="24"/>
                    <w:lang w:eastAsia="lt-LT"/>
                  </w:rPr>
                </w:pPr>
                <w:r>
                  <w:rPr>
                    <w:szCs w:val="24"/>
                    <w:lang w:eastAsia="lt-LT"/>
                  </w:rPr>
                  <w:t>1. Fiziniai gamintojai rinkai pateikia tik 5–12 straipsniuose arba pagal juos nustatytus reikalavimus atitinkančias pakuotes.</w:t>
                </w:r>
              </w:p>
              <w:p>
                <w:pPr>
                  <w:rPr>
                    <w:sz w:val="8"/>
                    <w:szCs w:val="8"/>
                  </w:rPr>
                </w:pPr>
              </w:p>
              <w:p>
                <w:pPr>
                  <w:jc w:val="both"/>
                  <w:rPr>
                    <w:szCs w:val="24"/>
                    <w:lang w:eastAsia="lt-LT"/>
                  </w:rPr>
                </w:pPr>
                <w:r>
                  <w:rPr>
                    <w:szCs w:val="24"/>
                    <w:lang w:eastAsia="lt-LT"/>
                  </w:rPr>
                  <w:t>[...]</w:t>
                </w:r>
              </w:p>
              <w:p>
                <w:pPr>
                  <w:rPr>
                    <w:sz w:val="8"/>
                    <w:szCs w:val="8"/>
                  </w:rPr>
                </w:pPr>
              </w:p>
              <w:p>
                <w:pPr>
                  <w:jc w:val="both"/>
                  <w:rPr>
                    <w:szCs w:val="24"/>
                    <w:lang w:eastAsia="lt-LT"/>
                  </w:rPr>
                </w:pPr>
                <w:r>
                  <w:rPr>
                    <w:szCs w:val="24"/>
                    <w:lang w:eastAsia="lt-LT"/>
                  </w:rPr>
                  <w:t>12. Jeigu fizinis arba juridinis asmuo, kuris užsakė suprojektuoti ar pagaminti pakuotę savo vardu arba naudodamas savo prekių ženklą, atitinka Rekomendacijoje 2003/361/EB nustatytą labai mažos įmonės apibrėžtį, taikomą 2025 m. vasario 11 d., ir pakuotes fiziniam arba juridiniam asmeniui, kuris užsakė suprojektuoti ar pagaminti pakuotę savo vardu arba naudodamas savo prekių ženklą, tiekiantis fizinis arba juridinis asmuo yra Sąjungoje, pakuotes tiekiantis fizinis arba juridinis asmuo laikomas fiziniu gamintoju šio straipsnio tikslais.</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8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bendrosios pareigos</w:t>
                </w:r>
              </w:p>
              <w:p>
                <w:pPr>
                  <w:rPr>
                    <w:sz w:val="10"/>
                    <w:szCs w:val="10"/>
                  </w:rPr>
                </w:pPr>
              </w:p>
              <w:p>
                <w:pPr>
                  <w:spacing w:line="259" w:lineRule="auto"/>
                  <w:jc w:val="both"/>
                  <w:rPr>
                    <w:kern w:val="2"/>
                    <w:szCs w:val="24"/>
                  </w:rPr>
                </w:pPr>
                <w:r>
                  <w:rPr>
                    <w:kern w:val="2"/>
                    <w:szCs w:val="24"/>
                  </w:rPr>
                  <w:t>1. Fiziniai gamintojai ir įgaliotieji atstovai:</w:t>
                </w:r>
              </w:p>
              <w:p>
                <w:pPr>
                  <w:spacing w:line="259" w:lineRule="auto"/>
                  <w:jc w:val="both"/>
                  <w:rPr>
                    <w:kern w:val="2"/>
                    <w:szCs w:val="24"/>
                  </w:rPr>
                </w:pPr>
                <w:r>
                  <w:rPr>
                    <w:kern w:val="2"/>
                    <w:szCs w:val="24"/>
                  </w:rPr>
                  <w:t xml:space="preserve">1) Fiziniai gamintojai privalo užtikrinti, kad pakuotės rinkai būtų pateikiamos laikantis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15 straipsnyje nustatytų reikalavimų bei saugoti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VII priede nurodytus techninius dokumentus, kaip numatyta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15 straipsnio 3 dalyje.</w:t>
                </w: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16 straipsnis</w:t>
                </w:r>
              </w:p>
              <w:p>
                <w:pPr>
                  <w:rPr>
                    <w:sz w:val="10"/>
                    <w:szCs w:val="10"/>
                  </w:rPr>
                </w:pPr>
              </w:p>
              <w:p>
                <w:pPr>
                  <w:shd w:val="clear" w:color="auto" w:fill="FFFFFF"/>
                  <w:jc w:val="center"/>
                  <w:rPr>
                    <w:b/>
                    <w:bCs/>
                    <w:szCs w:val="24"/>
                    <w:lang w:eastAsia="lt-LT"/>
                  </w:rPr>
                </w:pPr>
                <w:r>
                  <w:rPr>
                    <w:b/>
                    <w:bCs/>
                    <w:color w:val="000000"/>
                    <w:szCs w:val="24"/>
                    <w:lang w:eastAsia="lt-LT"/>
                  </w:rPr>
                  <w:t>P</w:t>
                </w:r>
                <w:r>
                  <w:rPr>
                    <w:b/>
                    <w:bCs/>
                    <w:szCs w:val="24"/>
                    <w:lang w:eastAsia="lt-LT"/>
                  </w:rPr>
                  <w:t>akuočių arba pakuočių medžiagų tiekėjų pareiga teikti informaciją</w:t>
                </w:r>
              </w:p>
              <w:p>
                <w:pPr>
                  <w:rPr>
                    <w:sz w:val="10"/>
                    <w:szCs w:val="10"/>
                  </w:rPr>
                </w:pPr>
              </w:p>
              <w:p>
                <w:pPr>
                  <w:shd w:val="clear" w:color="auto" w:fill="FFFFFF"/>
                  <w:jc w:val="both"/>
                  <w:rPr>
                    <w:szCs w:val="24"/>
                    <w:lang w:eastAsia="lt-LT"/>
                  </w:rPr>
                </w:pPr>
                <w:r>
                  <w:rPr>
                    <w:szCs w:val="24"/>
                    <w:lang w:eastAsia="lt-LT"/>
                  </w:rPr>
                  <w:t>1. Tiekėjai fiziniam gamintojui viena ar daugiau fiziniam gamintojui lengvai suprantamų kalbų pateikia visą informaciją ir dokumentus, reikalingus tam, kad fizinis gamintojas įrodytų pakuočių ir pakuočių medžiagų atitiktį šiam reglamentui, įskaitant VII priede nurodytus ir 5–11 straipsniuose arba pagal tuos straipsnius reikalaujamus techninius dokumentus. Ta informacija ir dokumentai pateikiami popierine arba elektronine forma. 2. Kai tikslinga, į fiziniam gamintojui pagal 1 dalį teiktiną informaciją ir dokumentus įtraukiami dokumentai ir informacija, kurių reikalaujama pagal Sąjungos teisės aktus, taikytinus liestis su jautriais produktais skirtoms pakuotėms.</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8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bendrosios pareigos</w:t>
                </w:r>
              </w:p>
              <w:p>
                <w:pPr>
                  <w:rPr>
                    <w:sz w:val="10"/>
                    <w:szCs w:val="10"/>
                  </w:rPr>
                </w:pPr>
              </w:p>
              <w:p>
                <w:pPr>
                  <w:spacing w:line="259" w:lineRule="auto"/>
                  <w:jc w:val="both"/>
                  <w:rPr>
                    <w:kern w:val="2"/>
                    <w:szCs w:val="24"/>
                  </w:rPr>
                </w:pPr>
                <w:r>
                  <w:rPr>
                    <w:kern w:val="2"/>
                    <w:szCs w:val="24"/>
                  </w:rPr>
                  <w:t>2. Tiekėjai, importuotojai ir platintojai:</w:t>
                </w:r>
              </w:p>
              <w:p>
                <w:pPr>
                  <w:spacing w:line="259" w:lineRule="auto"/>
                  <w:jc w:val="both"/>
                  <w:rPr>
                    <w:kern w:val="2"/>
                    <w:szCs w:val="24"/>
                  </w:rPr>
                </w:pPr>
                <w:r>
                  <w:rPr>
                    <w:kern w:val="2"/>
                    <w:szCs w:val="24"/>
                  </w:rPr>
                  <w:t xml:space="preserve">1) Tiekėjai privalo fiziniams gamintojams pateikti visą informaciją ir dokumentus, reikalingus pakuočių atitikties įrodymui, kaip nustatyta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16 straipsnyje.</w:t>
                </w:r>
              </w:p>
              <w:p>
                <w:pPr>
                  <w:rPr>
                    <w:sz w:val="6"/>
                    <w:szCs w:val="6"/>
                  </w:rPr>
                </w:pPr>
              </w:p>
              <w:p>
                <w:pPr>
                  <w:shd w:val="clear" w:color="auto" w:fill="FFFFFF"/>
                  <w:jc w:val="center"/>
                  <w:rPr>
                    <w:b/>
                    <w:bCs/>
                    <w:color w:val="000000"/>
                    <w:szCs w:val="24"/>
                    <w:lang w:eastAsia="lt-LT"/>
                  </w:rPr>
                </w:pPr>
              </w:p>
              <w:p>
                <w:pPr>
                  <w:rPr>
                    <w:sz w:val="10"/>
                    <w:szCs w:val="10"/>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17 straipsnis</w:t>
                </w:r>
              </w:p>
              <w:p>
                <w:pPr>
                  <w:rPr>
                    <w:sz w:val="10"/>
                    <w:szCs w:val="10"/>
                  </w:rPr>
                </w:pPr>
              </w:p>
              <w:p>
                <w:pPr>
                  <w:shd w:val="clear" w:color="auto" w:fill="FFFFFF"/>
                  <w:jc w:val="center"/>
                  <w:rPr>
                    <w:b/>
                    <w:bCs/>
                    <w:color w:val="000000"/>
                    <w:szCs w:val="24"/>
                    <w:lang w:eastAsia="lt-LT"/>
                  </w:rPr>
                </w:pPr>
                <w:r>
                  <w:rPr>
                    <w:b/>
                    <w:bCs/>
                    <w:color w:val="000000"/>
                    <w:szCs w:val="24"/>
                    <w:lang w:eastAsia="lt-LT"/>
                  </w:rPr>
                  <w:t>Įgaliotieji atstovai</w:t>
                </w:r>
              </w:p>
              <w:p>
                <w:pPr>
                  <w:rPr>
                    <w:sz w:val="10"/>
                    <w:szCs w:val="10"/>
                  </w:rPr>
                </w:pPr>
              </w:p>
              <w:p>
                <w:pPr>
                  <w:jc w:val="both"/>
                  <w:rPr>
                    <w:szCs w:val="24"/>
                    <w:lang w:eastAsia="lt-LT"/>
                  </w:rPr>
                </w:pPr>
                <w:r>
                  <w:rPr>
                    <w:szCs w:val="24"/>
                    <w:lang w:eastAsia="lt-LT"/>
                  </w:rPr>
                  <w:t>1. Fizinis gamintojas gali raštišku įgaliojimu paskirti įgaliotąjį atstovą.</w:t>
                </w:r>
              </w:p>
              <w:p>
                <w:pPr>
                  <w:rPr>
                    <w:sz w:val="8"/>
                    <w:szCs w:val="8"/>
                  </w:rPr>
                </w:pPr>
              </w:p>
              <w:p>
                <w:pPr>
                  <w:jc w:val="both"/>
                  <w:rPr>
                    <w:szCs w:val="24"/>
                    <w:lang w:eastAsia="lt-LT"/>
                  </w:rPr>
                </w:pPr>
                <w:r>
                  <w:rPr>
                    <w:szCs w:val="24"/>
                    <w:lang w:eastAsia="lt-LT"/>
                  </w:rPr>
                  <w:t>[...]</w:t>
                </w:r>
              </w:p>
              <w:p>
                <w:pPr>
                  <w:rPr>
                    <w:sz w:val="8"/>
                    <w:szCs w:val="8"/>
                  </w:rPr>
                </w:pPr>
              </w:p>
              <w:p>
                <w:pPr>
                  <w:jc w:val="both"/>
                  <w:rPr>
                    <w:szCs w:val="24"/>
                    <w:lang w:eastAsia="lt-LT"/>
                  </w:rPr>
                </w:pPr>
                <w:r>
                  <w:rPr>
                    <w:szCs w:val="24"/>
                    <w:lang w:eastAsia="lt-LT"/>
                  </w:rPr>
                  <w:t>Įgaliotojo atstovo įgaliojimai neapima 15 straipsnio 1 dalyje nustatytų pareigų bei pareigos parengti VII priede nurodytus ir 5–11 straipsniuose arba pagal tuos straipsnius reikalaujamus techninius dokumentus.</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8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bendrosios pareigos</w:t>
                </w:r>
              </w:p>
              <w:p>
                <w:pPr>
                  <w:rPr>
                    <w:sz w:val="10"/>
                    <w:szCs w:val="10"/>
                  </w:rPr>
                </w:pPr>
              </w:p>
              <w:p>
                <w:pPr>
                  <w:spacing w:line="259" w:lineRule="auto"/>
                  <w:jc w:val="both"/>
                  <w:rPr>
                    <w:kern w:val="2"/>
                    <w:szCs w:val="24"/>
                  </w:rPr>
                </w:pPr>
                <w:r>
                  <w:rPr>
                    <w:kern w:val="2"/>
                    <w:szCs w:val="24"/>
                  </w:rPr>
                  <w:t>1. Fiziniai gamintojai ir įgaliotieji atstovai:</w:t>
                </w:r>
              </w:p>
              <w:p>
                <w:pPr>
                  <w:spacing w:line="259" w:lineRule="auto"/>
                  <w:jc w:val="both"/>
                  <w:rPr>
                    <w:kern w:val="2"/>
                    <w:szCs w:val="24"/>
                  </w:rPr>
                </w:pPr>
                <w:r>
                  <w:rPr>
                    <w:kern w:val="2"/>
                    <w:szCs w:val="24"/>
                  </w:rPr>
                  <w:t xml:space="preserve">2) Gamintojai rašytiniu įgaliojimu gali paskirti įgaliotąjį atstovą, kuris vykdytų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17 straipsnyje nustatytas užduotis.</w:t>
                </w: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18 straipsnis</w:t>
                </w:r>
              </w:p>
              <w:p>
                <w:pPr>
                  <w:rPr>
                    <w:sz w:val="10"/>
                    <w:szCs w:val="10"/>
                  </w:rPr>
                </w:pPr>
              </w:p>
              <w:p>
                <w:pPr>
                  <w:shd w:val="clear" w:color="auto" w:fill="FFFFFF"/>
                  <w:jc w:val="center"/>
                  <w:rPr>
                    <w:b/>
                    <w:bCs/>
                    <w:color w:val="000000"/>
                    <w:szCs w:val="24"/>
                    <w:lang w:eastAsia="lt-LT"/>
                  </w:rPr>
                </w:pPr>
                <w:r>
                  <w:rPr>
                    <w:b/>
                    <w:bCs/>
                    <w:color w:val="000000"/>
                    <w:szCs w:val="24"/>
                    <w:lang w:eastAsia="lt-LT"/>
                  </w:rPr>
                  <w:t>Įmportuotojų pareigos</w:t>
                </w:r>
              </w:p>
              <w:p>
                <w:pPr>
                  <w:rPr>
                    <w:sz w:val="10"/>
                    <w:szCs w:val="10"/>
                  </w:rPr>
                </w:pPr>
              </w:p>
              <w:p>
                <w:pPr>
                  <w:rPr>
                    <w:szCs w:val="24"/>
                    <w:lang w:eastAsia="lt-LT"/>
                  </w:rPr>
                </w:pPr>
                <w:r>
                  <w:rPr>
                    <w:szCs w:val="24"/>
                    <w:lang w:eastAsia="lt-LT"/>
                  </w:rPr>
                  <w:t>1. Importuotojai pateikia rinkai tik 5–12 straipsniuose arba pagal juos nustatytus reikalavimus atitinkančias pakuotes.</w:t>
                </w:r>
              </w:p>
              <w:p>
                <w:pPr>
                  <w:rPr>
                    <w:sz w:val="8"/>
                    <w:szCs w:val="8"/>
                  </w:rPr>
                </w:pPr>
              </w:p>
              <w:p>
                <w:pPr>
                  <w:rPr>
                    <w:szCs w:val="24"/>
                    <w:lang w:eastAsia="lt-LT"/>
                  </w:rPr>
                </w:pPr>
                <w:r>
                  <w:rPr>
                    <w:szCs w:val="24"/>
                    <w:lang w:eastAsia="lt-LT"/>
                  </w:rPr>
                  <w:t>[...]</w:t>
                </w:r>
              </w:p>
              <w:p>
                <w:pPr>
                  <w:rPr>
                    <w:sz w:val="8"/>
                    <w:szCs w:val="8"/>
                  </w:rPr>
                </w:pPr>
              </w:p>
              <w:p>
                <w:pPr>
                  <w:rPr>
                    <w:szCs w:val="24"/>
                    <w:lang w:eastAsia="lt-LT"/>
                  </w:rPr>
                </w:pPr>
                <w:r>
                  <w:rPr>
                    <w:szCs w:val="24"/>
                    <w:lang w:eastAsia="lt-LT"/>
                  </w:rPr>
                  <w:t>9. Importuotojai su kompetentinga nacionaline institucija bendradarbiauja dėl visų veiksmų, kurių imamasi siekiant ištaisyti neatitikties 5–12 straipsniuose arba pagal juos nustatytiems reikalavimams atvejus.</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8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bendrosios pareigos</w:t>
                </w:r>
              </w:p>
              <w:p>
                <w:pPr>
                  <w:rPr>
                    <w:sz w:val="10"/>
                    <w:szCs w:val="10"/>
                  </w:rPr>
                </w:pPr>
              </w:p>
              <w:p>
                <w:pPr>
                  <w:spacing w:line="259" w:lineRule="auto"/>
                  <w:jc w:val="both"/>
                  <w:rPr>
                    <w:kern w:val="2"/>
                    <w:szCs w:val="24"/>
                  </w:rPr>
                </w:pPr>
                <w:r>
                  <w:rPr>
                    <w:kern w:val="2"/>
                    <w:szCs w:val="24"/>
                  </w:rPr>
                  <w:t>2. Tiekėjai, importuotojai ir platintojai:</w:t>
                </w:r>
              </w:p>
              <w:p>
                <w:pPr>
                  <w:spacing w:line="259" w:lineRule="auto"/>
                  <w:jc w:val="both"/>
                  <w:rPr>
                    <w:color w:val="000000"/>
                    <w:kern w:val="2"/>
                    <w:szCs w:val="24"/>
                  </w:rPr>
                </w:pPr>
                <w:r>
                  <w:rPr>
                    <w:kern w:val="2"/>
                    <w:szCs w:val="24"/>
                  </w:rPr>
                  <w:t xml:space="preserve">2) Importuotojai privalo užtikrinti, kad pakuotės rinkai būtų pateikiamos laikantis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18 straipsnyje nustatytų reikalavimų.</w:t>
                </w: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19 straipsnis</w:t>
                </w:r>
              </w:p>
              <w:p>
                <w:pPr>
                  <w:rPr>
                    <w:sz w:val="10"/>
                    <w:szCs w:val="10"/>
                  </w:rPr>
                </w:pPr>
              </w:p>
              <w:p>
                <w:pPr>
                  <w:shd w:val="clear" w:color="auto" w:fill="FFFFFF"/>
                  <w:jc w:val="center"/>
                  <w:rPr>
                    <w:b/>
                    <w:bCs/>
                    <w:color w:val="000000"/>
                    <w:szCs w:val="24"/>
                    <w:lang w:eastAsia="lt-LT"/>
                  </w:rPr>
                </w:pPr>
                <w:r>
                  <w:rPr>
                    <w:b/>
                    <w:bCs/>
                    <w:color w:val="000000"/>
                    <w:szCs w:val="24"/>
                    <w:lang w:eastAsia="lt-LT"/>
                  </w:rPr>
                  <w:t>Platintojų pareigos</w:t>
                </w:r>
              </w:p>
              <w:p>
                <w:pPr>
                  <w:rPr>
                    <w:sz w:val="10"/>
                    <w:szCs w:val="10"/>
                  </w:rPr>
                </w:pPr>
              </w:p>
              <w:p>
                <w:pPr>
                  <w:shd w:val="clear" w:color="auto" w:fill="FFFFFF"/>
                  <w:jc w:val="both"/>
                  <w:rPr>
                    <w:szCs w:val="24"/>
                    <w:lang w:eastAsia="lt-LT"/>
                  </w:rPr>
                </w:pPr>
                <w:r>
                  <w:rPr>
                    <w:szCs w:val="24"/>
                    <w:lang w:eastAsia="lt-LT"/>
                  </w:rPr>
                  <w:t>1. Tiekdami pakuotes rinkai, platintojai veikia deramai laikydamiesi šio reglamento reikalavimų.</w:t>
                </w:r>
              </w:p>
              <w:p>
                <w:pPr>
                  <w:rPr>
                    <w:sz w:val="10"/>
                    <w:szCs w:val="10"/>
                  </w:rPr>
                </w:pPr>
              </w:p>
              <w:p>
                <w:pPr>
                  <w:shd w:val="clear" w:color="auto" w:fill="FFFFFF"/>
                  <w:jc w:val="both"/>
                  <w:rPr>
                    <w:szCs w:val="24"/>
                    <w:lang w:eastAsia="lt-LT"/>
                  </w:rPr>
                </w:pPr>
                <w:r>
                  <w:rPr>
                    <w:szCs w:val="24"/>
                    <w:lang w:eastAsia="lt-LT"/>
                  </w:rPr>
                  <w:t>[...]</w:t>
                </w:r>
              </w:p>
              <w:p>
                <w:pPr>
                  <w:rPr>
                    <w:sz w:val="10"/>
                    <w:szCs w:val="10"/>
                  </w:rPr>
                </w:pPr>
              </w:p>
              <w:p>
                <w:pPr>
                  <w:shd w:val="clear" w:color="auto" w:fill="FFFFFF"/>
                  <w:jc w:val="both"/>
                  <w:rPr>
                    <w:szCs w:val="24"/>
                    <w:lang w:eastAsia="lt-LT"/>
                  </w:rPr>
                </w:pPr>
                <w:r>
                  <w:rPr>
                    <w:szCs w:val="24"/>
                    <w:lang w:eastAsia="lt-LT"/>
                  </w:rPr>
                  <w:t>Platintojai su nacionaline institucija bendradarbiauja dėl visų veiksmų, kurių imamasi siekiant ištaisyti neatitikties 5– 12 straipsniuose arba pagal juos nustatytiems reikalavimams atvejus.</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8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bendrosios pareigos</w:t>
                </w:r>
              </w:p>
              <w:p>
                <w:pPr>
                  <w:rPr>
                    <w:sz w:val="10"/>
                    <w:szCs w:val="10"/>
                  </w:rPr>
                </w:pPr>
              </w:p>
              <w:p>
                <w:pPr>
                  <w:spacing w:line="259" w:lineRule="auto"/>
                  <w:jc w:val="both"/>
                  <w:rPr>
                    <w:kern w:val="2"/>
                    <w:szCs w:val="24"/>
                  </w:rPr>
                </w:pPr>
                <w:r>
                  <w:rPr>
                    <w:kern w:val="2"/>
                    <w:szCs w:val="24"/>
                  </w:rPr>
                  <w:t>2. Tiekėjai, importuotojai ir platintojai:</w:t>
                </w:r>
              </w:p>
              <w:p>
                <w:pPr>
                  <w:spacing w:line="259" w:lineRule="auto"/>
                  <w:jc w:val="both"/>
                  <w:rPr>
                    <w:kern w:val="2"/>
                    <w:szCs w:val="24"/>
                  </w:rPr>
                </w:pPr>
                <w:r>
                  <w:rPr>
                    <w:kern w:val="2"/>
                    <w:szCs w:val="24"/>
                  </w:rPr>
                  <w:t xml:space="preserve">3) Platintojai privalo vykdyti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19 straipsnyje nustatytas pareigas, užtikrindami, kad rinkai būtų tiekiamos tik reikalavimus atitinkančios pakuotės, patikrintas gamintojo registracijos, ženklinimo ir kitų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19 straipsnyje nustatytų reikalavimų įvykdymas.</w:t>
                </w: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20 straipsnis</w:t>
                </w:r>
              </w:p>
              <w:p>
                <w:pPr>
                  <w:rPr>
                    <w:sz w:val="10"/>
                    <w:szCs w:val="10"/>
                  </w:rPr>
                </w:pPr>
              </w:p>
              <w:p>
                <w:pPr>
                  <w:shd w:val="clear" w:color="auto" w:fill="FFFFFF"/>
                  <w:jc w:val="center"/>
                  <w:rPr>
                    <w:b/>
                    <w:bCs/>
                    <w:color w:val="000000"/>
                    <w:szCs w:val="24"/>
                    <w:lang w:eastAsia="lt-LT"/>
                  </w:rPr>
                </w:pPr>
                <w:r>
                  <w:rPr>
                    <w:b/>
                    <w:bCs/>
                    <w:color w:val="000000"/>
                    <w:szCs w:val="24"/>
                    <w:lang w:eastAsia="lt-LT"/>
                  </w:rPr>
                  <w:t>Realizavimo paslaugų teikėjų pareigos</w:t>
                </w:r>
              </w:p>
              <w:p>
                <w:pPr>
                  <w:rPr>
                    <w:sz w:val="10"/>
                    <w:szCs w:val="10"/>
                  </w:rPr>
                </w:pPr>
              </w:p>
              <w:p>
                <w:pPr>
                  <w:jc w:val="both"/>
                  <w:rPr>
                    <w:szCs w:val="24"/>
                    <w:lang w:eastAsia="lt-LT"/>
                  </w:rPr>
                </w:pPr>
                <w:r>
                  <w:rPr>
                    <w:szCs w:val="24"/>
                    <w:lang w:eastAsia="lt-LT"/>
                  </w:rPr>
                  <w:t>Realizavimo paslaugų teikėjai užtikrina, kad jų tvarkomų pakuočių, tiek tuščių, tiek su produktais, sandėliavimo, tvarkymo ir pakavimo, adresavimo ar siuntimo sąlygos nepakenktų pakuotės atitikčiai 5–12 straipsniuose arba pagal tuos straipsnius nustatytiems reikalavimams</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8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bendrosios pareigos</w:t>
                </w:r>
              </w:p>
              <w:p>
                <w:pPr>
                  <w:rPr>
                    <w:sz w:val="10"/>
                    <w:szCs w:val="10"/>
                  </w:rPr>
                </w:pPr>
              </w:p>
              <w:p>
                <w:pPr>
                  <w:spacing w:line="259" w:lineRule="auto"/>
                  <w:jc w:val="both"/>
                  <w:rPr>
                    <w:kern w:val="2"/>
                    <w:szCs w:val="24"/>
                  </w:rPr>
                </w:pPr>
                <w:r>
                  <w:rPr>
                    <w:kern w:val="2"/>
                    <w:szCs w:val="24"/>
                  </w:rPr>
                  <w:t>3. Realizavimo paslaugų teikėjai ir informacijos teikimas:</w:t>
                </w:r>
              </w:p>
              <w:p>
                <w:pPr>
                  <w:spacing w:line="259" w:lineRule="auto"/>
                  <w:jc w:val="both"/>
                  <w:rPr>
                    <w:kern w:val="2"/>
                    <w:szCs w:val="24"/>
                  </w:rPr>
                </w:pPr>
                <w:r>
                  <w:rPr>
                    <w:kern w:val="2"/>
                    <w:szCs w:val="24"/>
                  </w:rPr>
                  <w:t xml:space="preserve">1) Realizavimo paslaugų teikėjai užtikrina, kad jų tvarkomų pakuočių sandėliavimo, tvarkymo, pakavimo, adresavimo ir siuntimo sąlygos nepakenktų pakuočių atitikčiai, kaip numatyta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20 straipsnyje.</w:t>
                </w:r>
              </w:p>
              <w:p>
                <w:pPr>
                  <w:spacing w:line="259" w:lineRule="auto"/>
                  <w:jc w:val="both"/>
                  <w:rPr>
                    <w:kern w:val="2"/>
                    <w:szCs w:val="24"/>
                  </w:rPr>
                </w:pP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21 straipsnis</w:t>
                </w:r>
              </w:p>
              <w:p>
                <w:pPr>
                  <w:rPr>
                    <w:sz w:val="10"/>
                    <w:szCs w:val="10"/>
                  </w:rPr>
                </w:pPr>
              </w:p>
              <w:p>
                <w:pPr>
                  <w:shd w:val="clear" w:color="auto" w:fill="FFFFFF"/>
                  <w:jc w:val="center"/>
                  <w:rPr>
                    <w:b/>
                    <w:bCs/>
                    <w:color w:val="000000"/>
                    <w:szCs w:val="24"/>
                    <w:lang w:eastAsia="lt-LT"/>
                  </w:rPr>
                </w:pPr>
                <w:r>
                  <w:rPr>
                    <w:b/>
                    <w:bCs/>
                    <w:color w:val="000000"/>
                    <w:szCs w:val="24"/>
                    <w:lang w:eastAsia="lt-LT"/>
                  </w:rPr>
                  <w:t>Realizavimo paslaugų teikėjų pareigos</w:t>
                </w:r>
              </w:p>
              <w:p>
                <w:pPr>
                  <w:rPr>
                    <w:sz w:val="10"/>
                    <w:szCs w:val="10"/>
                  </w:rPr>
                </w:pPr>
              </w:p>
              <w:p>
                <w:pPr>
                  <w:jc w:val="both"/>
                  <w:rPr>
                    <w:szCs w:val="24"/>
                    <w:lang w:eastAsia="lt-LT"/>
                  </w:rPr>
                </w:pPr>
                <w:r>
                  <w:rPr>
                    <w:szCs w:val="24"/>
                    <w:lang w:eastAsia="lt-LT"/>
                  </w:rPr>
                  <w:t>Realizavimo paslaugų teikėjai užtikrina, kad jų tvarkomų pakuočių, tiek tuščių, tiek su produktais, sandėliavimo, tvarkymo ir pakavimo, adresavimo ar siuntimo sąlygos nepakenktų pakuotės atitikčiai 5–12 straipsniuose arba pagal tuos straipsnius nustatytiems reikalavimams</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8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bendrosios pareigos</w:t>
                </w:r>
              </w:p>
              <w:p>
                <w:pPr>
                  <w:rPr>
                    <w:sz w:val="10"/>
                    <w:szCs w:val="10"/>
                  </w:rPr>
                </w:pPr>
              </w:p>
              <w:p>
                <w:pPr>
                  <w:spacing w:line="259" w:lineRule="auto"/>
                  <w:jc w:val="both"/>
                  <w:rPr>
                    <w:kern w:val="2"/>
                    <w:szCs w:val="24"/>
                  </w:rPr>
                </w:pPr>
                <w:r>
                  <w:rPr>
                    <w:kern w:val="2"/>
                    <w:szCs w:val="24"/>
                  </w:rPr>
                  <w:t>2. Tiekėjai, importuotojai ir platintojai:</w:t>
                </w:r>
              </w:p>
              <w:p>
                <w:pPr>
                  <w:spacing w:line="259" w:lineRule="auto"/>
                  <w:jc w:val="both"/>
                  <w:rPr>
                    <w:kern w:val="2"/>
                    <w:szCs w:val="24"/>
                  </w:rPr>
                </w:pPr>
                <w:r>
                  <w:rPr>
                    <w:kern w:val="2"/>
                    <w:szCs w:val="24"/>
                  </w:rPr>
                  <w:t xml:space="preserve">4) Jei importuotojai ar platintojai rinkai pateikia pakuotes savo vardu, naudodami savo prekių ženklą ar pakeisdami pakuotes taip, kad tai galėtų paveikti jų atitiktį, jie laikomi fiziniais gamintojais ir privalo vykdyti šio straipsnio 1 dalyje nustatytas pareigas, kaip numatyta Reglamento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21 straipsnyje.</w:t>
                </w: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22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identifikavimas</w:t>
                </w:r>
              </w:p>
              <w:p>
                <w:pPr>
                  <w:rPr>
                    <w:sz w:val="10"/>
                    <w:szCs w:val="10"/>
                  </w:rPr>
                </w:pPr>
              </w:p>
              <w:p>
                <w:pPr>
                  <w:shd w:val="clear" w:color="auto" w:fill="FFFFFF"/>
                  <w:jc w:val="both"/>
                  <w:rPr>
                    <w:szCs w:val="24"/>
                    <w:lang w:eastAsia="lt-LT"/>
                  </w:rPr>
                </w:pPr>
                <w:r>
                  <w:rPr>
                    <w:szCs w:val="24"/>
                    <w:lang w:eastAsia="lt-LT"/>
                  </w:rPr>
                  <w:t>1. Ekonominės veiklos vykdytojai, gavę prašymą, pateikia rinkos priežiūros institucijoms informaciją apie: a) visų ekonominės veiklos vykdytojų, kurie jiems tiekė pakuotes ar supakuotus produktus, tapatybę; b) visų ekonominės veiklos vykdytojų, kuriems jie tiekė pakuotes ar supakuotus produktus, tapatybę. 2. Ekonominės veiklos vykdytojai turi galėti pateikti 1 dalies a punkte nurodytą informaciją, kaip nurodyta toliau: a) vienkartinių pakuočių atveju – 5 metus nuo tada, kai jie tiekė pakuotes arba jos jiems buvo tiektos; b) daugkartinių pakuočių atveju – 10 metų nuo tada, kai jie tiekė pakuotes arba jos jiems buvo tiektos</w:t>
                </w:r>
              </w:p>
              <w:p>
                <w:pPr>
                  <w:rPr>
                    <w:sz w:val="10"/>
                    <w:szCs w:val="10"/>
                  </w:rPr>
                </w:pPr>
              </w:p>
              <w:p>
                <w:pPr>
                  <w:jc w:val="center"/>
                  <w:rPr>
                    <w:color w:val="000000"/>
                    <w:szCs w:val="24"/>
                    <w:lang w:eastAsia="lt-LT"/>
                  </w:rPr>
                </w:pPr>
              </w:p>
            </w:tc>
            <w:tc>
              <w:tcPr>
                <w:tcW w:w="5529" w:type="dxa"/>
              </w:tcPr>
              <w:p>
                <w:pPr>
                  <w:rPr>
                    <w:sz w:val="32"/>
                    <w:szCs w:val="32"/>
                  </w:rPr>
                </w:pPr>
              </w:p>
              <w:p>
                <w:pPr>
                  <w:shd w:val="clear" w:color="auto" w:fill="FFFFFF"/>
                  <w:spacing w:line="259" w:lineRule="auto"/>
                  <w:jc w:val="center"/>
                  <w:rPr>
                    <w:color w:val="000000"/>
                    <w:szCs w:val="24"/>
                    <w:lang w:eastAsia="lt-LT"/>
                  </w:rPr>
                </w:pPr>
                <w:r>
                  <w:rPr>
                    <w:color w:val="000000"/>
                    <w:szCs w:val="24"/>
                    <w:lang w:eastAsia="lt-LT"/>
                  </w:rPr>
                  <w:t>8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bendrosios pareigos</w:t>
                </w:r>
                <w:r>
                  <w:rPr>
                    <w:color w:val="000000"/>
                    <w:sz w:val="22"/>
                    <w:szCs w:val="22"/>
                    <w:lang w:eastAsia="lt-LT"/>
                  </w:rPr>
                  <w:t xml:space="preserve"> </w:t>
                </w:r>
              </w:p>
              <w:p>
                <w:pPr>
                  <w:rPr>
                    <w:sz w:val="10"/>
                    <w:szCs w:val="10"/>
                  </w:rPr>
                </w:pPr>
              </w:p>
              <w:p>
                <w:pPr>
                  <w:spacing w:line="259" w:lineRule="auto"/>
                  <w:jc w:val="both"/>
                  <w:rPr>
                    <w:color w:val="D13438"/>
                    <w:kern w:val="2"/>
                    <w:sz w:val="22"/>
                    <w:szCs w:val="22"/>
                  </w:rPr>
                </w:pPr>
                <w:r>
                  <w:rPr>
                    <w:color w:val="000000"/>
                    <w:kern w:val="2"/>
                    <w:sz w:val="22"/>
                    <w:szCs w:val="22"/>
                  </w:rPr>
                  <w:t>3. Ekonominės veiklos vykdytojų teisės ir pareigos susijusios su informacijos pateikimu:</w:t>
                </w:r>
              </w:p>
              <w:p>
                <w:pPr>
                  <w:spacing w:line="259" w:lineRule="auto"/>
                  <w:jc w:val="both"/>
                  <w:rPr>
                    <w:color w:val="D13438"/>
                    <w:kern w:val="2"/>
                    <w:sz w:val="22"/>
                    <w:szCs w:val="22"/>
                  </w:rPr>
                </w:pPr>
                <w:r>
                  <w:rPr>
                    <w:color w:val="000000"/>
                    <w:kern w:val="2"/>
                    <w:sz w:val="22"/>
                    <w:szCs w:val="22"/>
                  </w:rPr>
                  <w:t xml:space="preserve">1) Ekonominės veiklos vykdytojai privalo pateikti rinkos priežiūros institucijoms informaciją apie kitus ekonominės veiklos vykdytojus,  kurie jiems tiekė pakuotes ar supakuotus produktus, ir apie tuos, kuriems jie tiekė pakuotes ar supakuotus produktus, kaip nustatyta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22 straipsnyje.</w:t>
                </w: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23 straipsnis</w:t>
                </w:r>
              </w:p>
              <w:p>
                <w:pPr>
                  <w:rPr>
                    <w:sz w:val="10"/>
                    <w:szCs w:val="10"/>
                  </w:rPr>
                </w:pPr>
              </w:p>
              <w:p>
                <w:pPr>
                  <w:shd w:val="clear" w:color="auto" w:fill="FFFFFF"/>
                  <w:jc w:val="center"/>
                  <w:rPr>
                    <w:b/>
                    <w:bCs/>
                    <w:szCs w:val="24"/>
                    <w:lang w:eastAsia="lt-LT"/>
                  </w:rPr>
                </w:pPr>
                <w:r>
                  <w:rPr>
                    <w:b/>
                    <w:bCs/>
                    <w:szCs w:val="24"/>
                    <w:lang w:eastAsia="lt-LT"/>
                  </w:rPr>
                  <w:t>Pakuočių atliekų tvarkymo subjektų pareigos teikti informaciją</w:t>
                </w:r>
              </w:p>
              <w:p>
                <w:pPr>
                  <w:rPr>
                    <w:sz w:val="10"/>
                    <w:szCs w:val="10"/>
                  </w:rPr>
                </w:pPr>
              </w:p>
              <w:p>
                <w:pPr>
                  <w:shd w:val="clear" w:color="auto" w:fill="FFFFFF"/>
                  <w:jc w:val="both"/>
                  <w:rPr>
                    <w:szCs w:val="24"/>
                    <w:lang w:eastAsia="lt-LT"/>
                  </w:rPr>
                </w:pPr>
                <w:r>
                  <w:rPr>
                    <w:szCs w:val="24"/>
                    <w:lang w:eastAsia="lt-LT"/>
                  </w:rPr>
                  <w:t xml:space="preserve">Pakuočių atliekų tvarkymo subjektai kasmet kompetentingoms institucijoms per elektroninį registrą arba registrus pagal Direktyvos </w:t>
                </w:r>
                <w:fldSimple w:instr="HYPERLINK http://eur-lex.europa.eu/legal-content/LIT/TXT/?uri=CELEX:32008L0098&amp;locale=lt \t _blank">
                  <w:r>
                    <w:rPr>
                      <w:szCs w:val="24"/>
                      <w:lang w:eastAsia="lt-LT"/>
                      <w:u w:val="single"/>
                      <w:color w:val="0000FF" w:themeColor="hyperlink"/>
                    </w:rPr>
                    <w:t>2008/98/EB</w:t>
                  </w:r>
                </w:fldSimple>
                <w:r>
                  <w:rPr>
                    <w:szCs w:val="24"/>
                    <w:lang w:eastAsia="lt-LT"/>
                  </w:rPr>
                  <w:t xml:space="preserve"> 35 straipsnio 1 dalį pateikia šio reglamento XII priedo 3 lentelėje nurodytą informaciją apie pakuočių atliekas, išskyrus informaciją apie pakuotes, kurios pirmą kartą patiektos valstybės narės teritorijoje.</w:t>
                </w:r>
              </w:p>
              <w:p>
                <w:pPr>
                  <w:rPr>
                    <w:sz w:val="10"/>
                    <w:szCs w:val="10"/>
                  </w:rPr>
                </w:pPr>
              </w:p>
              <w:p>
                <w:pPr>
                  <w:shd w:val="clear" w:color="auto" w:fill="FFFFFF"/>
                  <w:jc w:val="both"/>
                  <w:rPr>
                    <w:szCs w:val="24"/>
                    <w:lang w:eastAsia="lt-LT"/>
                  </w:rPr>
                </w:pPr>
                <w:r>
                  <w:rPr>
                    <w:szCs w:val="24"/>
                    <w:lang w:eastAsia="lt-LT"/>
                  </w:rPr>
                  <w:t>[...]</w:t>
                </w:r>
              </w:p>
              <w:p>
                <w:pPr>
                  <w:rPr>
                    <w:sz w:val="10"/>
                    <w:szCs w:val="10"/>
                  </w:rPr>
                </w:pPr>
              </w:p>
              <w:p>
                <w:pPr>
                  <w:shd w:val="clear" w:color="auto" w:fill="FFFFFF"/>
                  <w:jc w:val="both"/>
                  <w:rPr>
                    <w:szCs w:val="24"/>
                    <w:lang w:eastAsia="lt-LT"/>
                  </w:rPr>
                </w:pPr>
                <w:r>
                  <w:rPr>
                    <w:szCs w:val="24"/>
                    <w:lang w:eastAsia="lt-LT"/>
                  </w:rPr>
                  <w:t xml:space="preserve">Valstybės narės gali pagal nacionalinę teisę nustatyti, kad tais atvejais, kai valdžios institucijos yra atsakingos už pakuočių atliekų tvarkymo organizavimą, pakuočių atliekų tvarkymo subjektai kasmet tokioms valdžios institucijoms teikia visą informaciją, būtiną 44 straipsnio 10 dalyje nustatytoms pareigoms teikti informaciją vykdyti, arba tai daro kitomis priemonėmis, papildančiomis elektroninį registrą ar registrus pagal Direktyvos </w:t>
                </w:r>
                <w:fldSimple w:instr="HYPERLINK http://eur-lex.europa.eu/legal-content/LIT/TXT/?uri=CELEX:32008L0098&amp;locale=lt \t _blank">
                  <w:r>
                    <w:rPr>
                      <w:szCs w:val="24"/>
                      <w:lang w:eastAsia="lt-LT"/>
                      <w:u w:val="single"/>
                      <w:color w:val="0000FF" w:themeColor="hyperlink"/>
                    </w:rPr>
                    <w:t>2008/98/EB</w:t>
                  </w:r>
                </w:fldSimple>
                <w:r>
                  <w:rPr>
                    <w:szCs w:val="24"/>
                    <w:lang w:eastAsia="lt-LT"/>
                  </w:rPr>
                  <w:t xml:space="preserve"> 35 straipsnio 1 dalį</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8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bendrosios pareigos</w:t>
                </w:r>
              </w:p>
              <w:p>
                <w:pPr>
                  <w:rPr>
                    <w:sz w:val="10"/>
                    <w:szCs w:val="10"/>
                  </w:rPr>
                </w:pPr>
              </w:p>
              <w:p>
                <w:pPr>
                  <w:spacing w:line="259" w:lineRule="auto"/>
                  <w:jc w:val="both"/>
                  <w:rPr>
                    <w:kern w:val="2"/>
                    <w:sz w:val="22"/>
                    <w:szCs w:val="22"/>
                  </w:rPr>
                </w:pPr>
                <w:r>
                  <w:rPr>
                    <w:color w:val="000000"/>
                    <w:kern w:val="2"/>
                    <w:sz w:val="22"/>
                    <w:szCs w:val="22"/>
                  </w:rPr>
                  <w:t>3. Ekonominės veiklos vykdytojų teisės ir pareigos susijusios su informacijos pateikimu:</w:t>
                </w:r>
                <w:r>
                  <w:rPr>
                    <w:kern w:val="2"/>
                    <w:sz w:val="22"/>
                    <w:szCs w:val="22"/>
                  </w:rPr>
                  <w:t xml:space="preserve"> </w:t>
                </w:r>
              </w:p>
              <w:p>
                <w:pPr>
                  <w:spacing w:line="259" w:lineRule="auto"/>
                  <w:jc w:val="both"/>
                  <w:rPr>
                    <w:color w:val="000000"/>
                    <w:kern w:val="2"/>
                    <w:sz w:val="22"/>
                    <w:szCs w:val="22"/>
                  </w:rPr>
                </w:pPr>
                <w:r>
                  <w:rPr>
                    <w:color w:val="000000"/>
                    <w:kern w:val="2"/>
                    <w:sz w:val="22"/>
                    <w:szCs w:val="22"/>
                  </w:rPr>
                  <w:t xml:space="preserve">2) Pakuočių atliekų tvarkymo subjektai privalo teikti kompetentingoms institucijoms ir gamintojams arba gamintojo atsakomybę perimančioms organizacijoms informaciją apie pakuočių atliekas, kaip nustatyta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23 straipsnyje.</w:t>
                </w: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24 straipsnis</w:t>
                </w:r>
              </w:p>
              <w:p>
                <w:pPr>
                  <w:rPr>
                    <w:sz w:val="10"/>
                    <w:szCs w:val="10"/>
                  </w:rPr>
                </w:pPr>
              </w:p>
              <w:p>
                <w:pPr>
                  <w:jc w:val="center"/>
                  <w:rPr>
                    <w:b/>
                    <w:bCs/>
                    <w:szCs w:val="24"/>
                    <w:lang w:eastAsia="lt-LT"/>
                  </w:rPr>
                </w:pPr>
                <w:r>
                  <w:rPr>
                    <w:b/>
                    <w:bCs/>
                    <w:szCs w:val="24"/>
                    <w:lang w:eastAsia="lt-LT"/>
                  </w:rPr>
                  <w:t>Su perteklinėmis pakuotėmis susijusi pareiga</w:t>
                </w:r>
              </w:p>
              <w:p>
                <w:pPr>
                  <w:rPr>
                    <w:sz w:val="8"/>
                    <w:szCs w:val="8"/>
                  </w:rPr>
                </w:pPr>
              </w:p>
              <w:p>
                <w:pPr>
                  <w:jc w:val="both"/>
                  <w:rPr>
                    <w:szCs w:val="24"/>
                    <w:lang w:eastAsia="lt-LT"/>
                  </w:rPr>
                </w:pPr>
                <w:r>
                  <w:rPr>
                    <w:szCs w:val="24"/>
                    <w:lang w:eastAsia="lt-LT"/>
                  </w:rPr>
                  <w:t>1. Ne vėliau kaip 2030 m. sausio 1 d. arba praėjus 3 metams nuo pagal 2 dalį priimtų įgyvendinimo aktų įsigaliojimo dienos, atsižvelgiant į tai, kuri data yra vėlesnė, ekonominės veiklos vykdytojai, užpildantys pakuotes grupinėje pakuotėje, transportavimo pakuotėje ar e. prekybos siuntų pakuotėje, užtikrina, kad maksimali tuščios ertmės santykinė dalis, išreiškiama procentais, būtų 50 %.</w:t>
                </w:r>
              </w:p>
              <w:p>
                <w:pPr>
                  <w:rPr>
                    <w:sz w:val="8"/>
                    <w:szCs w:val="8"/>
                  </w:rPr>
                </w:pPr>
              </w:p>
              <w:p>
                <w:pPr>
                  <w:jc w:val="both"/>
                  <w:rPr>
                    <w:szCs w:val="24"/>
                    <w:lang w:eastAsia="lt-LT"/>
                  </w:rPr>
                </w:pPr>
                <w:r>
                  <w:rPr>
                    <w:szCs w:val="24"/>
                    <w:lang w:eastAsia="lt-LT"/>
                  </w:rPr>
                  <w:t>[...]</w:t>
                </w:r>
              </w:p>
              <w:p>
                <w:pPr>
                  <w:rPr>
                    <w:sz w:val="8"/>
                    <w:szCs w:val="8"/>
                  </w:rPr>
                </w:pPr>
              </w:p>
              <w:p>
                <w:pPr>
                  <w:jc w:val="both"/>
                  <w:rPr>
                    <w:szCs w:val="24"/>
                    <w:lang w:eastAsia="lt-LT"/>
                  </w:rPr>
                </w:pPr>
                <w:r>
                  <w:rPr>
                    <w:szCs w:val="24"/>
                    <w:lang w:eastAsia="lt-LT"/>
                  </w:rPr>
                  <w:t>6. Ne vėliau kaip 2032 m. vasario 12 d. Komisija peržiūri 1 dalyje nurodytą tuščios ertmės santykinę dalį bei 5 dalyje nurodytas išimtis ir įvertina galimybę nustatyti tuščios ertmės santykines dalis prekinėms pakuotėms, visų pirma žaislams, kosmetikai, rinkiniams „pasidaryk pats“ ir elektroniniams gaminiams.</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8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bendrosios pareigos</w:t>
                </w:r>
              </w:p>
              <w:p>
                <w:pPr>
                  <w:rPr>
                    <w:sz w:val="10"/>
                    <w:szCs w:val="10"/>
                  </w:rPr>
                </w:pPr>
              </w:p>
              <w:p>
                <w:pPr>
                  <w:spacing w:line="259" w:lineRule="auto"/>
                  <w:jc w:val="both"/>
                  <w:rPr>
                    <w:color w:val="000000"/>
                    <w:kern w:val="2"/>
                    <w:sz w:val="22"/>
                    <w:szCs w:val="22"/>
                  </w:rPr>
                </w:pPr>
                <w:r>
                  <w:rPr>
                    <w:color w:val="000000"/>
                    <w:kern w:val="2"/>
                    <w:sz w:val="22"/>
                    <w:szCs w:val="22"/>
                  </w:rPr>
                  <w:t>3. Ekonominės veiklos vykdytojų teisės ir pareigos susijusios su informacijos pateikimu:</w:t>
                </w:r>
              </w:p>
              <w:p>
                <w:pPr>
                  <w:spacing w:line="259" w:lineRule="auto"/>
                  <w:jc w:val="both"/>
                  <w:rPr>
                    <w:kern w:val="2"/>
                    <w:sz w:val="22"/>
                    <w:szCs w:val="22"/>
                  </w:rPr>
                </w:pPr>
                <w:r>
                  <w:rPr>
                    <w:color w:val="000000"/>
                    <w:kern w:val="2"/>
                    <w:sz w:val="22"/>
                    <w:szCs w:val="22"/>
                  </w:rPr>
                  <w:t xml:space="preserve">4. Ekonominės veiklos vykdytojai privalo užtikrinti, kad grupinėse, transportavimo ar e. prekybos siuntų pakuotėse tuščios ertmės dalis neviršytų 50 %, kaip nustatyta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24 straipsnyje, išskyrus atvejus, numatytus Reglamento </w:t>
                </w:r>
                <w:fldSimple w:instr="HYPERLINK http://eur-lex.europa.eu/legal-content/LIT/TXT/?uri=CELEX:32025R0040&amp;locale=lt \t _blank">
                  <w:r>
                    <w:rPr>
                      <w:color w:val="0000FF" w:themeColor="hyperlink"/>
                      <w:kern w:val="2"/>
                      <w:sz w:val="22"/>
                      <w:szCs w:val="22"/>
                      <w:u w:val="single"/>
                    </w:rPr>
                    <w:t>2025/40</w:t>
                  </w:r>
                </w:fldSimple>
                <w:r>
                  <w:rPr>
                    <w:color w:val="000000"/>
                    <w:kern w:val="2"/>
                    <w:sz w:val="22"/>
                    <w:szCs w:val="22"/>
                  </w:rPr>
                  <w:t xml:space="preserve"> 24 straipsnio 5 dalyje.</w:t>
                </w:r>
              </w:p>
              <w:p>
                <w:pPr>
                  <w:spacing w:line="259" w:lineRule="auto"/>
                  <w:jc w:val="both"/>
                  <w:rPr>
                    <w:color w:val="000000"/>
                    <w:kern w:val="2"/>
                    <w:sz w:val="22"/>
                    <w:szCs w:val="22"/>
                  </w:rPr>
                </w:pP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25 straipsnis</w:t>
                </w:r>
              </w:p>
              <w:p>
                <w:pPr>
                  <w:rPr>
                    <w:sz w:val="10"/>
                    <w:szCs w:val="10"/>
                  </w:rPr>
                </w:pPr>
              </w:p>
              <w:p>
                <w:pPr>
                  <w:jc w:val="center"/>
                  <w:rPr>
                    <w:b/>
                    <w:bCs/>
                    <w:szCs w:val="24"/>
                    <w:lang w:eastAsia="lt-LT"/>
                  </w:rPr>
                </w:pPr>
                <w:r>
                  <w:rPr>
                    <w:b/>
                    <w:bCs/>
                    <w:szCs w:val="24"/>
                    <w:lang w:eastAsia="lt-LT"/>
                  </w:rPr>
                  <w:t>Tam tikrų formų pakuočių naudojimo apribojimai</w:t>
                </w:r>
              </w:p>
              <w:p>
                <w:pPr>
                  <w:rPr>
                    <w:sz w:val="8"/>
                    <w:szCs w:val="8"/>
                  </w:rPr>
                </w:pPr>
              </w:p>
              <w:p>
                <w:pPr>
                  <w:jc w:val="both"/>
                  <w:rPr>
                    <w:szCs w:val="24"/>
                    <w:lang w:eastAsia="lt-LT"/>
                  </w:rPr>
                </w:pPr>
                <w:r>
                  <w:rPr>
                    <w:szCs w:val="24"/>
                    <w:lang w:eastAsia="lt-LT"/>
                  </w:rPr>
                  <w:t>1. Nuo 2030 m. sausio 1 d. ekonominės veiklos vykdytojai negali pateikti rinkai V priede nurodytų formų ir paskirčių pakuočių.</w:t>
                </w:r>
              </w:p>
              <w:p>
                <w:pPr>
                  <w:rPr>
                    <w:sz w:val="8"/>
                    <w:szCs w:val="8"/>
                  </w:rPr>
                </w:pPr>
              </w:p>
              <w:p>
                <w:pPr>
                  <w:jc w:val="both"/>
                  <w:rPr>
                    <w:szCs w:val="24"/>
                    <w:lang w:eastAsia="lt-LT"/>
                  </w:rPr>
                </w:pPr>
                <w:r>
                  <w:rPr>
                    <w:szCs w:val="24"/>
                    <w:lang w:eastAsia="lt-LT"/>
                  </w:rPr>
                  <w:t>[...]</w:t>
                </w:r>
              </w:p>
              <w:p>
                <w:pPr>
                  <w:rPr>
                    <w:sz w:val="8"/>
                    <w:szCs w:val="8"/>
                  </w:rPr>
                </w:pPr>
              </w:p>
              <w:p>
                <w:pPr>
                  <w:jc w:val="both"/>
                  <w:rPr>
                    <w:szCs w:val="24"/>
                    <w:lang w:eastAsia="lt-LT"/>
                  </w:rPr>
                </w:pPr>
                <w:r>
                  <w:rPr>
                    <w:szCs w:val="24"/>
                    <w:lang w:eastAsia="lt-LT"/>
                  </w:rPr>
                  <w:t>6. Ne vėliau kaip 2027 m. vasario 12 d. Komisija, pasikonsultavusi su valstybėmis narėmis ir Europos maisto saugos tarnyba, paskelbia gaires, kuriomis išsamiau paaiškinamas V priedas, įskaitant į taikymo sritį patenkančių pakuočių formų pavyzdžius, ir visos apribojimų išimtys, bei pateikia vaisių ir daržovių, kuriems netaikomas V priedo 2 punktas, nebaigtinį sąrašą.</w:t>
                </w:r>
              </w:p>
              <w:p>
                <w:pPr>
                  <w:rPr>
                    <w:sz w:val="8"/>
                    <w:szCs w:val="8"/>
                  </w:rPr>
                </w:pPr>
              </w:p>
              <w:p>
                <w:pPr>
                  <w:jc w:val="center"/>
                  <w:rPr>
                    <w:color w:val="000000"/>
                    <w:szCs w:val="24"/>
                    <w:lang w:eastAsia="lt-LT"/>
                  </w:rPr>
                </w:pP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22</w:t>
                </w:r>
                <w:r>
                  <w:rPr>
                    <w:color w:val="000000"/>
                    <w:szCs w:val="24"/>
                    <w:vertAlign w:val="superscript"/>
                    <w:lang w:eastAsia="lt-LT"/>
                  </w:rPr>
                  <w:t>1</w:t>
                </w:r>
                <w:r>
                  <w:rPr>
                    <w:szCs w:val="24"/>
                    <w:lang w:eastAsia="lt-LT"/>
                  </w:rPr>
                  <w:t xml:space="preserve"> </w:t>
                </w:r>
                <w:r>
                  <w:rPr>
                    <w:color w:val="000000"/>
                    <w:szCs w:val="24"/>
                    <w:lang w:eastAsia="lt-LT"/>
                  </w:rPr>
                  <w:t> straipsnis</w:t>
                </w:r>
              </w:p>
              <w:p>
                <w:pPr>
                  <w:rPr>
                    <w:sz w:val="10"/>
                    <w:szCs w:val="10"/>
                  </w:rPr>
                </w:pPr>
              </w:p>
              <w:p>
                <w:pPr>
                  <w:pBdr>
                    <w:top w:val="nil"/>
                    <w:left w:val="nil"/>
                    <w:bottom w:val="nil"/>
                    <w:right w:val="nil"/>
                    <w:between w:val="nil"/>
                  </w:pBdr>
                  <w:jc w:val="center"/>
                  <w:rPr>
                    <w:color w:val="D13438"/>
                    <w:kern w:val="2"/>
                    <w:szCs w:val="24"/>
                  </w:rPr>
                </w:pPr>
                <w:r>
                  <w:rPr>
                    <w:b/>
                    <w:bCs/>
                    <w:color w:val="000000"/>
                    <w:kern w:val="2"/>
                    <w:szCs w:val="24"/>
                  </w:rPr>
                  <w:t>Draudimas pateikti tam tikrų formų pakuotes rinkai</w:t>
                </w:r>
              </w:p>
              <w:p>
                <w:pPr>
                  <w:jc w:val="both"/>
                  <w:rPr>
                    <w:color w:val="D13438"/>
                    <w:kern w:val="2"/>
                    <w:sz w:val="22"/>
                    <w:szCs w:val="22"/>
                  </w:rPr>
                </w:pPr>
                <w:r>
                  <w:rPr>
                    <w:color w:val="000000"/>
                    <w:kern w:val="2"/>
                    <w:sz w:val="22"/>
                    <w:szCs w:val="22"/>
                  </w:rPr>
                  <w:t xml:space="preserve">Ekonominės veiklos vykdytojams draudžiama pateikti rinkai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V priede 2025/40 nurodytų formų ir paskirčių pakuočių, kaip numatyta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25 straipsnyje.</w:t>
                </w: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26 straipsnis</w:t>
                </w:r>
              </w:p>
              <w:p>
                <w:pPr>
                  <w:rPr>
                    <w:sz w:val="10"/>
                    <w:szCs w:val="10"/>
                  </w:rPr>
                </w:pPr>
              </w:p>
              <w:p>
                <w:pPr>
                  <w:jc w:val="center"/>
                  <w:rPr>
                    <w:b/>
                    <w:bCs/>
                    <w:szCs w:val="24"/>
                    <w:lang w:eastAsia="lt-LT"/>
                  </w:rPr>
                </w:pPr>
                <w:r>
                  <w:rPr>
                    <w:b/>
                    <w:bCs/>
                    <w:szCs w:val="24"/>
                    <w:lang w:eastAsia="lt-LT"/>
                  </w:rPr>
                  <w:t>Su daugkartinėmis pakuotėmis susijusios pareigos</w:t>
                </w:r>
              </w:p>
              <w:p>
                <w:pPr>
                  <w:rPr>
                    <w:sz w:val="8"/>
                    <w:szCs w:val="8"/>
                  </w:rPr>
                </w:pPr>
              </w:p>
              <w:p>
                <w:pPr>
                  <w:jc w:val="both"/>
                  <w:rPr>
                    <w:szCs w:val="24"/>
                    <w:lang w:eastAsia="lt-LT"/>
                  </w:rPr>
                </w:pPr>
                <w:r>
                  <w:rPr>
                    <w:szCs w:val="24"/>
                    <w:lang w:eastAsia="lt-LT"/>
                  </w:rPr>
                  <w:t>1. Ekonominės veiklos vykdytojai, valstybės narės teritorijoje pirmą kartą rinkai tiekiantys daugkartines pakuotes, užtikrina, kad toje valstybėje narėje būtų įdiegta tokių pakuočių pakartotinio naudojimo sistema, kurioje būtų numatyta paskata užtikrinti tų pakuočių surinkimą ir kuri atitiktų VI priede nustatytus reikalavimus. Laikoma, kad tie ekonominės veiklos vykdytojai tenkina šios dalies reikalavimus, jei jie naudojasi valstybėse narėse jau įdiegtomis pakartotinio naudojimo sistemomis.</w:t>
                </w:r>
              </w:p>
              <w:p>
                <w:pPr>
                  <w:rPr>
                    <w:sz w:val="8"/>
                    <w:szCs w:val="8"/>
                  </w:rPr>
                </w:pPr>
              </w:p>
              <w:p>
                <w:pPr>
                  <w:jc w:val="both"/>
                  <w:rPr>
                    <w:szCs w:val="24"/>
                    <w:lang w:eastAsia="lt-LT"/>
                  </w:rPr>
                </w:pPr>
                <w:r>
                  <w:rPr>
                    <w:szCs w:val="24"/>
                    <w:lang w:eastAsia="lt-LT"/>
                  </w:rPr>
                  <w:t>[...]</w:t>
                </w:r>
              </w:p>
              <w:p>
                <w:pPr>
                  <w:rPr>
                    <w:sz w:val="8"/>
                    <w:szCs w:val="8"/>
                  </w:rPr>
                </w:pPr>
              </w:p>
              <w:p>
                <w:pPr>
                  <w:jc w:val="both"/>
                  <w:rPr>
                    <w:szCs w:val="24"/>
                    <w:lang w:eastAsia="lt-LT"/>
                  </w:rPr>
                </w:pPr>
                <w:r>
                  <w:rPr>
                    <w:szCs w:val="24"/>
                    <w:lang w:eastAsia="lt-LT"/>
                  </w:rPr>
                  <w:t>2. Tos sistemos atitikties tiems reikalavimams pagal šio straipsnio 1 dalį aprašas parengiamas kaip daugkartinių pakuočių techninių dokumentų, teiktinų pagal 11 straipsnio 3 dalį, dalis. Tuo tikslu fizinis gamintojas prašo sistemos dalyvių pateikti atitinkamus raštiškus patvirtinimus, kaip nustatyta VI priede.</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9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pareigos, susijusios su pakartotinio naudojimo sistemomis</w:t>
                </w:r>
              </w:p>
              <w:p>
                <w:pPr>
                  <w:rPr>
                    <w:sz w:val="10"/>
                    <w:szCs w:val="10"/>
                  </w:rPr>
                </w:pPr>
              </w:p>
              <w:p>
                <w:pPr>
                  <w:jc w:val="both"/>
                  <w:rPr>
                    <w:color w:val="D13438"/>
                    <w:kern w:val="2"/>
                    <w:sz w:val="22"/>
                    <w:szCs w:val="22"/>
                  </w:rPr>
                </w:pPr>
                <w:r>
                  <w:rPr>
                    <w:color w:val="000000"/>
                    <w:kern w:val="2"/>
                    <w:sz w:val="22"/>
                    <w:szCs w:val="22"/>
                  </w:rPr>
                  <w:t>1. Ekonominės veiklos vykdytojų pareigos, susijusios su pakartotinio naudojimo sistemomis:</w:t>
                </w:r>
              </w:p>
              <w:p>
                <w:pPr>
                  <w:jc w:val="both"/>
                  <w:rPr>
                    <w:color w:val="D13438"/>
                    <w:kern w:val="2"/>
                    <w:sz w:val="22"/>
                    <w:szCs w:val="22"/>
                  </w:rPr>
                </w:pPr>
                <w:r>
                  <w:rPr>
                    <w:color w:val="000000"/>
                    <w:kern w:val="2"/>
                    <w:sz w:val="22"/>
                    <w:szCs w:val="22"/>
                  </w:rPr>
                  <w:t xml:space="preserve">1) įdiegti pakartotinio naudojimo sistemas pagal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26 straipsnyje nustatytus reikalavimus.</w:t>
                </w: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27 straipsnis</w:t>
                </w:r>
              </w:p>
              <w:p>
                <w:pPr>
                  <w:rPr>
                    <w:sz w:val="10"/>
                    <w:szCs w:val="10"/>
                  </w:rPr>
                </w:pPr>
              </w:p>
              <w:p>
                <w:pPr>
                  <w:jc w:val="center"/>
                  <w:rPr>
                    <w:b/>
                    <w:bCs/>
                    <w:szCs w:val="24"/>
                    <w:lang w:eastAsia="lt-LT"/>
                  </w:rPr>
                </w:pPr>
                <w:r>
                  <w:rPr>
                    <w:b/>
                    <w:bCs/>
                    <w:szCs w:val="24"/>
                    <w:lang w:eastAsia="lt-LT"/>
                  </w:rPr>
                  <w:t>Su pakartotinio naudojimo sistemomis susijusi pareiga</w:t>
                </w:r>
              </w:p>
              <w:p>
                <w:pPr>
                  <w:rPr>
                    <w:sz w:val="8"/>
                    <w:szCs w:val="8"/>
                  </w:rPr>
                </w:pPr>
              </w:p>
              <w:p>
                <w:pPr>
                  <w:jc w:val="both"/>
                  <w:rPr>
                    <w:szCs w:val="24"/>
                    <w:lang w:eastAsia="lt-LT"/>
                  </w:rPr>
                </w:pPr>
                <w:r>
                  <w:rPr>
                    <w:szCs w:val="24"/>
                    <w:lang w:eastAsia="lt-LT"/>
                  </w:rPr>
                  <w:t>1. Daugkartines pakuotes naudojantys ekonominės veiklos vykdytojai dalyvauja vienoje ar daugiau pakartotinio naudojimo sistemų ir užtikrina, kad pakartotinio naudojimo sistemos, pagal kurias daugkartinės pakuotės gali būti naudojamos pakartotinai, atitiktų VI priedo A dalyje nustatytus reikalavimus.</w:t>
                </w:r>
              </w:p>
              <w:p>
                <w:pPr>
                  <w:rPr>
                    <w:sz w:val="8"/>
                    <w:szCs w:val="8"/>
                  </w:rPr>
                </w:pPr>
              </w:p>
              <w:p>
                <w:pPr>
                  <w:jc w:val="both"/>
                  <w:rPr>
                    <w:szCs w:val="24"/>
                    <w:lang w:eastAsia="lt-LT"/>
                  </w:rPr>
                </w:pPr>
                <w:r>
                  <w:rPr>
                    <w:szCs w:val="24"/>
                    <w:lang w:eastAsia="lt-LT"/>
                  </w:rPr>
                  <w:t>[...]</w:t>
                </w:r>
              </w:p>
              <w:p>
                <w:pPr>
                  <w:rPr>
                    <w:sz w:val="8"/>
                    <w:szCs w:val="8"/>
                  </w:rPr>
                </w:pPr>
              </w:p>
              <w:p>
                <w:pPr>
                  <w:jc w:val="both"/>
                  <w:rPr>
                    <w:szCs w:val="24"/>
                    <w:lang w:eastAsia="lt-LT"/>
                  </w:rPr>
                </w:pPr>
                <w:r>
                  <w:rPr>
                    <w:szCs w:val="24"/>
                    <w:lang w:eastAsia="lt-LT"/>
                  </w:rPr>
                  <w:t>4. Ekonominės veiklos vykdytojai, naudojantys daugkartines pakuotes uždarojo ciklo sistemose pagal VI priede nustatytus reikalavimus, privalo grąžinti pakuotes į sistemos dalyvių nustatytą ir sistemos operatoriaus patvirtintą vieną ar daugiau surinkimo punktų.</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9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pareigos, susijusios su pakartotinio naudojimo sistemomis</w:t>
                </w:r>
              </w:p>
              <w:p>
                <w:pPr>
                  <w:rPr>
                    <w:sz w:val="10"/>
                    <w:szCs w:val="10"/>
                  </w:rPr>
                </w:pPr>
              </w:p>
              <w:p>
                <w:pPr>
                  <w:jc w:val="both"/>
                  <w:rPr>
                    <w:color w:val="D13438"/>
                    <w:kern w:val="2"/>
                    <w:sz w:val="22"/>
                    <w:szCs w:val="22"/>
                  </w:rPr>
                </w:pPr>
                <w:r>
                  <w:rPr>
                    <w:color w:val="000000"/>
                    <w:kern w:val="2"/>
                    <w:sz w:val="22"/>
                    <w:szCs w:val="22"/>
                  </w:rPr>
                  <w:t>1. Ekonominės veiklos vykdytojų pareigos, susijusios su pakartotinio naudojimo sistemomis:</w:t>
                </w:r>
              </w:p>
              <w:p>
                <w:pPr>
                  <w:jc w:val="both"/>
                  <w:rPr>
                    <w:kern w:val="2"/>
                    <w:sz w:val="22"/>
                    <w:szCs w:val="22"/>
                  </w:rPr>
                </w:pPr>
                <w:r>
                  <w:rPr>
                    <w:color w:val="000000"/>
                    <w:kern w:val="2"/>
                    <w:sz w:val="22"/>
                    <w:szCs w:val="22"/>
                  </w:rPr>
                  <w:t xml:space="preserve">2) dalyvauti pakartotinio naudojimo sistemose pagal Reglamento ES) 2025/40 27 straipsnyje nustatytus reikalavimus. </w:t>
                </w:r>
                <w:r>
                  <w:rPr>
                    <w:kern w:val="2"/>
                    <w:sz w:val="22"/>
                    <w:szCs w:val="22"/>
                  </w:rPr>
                  <w:t xml:space="preserve"> </w:t>
                </w:r>
              </w:p>
              <w:p>
                <w:pPr>
                  <w:jc w:val="both"/>
                  <w:rPr>
                    <w:color w:val="000000"/>
                    <w:kern w:val="2"/>
                    <w:sz w:val="22"/>
                    <w:szCs w:val="22"/>
                  </w:rPr>
                </w:pPr>
              </w:p>
              <w:p>
                <w:pPr>
                  <w:rPr>
                    <w:sz w:val="6"/>
                    <w:szCs w:val="6"/>
                  </w:rPr>
                </w:pPr>
              </w:p>
              <w:p>
                <w:pPr>
                  <w:shd w:val="clear" w:color="auto" w:fill="FFFFFF"/>
                  <w:jc w:val="center"/>
                  <w:rPr>
                    <w:b/>
                    <w:bCs/>
                    <w:color w:val="000000"/>
                    <w:szCs w:val="24"/>
                    <w:lang w:eastAsia="lt-LT"/>
                  </w:rPr>
                </w:pPr>
              </w:p>
              <w:p>
                <w:pPr>
                  <w:rPr>
                    <w:sz w:val="10"/>
                    <w:szCs w:val="10"/>
                  </w:rPr>
                </w:pPr>
              </w:p>
              <w:p>
                <w:pPr>
                  <w:shd w:val="clear" w:color="auto" w:fill="FFFFFF"/>
                  <w:jc w:val="center"/>
                  <w:rPr>
                    <w:b/>
                    <w:bCs/>
                    <w:color w:val="000000"/>
                    <w:szCs w:val="24"/>
                    <w:lang w:eastAsia="lt-LT"/>
                  </w:rPr>
                </w:pPr>
              </w:p>
              <w:p>
                <w:pPr>
                  <w:rPr>
                    <w:sz w:val="10"/>
                    <w:szCs w:val="10"/>
                  </w:rPr>
                </w:pPr>
              </w:p>
              <w:p>
                <w:pPr>
                  <w:jc w:val="center"/>
                  <w:rPr>
                    <w:color w:val="000000"/>
                    <w:szCs w:val="24"/>
                    <w:lang w:eastAsia="lt-LT"/>
                  </w:rPr>
                </w:pPr>
              </w:p>
            </w:tc>
            <w:tc>
              <w:tcPr>
                <w:tcW w:w="3543" w:type="dxa"/>
              </w:tcPr>
              <w:p>
                <w:pPr>
                  <w:jc w:val="center"/>
                  <w:rPr>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28 straipsnis</w:t>
                </w:r>
              </w:p>
              <w:p>
                <w:pPr>
                  <w:rPr>
                    <w:sz w:val="10"/>
                    <w:szCs w:val="10"/>
                  </w:rPr>
                </w:pPr>
              </w:p>
              <w:p>
                <w:pPr>
                  <w:jc w:val="center"/>
                  <w:rPr>
                    <w:b/>
                    <w:bCs/>
                    <w:szCs w:val="24"/>
                    <w:lang w:eastAsia="lt-LT"/>
                  </w:rPr>
                </w:pPr>
                <w:r>
                  <w:rPr>
                    <w:b/>
                    <w:bCs/>
                    <w:szCs w:val="24"/>
                    <w:lang w:eastAsia="lt-LT"/>
                  </w:rPr>
                  <w:t>Su pakartotiniu užpildymu susijusios pareigos</w:t>
                </w:r>
              </w:p>
              <w:p>
                <w:pPr>
                  <w:rPr>
                    <w:sz w:val="8"/>
                    <w:szCs w:val="8"/>
                  </w:rPr>
                </w:pPr>
              </w:p>
              <w:p>
                <w:pPr>
                  <w:jc w:val="both"/>
                  <w:rPr>
                    <w:szCs w:val="24"/>
                    <w:lang w:eastAsia="lt-LT"/>
                  </w:rPr>
                </w:pPr>
                <w:r>
                  <w:rPr>
                    <w:szCs w:val="24"/>
                    <w:lang w:eastAsia="lt-LT"/>
                  </w:rPr>
                  <w:t>1. Ekonominės veiklos vykdytojai, teikiantys galimybę pirkti produktus pakartotinai užpildant tarą, informuoja galutinius naudotojus apie šiuos dalykus (pakartotinio užpildymo taisyklės):</w:t>
                </w:r>
              </w:p>
              <w:p>
                <w:pPr>
                  <w:rPr>
                    <w:sz w:val="8"/>
                    <w:szCs w:val="8"/>
                  </w:rPr>
                </w:pPr>
              </w:p>
              <w:p>
                <w:pPr>
                  <w:jc w:val="both"/>
                  <w:rPr>
                    <w:szCs w:val="24"/>
                    <w:lang w:eastAsia="lt-LT"/>
                  </w:rPr>
                </w:pPr>
                <w:r>
                  <w:rPr>
                    <w:szCs w:val="24"/>
                    <w:lang w:eastAsia="lt-LT"/>
                  </w:rPr>
                  <w:t>[...]</w:t>
                </w:r>
              </w:p>
              <w:p>
                <w:pPr>
                  <w:rPr>
                    <w:sz w:val="8"/>
                    <w:szCs w:val="8"/>
                  </w:rPr>
                </w:pPr>
              </w:p>
              <w:p>
                <w:pPr>
                  <w:jc w:val="both"/>
                  <w:rPr>
                    <w:szCs w:val="24"/>
                    <w:lang w:eastAsia="lt-LT"/>
                  </w:rPr>
                </w:pPr>
                <w:r>
                  <w:rPr>
                    <w:szCs w:val="24"/>
                    <w:lang w:eastAsia="lt-LT"/>
                  </w:rPr>
                  <w:t>5. Nuo 2030 m. sausio 1 d. galutiniai platintojai, kurių prekybos plotas yra didesnis nei 400 m2 , stengiasi 10 % to prekybos ploto skirti maisto ir ne maisto produktų pakartotinio užpildymo punktams.</w:t>
                </w:r>
              </w:p>
              <w:p>
                <w:pPr>
                  <w:rPr>
                    <w:sz w:val="8"/>
                    <w:szCs w:val="8"/>
                  </w:rPr>
                </w:pPr>
              </w:p>
              <w:p>
                <w:pPr>
                  <w:jc w:val="center"/>
                  <w:rPr>
                    <w:b/>
                    <w:bCs/>
                    <w:szCs w:val="24"/>
                    <w:lang w:eastAsia="lt-LT"/>
                  </w:rPr>
                </w:pPr>
              </w:p>
              <w:p>
                <w:pPr>
                  <w:rPr>
                    <w:sz w:val="8"/>
                    <w:szCs w:val="8"/>
                  </w:rPr>
                </w:pPr>
              </w:p>
              <w:p>
                <w:pPr>
                  <w:jc w:val="center"/>
                  <w:rPr>
                    <w:color w:val="000000"/>
                    <w:szCs w:val="24"/>
                    <w:lang w:eastAsia="lt-LT"/>
                  </w:rPr>
                </w:pP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10 straipsnis</w:t>
                </w:r>
              </w:p>
              <w:p>
                <w:pPr>
                  <w:rPr>
                    <w:sz w:val="10"/>
                    <w:szCs w:val="10"/>
                  </w:rPr>
                </w:pPr>
              </w:p>
              <w:p>
                <w:pPr>
                  <w:jc w:val="center"/>
                  <w:rPr>
                    <w:b/>
                    <w:bCs/>
                    <w:color w:val="000000"/>
                    <w:sz w:val="22"/>
                    <w:szCs w:val="22"/>
                    <w:lang w:eastAsia="lt-LT"/>
                  </w:rPr>
                </w:pPr>
                <w:r>
                  <w:rPr>
                    <w:b/>
                    <w:bCs/>
                    <w:color w:val="000000"/>
                    <w:szCs w:val="24"/>
                    <w:lang w:eastAsia="lt-LT"/>
                  </w:rPr>
                  <w:t>Ekonominės veiklos vykdytojų pareigos, susijusios su pakartotiniu užpildym</w:t>
                </w:r>
                <w:r>
                  <w:rPr>
                    <w:b/>
                    <w:bCs/>
                    <w:color w:val="000000"/>
                    <w:sz w:val="22"/>
                    <w:szCs w:val="22"/>
                    <w:lang w:eastAsia="lt-LT"/>
                  </w:rPr>
                  <w:t>u</w:t>
                </w:r>
              </w:p>
              <w:p>
                <w:pPr>
                  <w:rPr>
                    <w:sz w:val="8"/>
                    <w:szCs w:val="8"/>
                  </w:rPr>
                </w:pPr>
              </w:p>
              <w:p>
                <w:pPr>
                  <w:jc w:val="both"/>
                  <w:rPr>
                    <w:color w:val="D13438"/>
                    <w:kern w:val="2"/>
                    <w:sz w:val="22"/>
                    <w:szCs w:val="22"/>
                  </w:rPr>
                </w:pPr>
                <w:r>
                  <w:rPr>
                    <w:color w:val="000000"/>
                    <w:kern w:val="2"/>
                    <w:sz w:val="22"/>
                    <w:szCs w:val="22"/>
                  </w:rPr>
                  <w:t>1. Ekonominės veiklos vykdytojų pareigos, susijusios su pakartotinio pakartotiniu užpildymu:</w:t>
                </w:r>
              </w:p>
              <w:p>
                <w:pPr>
                  <w:jc w:val="both"/>
                  <w:rPr>
                    <w:color w:val="D13438"/>
                    <w:kern w:val="2"/>
                    <w:sz w:val="22"/>
                    <w:szCs w:val="22"/>
                  </w:rPr>
                </w:pPr>
                <w:r>
                  <w:rPr>
                    <w:color w:val="000000"/>
                    <w:kern w:val="2"/>
                    <w:sz w:val="22"/>
                    <w:szCs w:val="22"/>
                  </w:rPr>
                  <w:t xml:space="preserve">1) Informuoti galutinius naudotojus apie pakartotinio užpildymo taisykles, kaip numatyta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28 straipsnio1 dalyje.</w:t>
                </w:r>
              </w:p>
              <w:p>
                <w:pPr>
                  <w:jc w:val="both"/>
                  <w:rPr>
                    <w:color w:val="D13438"/>
                    <w:kern w:val="2"/>
                    <w:sz w:val="22"/>
                    <w:szCs w:val="22"/>
                  </w:rPr>
                </w:pPr>
                <w:r>
                  <w:rPr>
                    <w:color w:val="000000"/>
                    <w:kern w:val="2"/>
                    <w:sz w:val="22"/>
                    <w:szCs w:val="22"/>
                  </w:rPr>
                  <w:t xml:space="preserve">2) Užtikrinti kad pakartotinio naudojimo užpildymo punktai atitiktų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28 straipsnio 2 dalyje nustatytus reikalavimus </w:t>
                </w:r>
              </w:p>
              <w:p>
                <w:pPr>
                  <w:jc w:val="both"/>
                  <w:rPr>
                    <w:color w:val="D13438"/>
                    <w:kern w:val="2"/>
                    <w:sz w:val="22"/>
                    <w:szCs w:val="22"/>
                  </w:rPr>
                </w:pPr>
                <w:r>
                  <w:rPr>
                    <w:color w:val="000000"/>
                    <w:kern w:val="2"/>
                    <w:sz w:val="22"/>
                    <w:szCs w:val="22"/>
                  </w:rPr>
                  <w:t xml:space="preserve">3) Užtikrinti, kad pakartotinio naudojimo užpildymo punktuose galutiniams naudotojams siūlomos pakuotės ar tara būtų suteikiamos tik laikantis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28 straipsnio 3 dalyje nustatytų reikalavimų.</w:t>
                </w:r>
              </w:p>
              <w:p>
                <w:pPr>
                  <w:rPr>
                    <w:sz w:val="8"/>
                    <w:szCs w:val="8"/>
                  </w:rPr>
                </w:pPr>
              </w:p>
              <w:p>
                <w:pPr>
                  <w:jc w:val="both"/>
                  <w:rPr>
                    <w:color w:val="000000"/>
                    <w:sz w:val="22"/>
                    <w:szCs w:val="22"/>
                    <w:lang w:eastAsia="lt-LT"/>
                  </w:rPr>
                </w:pPr>
                <w:r>
                  <w:rPr>
                    <w:color w:val="000000"/>
                    <w:sz w:val="22"/>
                    <w:szCs w:val="22"/>
                    <w:lang w:eastAsia="lt-LT"/>
                  </w:rPr>
                  <w:t xml:space="preserve">2. Ekonominės veiklos vykdytojams gali būti taikoma išimtis, dėl jiems šio straipsnio 1 dalyje nustatytų pareigų vykdymo,leidžianti atsisakyti pakartotinai užpildyti galutinio naudotojo pateiktą tarą, kaip numatyta Reglamento </w:t>
                </w:r>
                <w:fldSimple w:instr="HYPERLINK http://eur-lex.europa.eu/legal-content/LIT/TXT/?uri=CELEX:32025R0040&amp;locale=lt \t _blank">
                  <w:r>
                    <w:rPr>
                      <w:color w:val="0000FF" w:themeColor="hyperlink"/>
                      <w:sz w:val="22"/>
                      <w:szCs w:val="22"/>
                      <w:lang w:eastAsia="lt-LT"/>
                      <w:u w:val="single"/>
                    </w:rPr>
                    <w:t>(ES) 2025/40</w:t>
                  </w:r>
                </w:fldSimple>
                <w:r>
                  <w:rPr>
                    <w:color w:val="000000"/>
                    <w:sz w:val="22"/>
                    <w:szCs w:val="22"/>
                    <w:lang w:eastAsia="lt-LT"/>
                  </w:rPr>
                  <w:t xml:space="preserve"> 28 straipsnio 4 dalyje. 3. Ekonominės veiklos vykdytojai, kurių plotas yra didesnis nei  400 m</w:t>
                </w:r>
                <w:r>
                  <w:rPr>
                    <w:color w:val="000000"/>
                    <w:szCs w:val="24"/>
                    <w:vertAlign w:val="superscript"/>
                    <w:lang w:eastAsia="lt-LT"/>
                  </w:rPr>
                  <w:t>2</w:t>
                </w:r>
                <w:r>
                  <w:rPr>
                    <w:color w:val="000000"/>
                    <w:sz w:val="22"/>
                    <w:szCs w:val="22"/>
                    <w:lang w:eastAsia="lt-LT"/>
                  </w:rPr>
                  <w:t xml:space="preserve">, dalį ploto skiria pakartotinio užpildymo punktams, kaip numatyta Reglamento </w:t>
                </w:r>
                <w:fldSimple w:instr="HYPERLINK http://eur-lex.europa.eu/legal-content/LIT/TXT/?uri=CELEX:32025R0040&amp;locale=lt \t _blank">
                  <w:r>
                    <w:rPr>
                      <w:color w:val="0000FF" w:themeColor="hyperlink"/>
                      <w:sz w:val="22"/>
                      <w:szCs w:val="22"/>
                      <w:lang w:eastAsia="lt-LT"/>
                      <w:u w:val="single"/>
                    </w:rPr>
                    <w:t>(ES) 2025/40</w:t>
                  </w:r>
                </w:fldSimple>
                <w:r>
                  <w:rPr>
                    <w:color w:val="000000"/>
                    <w:sz w:val="22"/>
                    <w:szCs w:val="22"/>
                    <w:lang w:eastAsia="lt-LT"/>
                  </w:rPr>
                  <w:t xml:space="preserve"> 28 straipsnio 5 dalyje.</w:t>
                </w: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29 straipsnis</w:t>
                </w:r>
              </w:p>
              <w:p>
                <w:pPr>
                  <w:rPr>
                    <w:sz w:val="10"/>
                    <w:szCs w:val="10"/>
                  </w:rPr>
                </w:pPr>
              </w:p>
              <w:p>
                <w:pPr>
                  <w:jc w:val="center"/>
                  <w:rPr>
                    <w:b/>
                    <w:bCs/>
                    <w:color w:val="000000"/>
                    <w:szCs w:val="24"/>
                    <w:lang w:eastAsia="lt-LT"/>
                  </w:rPr>
                </w:pPr>
                <w:r>
                  <w:rPr>
                    <w:b/>
                    <w:bCs/>
                    <w:color w:val="000000"/>
                    <w:szCs w:val="24"/>
                    <w:lang w:eastAsia="lt-LT"/>
                  </w:rPr>
                  <w:t>Pakartotinio naudojimo tikslai</w:t>
                </w:r>
              </w:p>
              <w:p>
                <w:pPr>
                  <w:rPr>
                    <w:sz w:val="8"/>
                    <w:szCs w:val="8"/>
                  </w:rPr>
                </w:pPr>
              </w:p>
              <w:p>
                <w:pPr>
                  <w:jc w:val="both"/>
                  <w:rPr>
                    <w:szCs w:val="24"/>
                    <w:lang w:eastAsia="lt-LT"/>
                  </w:rPr>
                </w:pPr>
                <w:r>
                  <w:rPr>
                    <w:szCs w:val="24"/>
                    <w:lang w:eastAsia="lt-LT"/>
                  </w:rPr>
                  <w:t>1. Nuo 2030 m. sausio 1 d. ekonominės veiklos vykdytojai, Sąjungos teritorijoje kaip transportavimo pakuotes ar produktams transportuoti naudojamas prekines pakuotes, be kita kito, e. prekyboje platinamiems produktams transportuoti, naudojantys padėklus (angl. pallets), sulankstomas plastikines dėžes, dėžes, padėklus (angl. trays), plastikines grotelines dėžes, vidutinio dydžio piltinių produktų talpyklas, kibirus, statines ir kanistrus – visų dydžių ir pagamintus iš bet kokių medžiagų, bet kita ko, lanksčių formų, ar naudojantys padėklų (angl. pallets) įvyniojimo medžiagas ar tvirtinimo juostas ant jų dedamiems produktams transportavimo metu stabilizuoti ir apsaugoti, užtikrina, kad bendrai bent 40 % tokių pakuočių būtų į pakartotinio naudojimo sistemą įtrauktos daugkartinės pakuotės.</w:t>
                </w:r>
              </w:p>
              <w:p>
                <w:pPr>
                  <w:rPr>
                    <w:sz w:val="8"/>
                    <w:szCs w:val="8"/>
                  </w:rPr>
                </w:pPr>
              </w:p>
              <w:p>
                <w:pPr>
                  <w:jc w:val="both"/>
                  <w:rPr>
                    <w:szCs w:val="24"/>
                    <w:lang w:eastAsia="lt-LT"/>
                  </w:rPr>
                </w:pPr>
                <w:r>
                  <w:rPr>
                    <w:szCs w:val="24"/>
                    <w:lang w:eastAsia="lt-LT"/>
                  </w:rPr>
                  <w:t>[...]</w:t>
                </w:r>
              </w:p>
              <w:p>
                <w:pPr>
                  <w:rPr>
                    <w:sz w:val="8"/>
                    <w:szCs w:val="8"/>
                  </w:rPr>
                </w:pPr>
              </w:p>
              <w:p>
                <w:pPr>
                  <w:jc w:val="both"/>
                  <w:rPr>
                    <w:szCs w:val="24"/>
                    <w:lang w:eastAsia="lt-LT"/>
                  </w:rPr>
                </w:pPr>
                <w:r>
                  <w:rPr>
                    <w:szCs w:val="24"/>
                    <w:lang w:eastAsia="lt-LT"/>
                  </w:rPr>
                  <w:t>Į Komisijos ataskaitą įtraukiamas poveikio užimtumui vertinimas. Su ataskaita, kai tikslinga, pateikiamas pasiūlymas dėl teisėkūros procedūra priimamo akto, kuriuo iš dalies keičiamas šis straipsnis, visų pirma 2040 m. tikslai. Ne vėliau kaip 2032 m. gruodžio mėn. valstybės narės Komisijai pateikia poveikio užimtumui vertinimo duomenis, susijusius su pakartotinio naudojimo tikslų įgyvendinimu jų nacionalinėse teritorijose. Prieš pateikdamos duomenis Komisijai, valstybės narės informuoja nacionalinius socialinius partnerius, atstovaujančius darbuotojams ir darbdaviams sektoriuose, kuriems taikomi pakartotinio pakuočių naudojimo tikslai, ir su jais konsultuojasi.</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9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pareigos, susijusios su pakartotinio naudojimo sistemomis</w:t>
                </w:r>
              </w:p>
              <w:p>
                <w:pPr>
                  <w:rPr>
                    <w:sz w:val="10"/>
                    <w:szCs w:val="10"/>
                  </w:rPr>
                </w:pPr>
              </w:p>
              <w:p>
                <w:pPr>
                  <w:jc w:val="both"/>
                  <w:rPr>
                    <w:color w:val="D13438"/>
                    <w:kern w:val="2"/>
                    <w:sz w:val="22"/>
                    <w:szCs w:val="22"/>
                  </w:rPr>
                </w:pPr>
                <w:r>
                  <w:rPr>
                    <w:color w:val="000000"/>
                    <w:kern w:val="2"/>
                    <w:sz w:val="22"/>
                    <w:szCs w:val="22"/>
                  </w:rPr>
                  <w:t xml:space="preserve">2. Ekonominės veiklos vykdytojų, išskyrus numatytų Reglamento ES) 2025/40 29 straipsnio 13 dalyje,  pareigos, susijusios su Reglamento ES) 2025/40 29 straipsnyje numatytais pakartotinio naudojimo tikslais:</w:t>
                </w:r>
              </w:p>
              <w:p>
                <w:pPr>
                  <w:jc w:val="both"/>
                  <w:rPr>
                    <w:color w:val="D13438"/>
                    <w:kern w:val="2"/>
                    <w:sz w:val="22"/>
                    <w:szCs w:val="22"/>
                  </w:rPr>
                </w:pPr>
                <w:r>
                  <w:rPr>
                    <w:color w:val="000000"/>
                    <w:kern w:val="2"/>
                    <w:sz w:val="22"/>
                    <w:szCs w:val="22"/>
                  </w:rPr>
                  <w:t>1) Užtikrinti, kad transportavimo pakuotės, išskyrus įtvirtintas Reglamento ES) 2025/40 29 straipsnio 4 dalyje, būtų įtrauktos į pakartotinio naudojimo sistemas Reglamento ES) 2025/40 kaip numatyta Reglamento 29 straipsnio 1-3 dalyse</w:t>
                </w:r>
              </w:p>
              <w:p>
                <w:pPr>
                  <w:jc w:val="both"/>
                  <w:rPr>
                    <w:color w:val="D13438"/>
                    <w:kern w:val="2"/>
                    <w:sz w:val="22"/>
                    <w:szCs w:val="22"/>
                  </w:rPr>
                </w:pPr>
                <w:r>
                  <w:rPr>
                    <w:color w:val="000000"/>
                    <w:kern w:val="2"/>
                    <w:sz w:val="22"/>
                    <w:szCs w:val="22"/>
                  </w:rPr>
                  <w:t>2) Užtikrinti, kad grupinės pakuotės būtų įtrauktos į pakartotinio naudojimo sistemas Reglamento ES) 2025/40 kaip numatyta Reglamento ES) 2025/40 29 straipsnio 5 dalyje;</w:t>
                </w:r>
              </w:p>
              <w:p>
                <w:pPr>
                  <w:jc w:val="both"/>
                  <w:rPr>
                    <w:color w:val="D13438"/>
                    <w:kern w:val="2"/>
                    <w:sz w:val="22"/>
                    <w:szCs w:val="22"/>
                  </w:rPr>
                </w:pPr>
                <w:r>
                  <w:rPr>
                    <w:color w:val="000000"/>
                    <w:kern w:val="2"/>
                    <w:sz w:val="22"/>
                    <w:szCs w:val="22"/>
                  </w:rPr>
                  <w:t xml:space="preserve">3) Užtikrinti, kad gėrimų, išskyrus įtvirtintus Reglamento ES) 2025/40 29 straipsnio 7 dalyje, pakuotės būtų įtrauktos į pakartotinio naudojimo sistemas kaip numatyta Reglamento ES) 2025/40 29 straipsnio 6 dalyje. Ši pareiga netaikoma ekonominės veiklos vykdytojams, kurie patenka į Reglamento ES) 2025/40 29 straipsnio 10 dalies taikymo apimtį.  </w:t>
                </w:r>
              </w:p>
              <w:p>
                <w:pPr>
                  <w:jc w:val="both"/>
                  <w:rPr>
                    <w:color w:val="000000"/>
                    <w:kern w:val="2"/>
                    <w:sz w:val="22"/>
                    <w:szCs w:val="22"/>
                  </w:rPr>
                </w:pPr>
                <w:r>
                  <w:rPr>
                    <w:color w:val="000000"/>
                    <w:kern w:val="2"/>
                    <w:sz w:val="22"/>
                    <w:szCs w:val="22"/>
                  </w:rPr>
                  <w:t>3. Ekonominės veiklos vykdytojai, siekiantys įvykdyti šio straipsnio 2 dalies 3 punkte nustatytą pareigą, gali, atitikus Reglamento ES) 2025/40 29 straipsnio 12 dalyje įtvirtintas sąlygas, sudaryti grupes. Sudarius tokią grupę, kompetentinga institucija informuojama aplinkos ministro nustatyta tvarka.</w:t>
                </w: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30 straipsnis</w:t>
                </w:r>
              </w:p>
              <w:p>
                <w:pPr>
                  <w:rPr>
                    <w:sz w:val="10"/>
                    <w:szCs w:val="10"/>
                  </w:rPr>
                </w:pPr>
              </w:p>
              <w:p>
                <w:pPr>
                  <w:shd w:val="clear" w:color="auto" w:fill="FFFFFF"/>
                  <w:jc w:val="center"/>
                  <w:rPr>
                    <w:b/>
                    <w:bCs/>
                    <w:szCs w:val="24"/>
                    <w:lang w:eastAsia="lt-LT"/>
                  </w:rPr>
                </w:pPr>
                <w:r>
                  <w:rPr>
                    <w:b/>
                    <w:bCs/>
                    <w:szCs w:val="24"/>
                    <w:lang w:eastAsia="lt-LT"/>
                  </w:rPr>
                  <w:t>Taisyklės, pagal kurias apskaičiuojama pakartotinio naudojimo tikslų siekimo pažanga</w:t>
                </w:r>
              </w:p>
              <w:p>
                <w:pPr>
                  <w:rPr>
                    <w:sz w:val="10"/>
                    <w:szCs w:val="10"/>
                  </w:rPr>
                </w:pPr>
              </w:p>
              <w:p>
                <w:pPr>
                  <w:shd w:val="clear" w:color="auto" w:fill="FFFFFF"/>
                  <w:jc w:val="both"/>
                  <w:rPr>
                    <w:szCs w:val="24"/>
                    <w:lang w:eastAsia="lt-LT"/>
                  </w:rPr>
                </w:pPr>
                <w:r>
                  <w:rPr>
                    <w:szCs w:val="24"/>
                    <w:lang w:eastAsia="lt-LT"/>
                  </w:rPr>
                  <w:t>1. Siekdamas įrodyti, kad pasiekė 29 straipsnio 1 ir 5 dalyse nustatytus tikslus, pakuotes naudojantis ekonominės veiklos vykdytojas dėl kiekvieno tikslo atskirai apskaičiuoja:</w:t>
                </w:r>
              </w:p>
              <w:p>
                <w:pPr>
                  <w:rPr>
                    <w:sz w:val="10"/>
                    <w:szCs w:val="10"/>
                  </w:rPr>
                </w:pPr>
              </w:p>
              <w:p>
                <w:pPr>
                  <w:shd w:val="clear" w:color="auto" w:fill="FFFFFF"/>
                  <w:jc w:val="both"/>
                  <w:rPr>
                    <w:szCs w:val="24"/>
                    <w:lang w:eastAsia="lt-LT"/>
                  </w:rPr>
                </w:pPr>
                <w:r>
                  <w:rPr>
                    <w:szCs w:val="24"/>
                    <w:lang w:eastAsia="lt-LT"/>
                  </w:rPr>
                  <w:t>[...]</w:t>
                </w:r>
              </w:p>
              <w:p>
                <w:pPr>
                  <w:rPr>
                    <w:sz w:val="10"/>
                    <w:szCs w:val="10"/>
                  </w:rPr>
                </w:pPr>
              </w:p>
              <w:p>
                <w:pPr>
                  <w:shd w:val="clear" w:color="auto" w:fill="FFFFFF"/>
                  <w:jc w:val="both"/>
                  <w:rPr>
                    <w:szCs w:val="24"/>
                    <w:lang w:eastAsia="lt-LT"/>
                  </w:rPr>
                </w:pPr>
                <w:r>
                  <w:rPr>
                    <w:szCs w:val="24"/>
                    <w:lang w:eastAsia="lt-LT"/>
                  </w:rPr>
                  <w:t>4. Pareiga įrodyti, kad pasiekti 29 straipsnyje nustatyti pakartotinio naudojimo tikslai, taikoma nuo 2030 m. sausio 1 d. arba praėjus 18 mėnesių nuo šio straipsnio 3 dalyje nurodyto įgyvendinimo akto įsigaliojimo dienos, atsižvelgiant į tai, kuri data yra vėlesnė.</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9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pareigos, susijusios su pakartotiniu užpildymu</w:t>
                </w:r>
              </w:p>
              <w:p>
                <w:pPr>
                  <w:rPr>
                    <w:sz w:val="10"/>
                    <w:szCs w:val="10"/>
                  </w:rPr>
                </w:pPr>
              </w:p>
              <w:p>
                <w:pPr>
                  <w:jc w:val="both"/>
                  <w:rPr>
                    <w:color w:val="000000"/>
                    <w:kern w:val="2"/>
                    <w:sz w:val="22"/>
                    <w:szCs w:val="22"/>
                  </w:rPr>
                </w:pPr>
                <w:r>
                  <w:rPr>
                    <w:color w:val="000000"/>
                    <w:kern w:val="2"/>
                    <w:sz w:val="22"/>
                    <w:szCs w:val="22"/>
                  </w:rPr>
                  <w:t>4. Šio straipsnio 2 dalyje numatytų tikslų siekimo pažanga apskaičiuojama pagal Reglamento ES) 2025/40 30 straipsnyje nustatytas taisykles.</w:t>
                </w:r>
              </w:p>
              <w:p>
                <w:pPr>
                  <w:rPr>
                    <w:sz w:val="6"/>
                    <w:szCs w:val="6"/>
                  </w:rPr>
                </w:pPr>
              </w:p>
              <w:p>
                <w:pPr>
                  <w:shd w:val="clear" w:color="auto" w:fill="FFFFFF"/>
                  <w:jc w:val="center"/>
                  <w:rPr>
                    <w:b/>
                    <w:bCs/>
                    <w:color w:val="000000"/>
                    <w:szCs w:val="24"/>
                    <w:lang w:eastAsia="lt-LT"/>
                  </w:rPr>
                </w:pP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32 straipsnis</w:t>
                </w:r>
              </w:p>
              <w:p>
                <w:pPr>
                  <w:rPr>
                    <w:sz w:val="10"/>
                    <w:szCs w:val="10"/>
                  </w:rPr>
                </w:pPr>
              </w:p>
              <w:p>
                <w:pPr>
                  <w:shd w:val="clear" w:color="auto" w:fill="FFFFFF"/>
                  <w:jc w:val="center"/>
                  <w:rPr>
                    <w:b/>
                    <w:bCs/>
                    <w:szCs w:val="24"/>
                    <w:lang w:eastAsia="lt-LT"/>
                  </w:rPr>
                </w:pPr>
                <w:r>
                  <w:rPr>
                    <w:b/>
                    <w:bCs/>
                    <w:szCs w:val="24"/>
                    <w:lang w:eastAsia="lt-LT"/>
                  </w:rPr>
                  <w:t>Pakartotinio užpildymo pareiga, taikoma išsineštinio maisto ir gėrimų sektoriuje</w:t>
                </w:r>
              </w:p>
              <w:p>
                <w:pPr>
                  <w:rPr>
                    <w:sz w:val="10"/>
                    <w:szCs w:val="10"/>
                  </w:rPr>
                </w:pPr>
              </w:p>
              <w:p>
                <w:pPr>
                  <w:shd w:val="clear" w:color="auto" w:fill="FFFFFF"/>
                  <w:jc w:val="both"/>
                  <w:rPr>
                    <w:szCs w:val="24"/>
                    <w:lang w:eastAsia="lt-LT"/>
                  </w:rPr>
                </w:pPr>
                <w:r>
                  <w:rPr>
                    <w:szCs w:val="24"/>
                    <w:lang w:eastAsia="lt-LT"/>
                  </w:rPr>
                  <w:t xml:space="preserve">1. Ne vėliau kaip 2027 m. vasario 12 d.: </w:t>
                </w:r>
              </w:p>
              <w:p>
                <w:pPr>
                  <w:rPr>
                    <w:sz w:val="10"/>
                    <w:szCs w:val="10"/>
                  </w:rPr>
                </w:pPr>
              </w:p>
              <w:p>
                <w:pPr>
                  <w:shd w:val="clear" w:color="auto" w:fill="FFFFFF"/>
                  <w:jc w:val="both"/>
                  <w:rPr>
                    <w:szCs w:val="24"/>
                    <w:lang w:eastAsia="lt-LT"/>
                  </w:rPr>
                </w:pPr>
                <w:r>
                  <w:rPr>
                    <w:szCs w:val="24"/>
                    <w:lang w:eastAsia="lt-LT"/>
                  </w:rPr>
                  <w:t>a) galutiniai platintojai, vykdantys verslo veiklą HORECA sektoriuje ir valstybės narės teritorijoje tiekiantys šaltus ar karštus gėrimus išsinešti skirtose pakuotėse, sukuria tokią sistemą, kad vartotojai galėtų atsinešti užpildymui savo tarą;</w:t>
                </w:r>
              </w:p>
              <w:p>
                <w:pPr>
                  <w:rPr>
                    <w:sz w:val="10"/>
                    <w:szCs w:val="10"/>
                  </w:rPr>
                </w:pPr>
              </w:p>
              <w:p>
                <w:pPr>
                  <w:shd w:val="clear" w:color="auto" w:fill="FFFFFF"/>
                  <w:jc w:val="both"/>
                  <w:rPr>
                    <w:szCs w:val="24"/>
                    <w:lang w:eastAsia="lt-LT"/>
                  </w:rPr>
                </w:pPr>
                <w:r>
                  <w:rPr>
                    <w:szCs w:val="24"/>
                    <w:lang w:eastAsia="lt-LT"/>
                  </w:rPr>
                  <w:t>[...]</w:t>
                </w:r>
              </w:p>
              <w:p>
                <w:pPr>
                  <w:rPr>
                    <w:sz w:val="10"/>
                    <w:szCs w:val="10"/>
                  </w:rPr>
                </w:pPr>
              </w:p>
              <w:p>
                <w:pPr>
                  <w:shd w:val="clear" w:color="auto" w:fill="FFFFFF"/>
                  <w:jc w:val="both"/>
                  <w:rPr>
                    <w:szCs w:val="24"/>
                    <w:lang w:eastAsia="lt-LT"/>
                  </w:rPr>
                </w:pPr>
                <w:r>
                  <w:rPr>
                    <w:szCs w:val="24"/>
                    <w:lang w:eastAsia="lt-LT"/>
                  </w:rPr>
                  <w:t>Galutiniai platintojai prekybos vietoje aiškiai matomomis ir įskaitomomis informacinėmis lentomis ar ženklais vartotojus informuoja apie galimybę gauti produktus vartotojo pateikiamoje pakartotinai užpildomoje taroje.</w:t>
                </w:r>
              </w:p>
              <w:p>
                <w:pPr>
                  <w:rPr>
                    <w:sz w:val="10"/>
                    <w:szCs w:val="10"/>
                  </w:rPr>
                </w:pPr>
              </w:p>
              <w:p>
                <w:pPr>
                  <w:jc w:val="center"/>
                  <w:rPr>
                    <w:color w:val="000000"/>
                    <w:szCs w:val="24"/>
                    <w:lang w:eastAsia="lt-LT"/>
                  </w:rPr>
                </w:pP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10</w:t>
                </w:r>
                <w:r>
                  <w:rPr>
                    <w:szCs w:val="24"/>
                    <w:vertAlign w:val="superscript"/>
                    <w:lang w:eastAsia="lt-LT"/>
                  </w:rPr>
                  <w:t>1</w:t>
                </w:r>
                <w:r>
                  <w:rPr>
                    <w:color w:val="000000"/>
                    <w:szCs w:val="24"/>
                    <w:lang w:eastAsia="lt-LT"/>
                  </w:rPr>
                  <w:t>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pareigos, susijusios su išsineštiniu maistu ir gėrimais</w:t>
                </w:r>
              </w:p>
              <w:p>
                <w:pPr>
                  <w:rPr>
                    <w:sz w:val="10"/>
                    <w:szCs w:val="10"/>
                  </w:rPr>
                </w:pPr>
              </w:p>
              <w:p>
                <w:pPr>
                  <w:jc w:val="both"/>
                  <w:rPr>
                    <w:kern w:val="2"/>
                    <w:sz w:val="22"/>
                    <w:szCs w:val="22"/>
                  </w:rPr>
                </w:pPr>
                <w:r>
                  <w:rPr>
                    <w:color w:val="000000"/>
                    <w:kern w:val="2"/>
                    <w:sz w:val="22"/>
                    <w:szCs w:val="22"/>
                  </w:rPr>
                  <w:t>1.</w:t>
                </w:r>
                <w:r>
                  <w:rPr>
                    <w:kern w:val="2"/>
                    <w:sz w:val="22"/>
                    <w:szCs w:val="22"/>
                  </w:rPr>
                  <w:t xml:space="preserve"> Ekonominės veiklos vykdytojų pareigos, susijusios su pakartotiniu užpildymu:</w:t>
                </w:r>
                <w:r>
                  <w:rPr>
                    <w:b/>
                    <w:bCs/>
                    <w:kern w:val="2"/>
                    <w:sz w:val="22"/>
                    <w:szCs w:val="22"/>
                    <w:u w:val="single"/>
                  </w:rPr>
                  <w:t xml:space="preserve"> </w:t>
                </w:r>
              </w:p>
              <w:p>
                <w:pPr>
                  <w:jc w:val="both"/>
                  <w:rPr>
                    <w:color w:val="D13438"/>
                    <w:kern w:val="2"/>
                    <w:sz w:val="22"/>
                    <w:szCs w:val="22"/>
                  </w:rPr>
                </w:pPr>
                <w:r>
                  <w:rPr>
                    <w:kern w:val="2"/>
                    <w:sz w:val="22"/>
                    <w:szCs w:val="22"/>
                  </w:rPr>
                  <w:t xml:space="preserve">1) </w:t>
                </w:r>
                <w:r>
                  <w:rPr>
                    <w:kern w:val="2"/>
                    <w:sz w:val="22"/>
                    <w:szCs w:val="22"/>
                    <w:u w:val="single"/>
                  </w:rPr>
                  <w:t>Sukurti</w:t>
                </w:r>
                <w:r>
                  <w:rPr>
                    <w:b/>
                    <w:bCs/>
                    <w:kern w:val="2"/>
                    <w:sz w:val="22"/>
                    <w:szCs w:val="22"/>
                    <w:u w:val="single"/>
                  </w:rPr>
                  <w:t xml:space="preserve"> </w:t>
                </w:r>
                <w:r>
                  <w:rPr>
                    <w:kern w:val="2"/>
                    <w:sz w:val="22"/>
                    <w:szCs w:val="22"/>
                  </w:rPr>
                  <w:t>sistemą, leidžiančią vartotojams atsinešti savo tarą paka</w:t>
                </w:r>
                <w:r>
                  <w:rPr>
                    <w:color w:val="000000"/>
                    <w:kern w:val="2"/>
                    <w:sz w:val="22"/>
                    <w:szCs w:val="22"/>
                  </w:rPr>
                  <w:t xml:space="preserve">rtotiniam užpildymui, kaip numatyta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32 straipsnio 1 dalyje.</w:t>
                </w:r>
              </w:p>
              <w:p>
                <w:pPr>
                  <w:jc w:val="both"/>
                  <w:rPr>
                    <w:color w:val="D13438"/>
                    <w:kern w:val="2"/>
                    <w:sz w:val="22"/>
                    <w:szCs w:val="22"/>
                  </w:rPr>
                </w:pPr>
                <w:r>
                  <w:rPr>
                    <w:color w:val="000000"/>
                    <w:kern w:val="2"/>
                    <w:sz w:val="22"/>
                    <w:szCs w:val="22"/>
                  </w:rPr>
                  <w:t xml:space="preserve">2) Siūlyti produktus vartotojo atsineštoje taroje ne mažiau palankiomis sąlygomis, nei parduodant vienkartinėje pakuotėje, kaip numatyta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32 straipsnio 2 dalyje.</w:t>
                </w:r>
              </w:p>
              <w:p>
                <w:pPr>
                  <w:jc w:val="both"/>
                  <w:rPr>
                    <w:color w:val="D13438"/>
                    <w:kern w:val="2"/>
                    <w:sz w:val="22"/>
                    <w:szCs w:val="22"/>
                  </w:rPr>
                </w:pPr>
                <w:r>
                  <w:rPr>
                    <w:color w:val="000000"/>
                    <w:kern w:val="2"/>
                    <w:sz w:val="22"/>
                    <w:szCs w:val="22"/>
                  </w:rPr>
                  <w:t xml:space="preserve">3) Informuoti vartotojus apie galimybę gauti produktus vartotojo pateikiamoje pakartotinai užpildomoje taroje kaip numatyta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32 straipsnio 2 dalyje.</w:t>
                </w:r>
              </w:p>
              <w:p>
                <w:pPr>
                  <w:rPr>
                    <w:sz w:val="8"/>
                    <w:szCs w:val="8"/>
                  </w:rPr>
                </w:pPr>
              </w:p>
              <w:p>
                <w:pPr>
                  <w:ind w:firstLine="124"/>
                  <w:rPr>
                    <w:szCs w:val="24"/>
                    <w:lang w:eastAsia="lt-LT"/>
                  </w:rPr>
                </w:pP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33 straipsnis</w:t>
                </w:r>
              </w:p>
              <w:p>
                <w:pPr>
                  <w:rPr>
                    <w:sz w:val="10"/>
                    <w:szCs w:val="10"/>
                  </w:rPr>
                </w:pPr>
              </w:p>
              <w:p>
                <w:pPr>
                  <w:shd w:val="clear" w:color="auto" w:fill="FFFFFF"/>
                  <w:jc w:val="center"/>
                  <w:rPr>
                    <w:b/>
                    <w:bCs/>
                    <w:szCs w:val="24"/>
                    <w:lang w:eastAsia="lt-LT"/>
                  </w:rPr>
                </w:pPr>
                <w:r>
                  <w:rPr>
                    <w:b/>
                    <w:bCs/>
                    <w:szCs w:val="24"/>
                    <w:lang w:eastAsia="lt-LT"/>
                  </w:rPr>
                  <w:t>Pakartotinio naudojimo siūlymo pareiga išsineštinio maisto ir gėrimų sektoriuje</w:t>
                </w:r>
              </w:p>
              <w:p>
                <w:pPr>
                  <w:rPr>
                    <w:sz w:val="10"/>
                    <w:szCs w:val="10"/>
                  </w:rPr>
                </w:pPr>
              </w:p>
              <w:p>
                <w:pPr>
                  <w:shd w:val="clear" w:color="auto" w:fill="FFFFFF"/>
                  <w:jc w:val="both"/>
                  <w:rPr>
                    <w:szCs w:val="24"/>
                    <w:lang w:eastAsia="lt-LT"/>
                  </w:rPr>
                </w:pPr>
                <w:r>
                  <w:rPr>
                    <w:szCs w:val="24"/>
                    <w:lang w:eastAsia="lt-LT"/>
                  </w:rPr>
                  <w:t>1. Ne vėliau kaip 2028 m. vasario 12 d. galutiniai platintojai, vykdantys verslo veiklą HORECA sektoriuje ir valstybės narės teritorijoje tiekiantys šaltus ar karštus gėrimus arba gatavą maistą išsinešti skirtose pakuotėse, suteikia vartotojams galimybę gauti produktus daugkartinėse pakuotėse pagal pakartotinio naudojimo sistemą.</w:t>
                </w:r>
              </w:p>
              <w:p>
                <w:pPr>
                  <w:rPr>
                    <w:sz w:val="10"/>
                    <w:szCs w:val="10"/>
                  </w:rPr>
                </w:pPr>
              </w:p>
              <w:p>
                <w:pPr>
                  <w:shd w:val="clear" w:color="auto" w:fill="FFFFFF"/>
                  <w:jc w:val="both"/>
                  <w:rPr>
                    <w:szCs w:val="24"/>
                    <w:lang w:eastAsia="lt-LT"/>
                  </w:rPr>
                </w:pPr>
                <w:r>
                  <w:rPr>
                    <w:szCs w:val="24"/>
                    <w:lang w:eastAsia="lt-LT"/>
                  </w:rPr>
                  <w:t>[...]</w:t>
                </w:r>
              </w:p>
              <w:p>
                <w:pPr>
                  <w:rPr>
                    <w:sz w:val="10"/>
                    <w:szCs w:val="10"/>
                  </w:rPr>
                </w:pPr>
              </w:p>
              <w:p>
                <w:pPr>
                  <w:shd w:val="clear" w:color="auto" w:fill="FFFFFF"/>
                  <w:jc w:val="both"/>
                  <w:rPr>
                    <w:szCs w:val="24"/>
                    <w:lang w:eastAsia="lt-LT"/>
                  </w:rPr>
                </w:pPr>
                <w:r>
                  <w:rPr>
                    <w:szCs w:val="24"/>
                    <w:lang w:eastAsia="lt-LT"/>
                  </w:rPr>
                  <w:t>6. Laikantis 51 straipsnyje nustatytų sąlygų, valstybės narės ekonominės veiklos vykdytojams gali nustatyti tikslus, viršijančius šio straipsnio 5 dalyje nustatytus minimaliuosius tikslus, jei tie didesni tikslai yra būtini tam, kad valstybė narė pasiektų vieną ar daugiau iš 43 straipsnyje nustatytų tikslų.</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10</w:t>
                </w:r>
                <w:r>
                  <w:rPr>
                    <w:szCs w:val="24"/>
                    <w:vertAlign w:val="superscript"/>
                    <w:lang w:eastAsia="lt-LT"/>
                  </w:rPr>
                  <w:t>1</w:t>
                </w:r>
                <w:r>
                  <w:rPr>
                    <w:color w:val="000000"/>
                    <w:szCs w:val="24"/>
                    <w:lang w:eastAsia="lt-LT"/>
                  </w:rPr>
                  <w:t>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pareigos, susijusios su išsineštiniu maistu ir gėrimais</w:t>
                </w:r>
              </w:p>
              <w:p>
                <w:pPr>
                  <w:rPr>
                    <w:sz w:val="10"/>
                    <w:szCs w:val="10"/>
                  </w:rPr>
                </w:pPr>
              </w:p>
              <w:p>
                <w:pPr>
                  <w:jc w:val="both"/>
                  <w:rPr>
                    <w:color w:val="D13438"/>
                    <w:kern w:val="2"/>
                    <w:sz w:val="22"/>
                    <w:szCs w:val="22"/>
                  </w:rPr>
                </w:pPr>
                <w:r>
                  <w:rPr>
                    <w:color w:val="000000"/>
                    <w:kern w:val="2"/>
                    <w:sz w:val="22"/>
                    <w:szCs w:val="22"/>
                  </w:rPr>
                  <w:t xml:space="preserve">2. Ekonominės veiklos vykdytojų, išskyrus numatytų Reglamento </w:t>
                </w:r>
                <w:fldSimple w:instr="HYPERLINK http://eur-lex.europa.eu/legal-content/LIT/TXT/?uri=CELEX:32025R0040&amp;locale=lt \t _blank">
                  <w:r>
                    <w:rPr>
                      <w:color w:val="0000FF" w:themeColor="hyperlink"/>
                      <w:kern w:val="2"/>
                      <w:sz w:val="22"/>
                      <w:szCs w:val="22"/>
                      <w:u w:val="single"/>
                    </w:rPr>
                    <w:t>2025/40</w:t>
                  </w:r>
                </w:fldSimple>
                <w:r>
                  <w:rPr>
                    <w:color w:val="000000"/>
                    <w:kern w:val="2"/>
                    <w:sz w:val="22"/>
                    <w:szCs w:val="22"/>
                  </w:rPr>
                  <w:t xml:space="preserve"> 33 straipsnio 4 dalyje, pareigos, susijusios su pakartotinio naudojimo siūlymu:</w:t>
                </w:r>
              </w:p>
              <w:p>
                <w:pPr>
                  <w:jc w:val="both"/>
                  <w:rPr>
                    <w:color w:val="D13438"/>
                    <w:kern w:val="2"/>
                    <w:sz w:val="22"/>
                    <w:szCs w:val="22"/>
                  </w:rPr>
                </w:pPr>
                <w:r>
                  <w:rPr>
                    <w:color w:val="000000"/>
                    <w:kern w:val="2"/>
                    <w:sz w:val="22"/>
                    <w:szCs w:val="22"/>
                  </w:rPr>
                  <w:t xml:space="preserve">1) Suteikti vartotojams galimybę gauti produktus daugkartinėse pakuotėse pagal pakartotinio naudojimo sistemą kaip numatyta Reglamento </w:t>
                </w:r>
                <w:fldSimple w:instr="HYPERLINK http://eur-lex.europa.eu/legal-content/LIT/TXT/?uri=CELEX:32025R0040&amp;locale=lt \t _blank">
                  <w:r>
                    <w:rPr>
                      <w:color w:val="0000FF" w:themeColor="hyperlink"/>
                      <w:kern w:val="2"/>
                      <w:sz w:val="22"/>
                      <w:szCs w:val="22"/>
                      <w:u w:val="single"/>
                    </w:rPr>
                    <w:t>2025/40</w:t>
                  </w:r>
                </w:fldSimple>
                <w:r>
                  <w:rPr>
                    <w:color w:val="000000"/>
                    <w:kern w:val="2"/>
                    <w:sz w:val="22"/>
                    <w:szCs w:val="22"/>
                  </w:rPr>
                  <w:t xml:space="preserve"> 33 straipsnio 1 dalyje.</w:t>
                </w:r>
              </w:p>
              <w:p>
                <w:pPr>
                  <w:jc w:val="both"/>
                  <w:rPr>
                    <w:color w:val="D13438"/>
                    <w:kern w:val="2"/>
                    <w:sz w:val="22"/>
                    <w:szCs w:val="22"/>
                  </w:rPr>
                </w:pPr>
                <w:r>
                  <w:rPr>
                    <w:color w:val="000000"/>
                    <w:kern w:val="2"/>
                    <w:sz w:val="22"/>
                    <w:szCs w:val="22"/>
                  </w:rPr>
                  <w:t xml:space="preserve">2) Informuoti vartotojus apie galimybę gauti produktus daugkartinėse pakuotėse kaip numatyta Reglamento </w:t>
                </w:r>
                <w:fldSimple w:instr="HYPERLINK http://eur-lex.europa.eu/legal-content/LIT/TXT/?uri=CELEX:32025R0040&amp;locale=lt \t _blank">
                  <w:r>
                    <w:rPr>
                      <w:color w:val="0000FF" w:themeColor="hyperlink"/>
                      <w:kern w:val="2"/>
                      <w:sz w:val="22"/>
                      <w:szCs w:val="22"/>
                      <w:u w:val="single"/>
                    </w:rPr>
                    <w:t>2025/40</w:t>
                  </w:r>
                </w:fldSimple>
                <w:r>
                  <w:rPr>
                    <w:color w:val="000000"/>
                    <w:kern w:val="2"/>
                    <w:sz w:val="22"/>
                    <w:szCs w:val="22"/>
                  </w:rPr>
                  <w:t xml:space="preserve"> 33 straipsnio 2 dalyje.</w:t>
                </w:r>
              </w:p>
              <w:p>
                <w:pPr>
                  <w:jc w:val="both"/>
                  <w:rPr>
                    <w:color w:val="D13438"/>
                    <w:kern w:val="2"/>
                    <w:sz w:val="22"/>
                    <w:szCs w:val="22"/>
                  </w:rPr>
                </w:pPr>
                <w:r>
                  <w:rPr>
                    <w:color w:val="000000"/>
                    <w:kern w:val="2"/>
                    <w:sz w:val="22"/>
                    <w:szCs w:val="22"/>
                  </w:rPr>
                  <w:t xml:space="preserve">3) Siūlyti produktus, talpinamus į daugkartines pakuotes, ne mažiau palankiomis sąlygomis, nei parduodant vienkartinėje pakuotėje, kaip numatyta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33 straipsnio 3 dalyje.</w:t>
                </w:r>
              </w:p>
              <w:p>
                <w:pPr>
                  <w:jc w:val="both"/>
                  <w:rPr>
                    <w:color w:val="000000"/>
                    <w:kern w:val="2"/>
                    <w:sz w:val="22"/>
                    <w:szCs w:val="22"/>
                  </w:rPr>
                </w:pPr>
                <w:r>
                  <w:rPr>
                    <w:color w:val="000000"/>
                    <w:kern w:val="2"/>
                    <w:sz w:val="22"/>
                    <w:szCs w:val="22"/>
                  </w:rPr>
                  <w:t xml:space="preserve">4) Dalį savo produktų siūlyti daugkartinėse pakuotėse kaip numatyta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33 straipsnio 5 dalyje.</w:t>
                </w: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45 straipsnis</w:t>
                </w:r>
              </w:p>
              <w:p>
                <w:pPr>
                  <w:rPr>
                    <w:sz w:val="10"/>
                    <w:szCs w:val="10"/>
                  </w:rPr>
                </w:pPr>
              </w:p>
              <w:p>
                <w:pPr>
                  <w:jc w:val="center"/>
                  <w:rPr>
                    <w:b/>
                    <w:bCs/>
                    <w:color w:val="000000"/>
                    <w:szCs w:val="24"/>
                    <w:lang w:eastAsia="lt-LT"/>
                  </w:rPr>
                </w:pPr>
                <w:r>
                  <w:rPr>
                    <w:b/>
                    <w:bCs/>
                    <w:color w:val="000000"/>
                    <w:szCs w:val="24"/>
                    <w:lang w:eastAsia="lt-LT"/>
                  </w:rPr>
                  <w:t>Didesnė gamintojo atsakomybė</w:t>
                </w:r>
              </w:p>
              <w:p>
                <w:pPr>
                  <w:rPr>
                    <w:sz w:val="8"/>
                    <w:szCs w:val="8"/>
                  </w:rPr>
                </w:pPr>
              </w:p>
              <w:p>
                <w:pPr>
                  <w:jc w:val="both"/>
                  <w:rPr>
                    <w:szCs w:val="24"/>
                    <w:lang w:eastAsia="lt-LT"/>
                  </w:rPr>
                </w:pPr>
                <w:r>
                  <w:rPr>
                    <w:szCs w:val="24"/>
                    <w:lang w:eastAsia="lt-LT"/>
                  </w:rPr>
                  <w:t xml:space="preserve">1. Pagal sistemas, sukurtas pagal Direktyvos </w:t>
                </w:r>
                <w:fldSimple w:instr="HYPERLINK http://eur-lex.europa.eu/legal-content/LIT/TXT/?uri=CELEX:32008L0098&amp;locale=lt \t _blank">
                  <w:r>
                    <w:rPr>
                      <w:szCs w:val="24"/>
                      <w:lang w:eastAsia="lt-LT"/>
                      <w:u w:val="single"/>
                      <w:color w:val="0000FF" w:themeColor="hyperlink"/>
                    </w:rPr>
                    <w:t>2008/98/EB</w:t>
                  </w:r>
                </w:fldSimple>
                <w:r>
                  <w:rPr>
                    <w:szCs w:val="24"/>
                    <w:lang w:eastAsia="lt-LT"/>
                  </w:rPr>
                  <w:t xml:space="preserve"> 8 ir 8a straipsnius, ir pagal šio skirsnio nuostatas gamintojams tenka didesnė gamintojo atsakomybė už pakuotes, įskaitant supakuotų produktų pakuotes, kurias jie pirmą kartą tiekia valstybės narės teritorijoje arba kurias jie, nebūdami galutiniais naudotojais, išpakuoja.</w:t>
                </w:r>
              </w:p>
              <w:p>
                <w:pPr>
                  <w:rPr>
                    <w:sz w:val="8"/>
                    <w:szCs w:val="8"/>
                  </w:rPr>
                </w:pPr>
              </w:p>
              <w:p>
                <w:pPr>
                  <w:jc w:val="both"/>
                  <w:rPr>
                    <w:szCs w:val="24"/>
                    <w:lang w:eastAsia="lt-LT"/>
                  </w:rPr>
                </w:pPr>
                <w:r>
                  <w:rPr>
                    <w:szCs w:val="24"/>
                    <w:lang w:eastAsia="lt-LT"/>
                  </w:rPr>
                  <w:t>[...]</w:t>
                </w:r>
              </w:p>
              <w:p>
                <w:pPr>
                  <w:rPr>
                    <w:sz w:val="8"/>
                    <w:szCs w:val="8"/>
                  </w:rPr>
                </w:pPr>
              </w:p>
              <w:p>
                <w:pPr>
                  <w:jc w:val="both"/>
                  <w:rPr>
                    <w:szCs w:val="24"/>
                    <w:lang w:eastAsia="lt-LT"/>
                  </w:rPr>
                </w:pPr>
                <w:r>
                  <w:rPr>
                    <w:szCs w:val="24"/>
                    <w:lang w:eastAsia="lt-LT"/>
                  </w:rPr>
                  <w:t xml:space="preserve">9. Nedarant poveikio Europos Parlamento ir Tarybos reglamento </w:t>
                </w:r>
                <w:fldSimple w:instr="HYPERLINK http://eur-lex.europa.eu/legal-content/LIT/TXT/?uri=CELEX:32019R1150&amp;locale=lt \t _blank">
                  <w:r>
                    <w:rPr>
                      <w:szCs w:val="24"/>
                      <w:lang w:eastAsia="lt-LT"/>
                      <w:u w:val="single"/>
                      <w:color w:val="0000FF" w:themeColor="hyperlink"/>
                    </w:rPr>
                    <w:t>(ES) 2019/1150</w:t>
                  </w:r>
                </w:fldSimple>
                <w:r>
                  <w:rPr>
                    <w:szCs w:val="24"/>
                    <w:lang w:eastAsia="lt-LT"/>
                  </w:rPr>
                  <w:t xml:space="preserve"> ( 75) 4 straipsniui, tuo atveju, jei realizavimo paslaugų teikėjas sustabdo savo paslaugų teikimą pagal šio straipsnio 8 dalį, atitinkamas gamintojas turi teisę užginčyti realizavimo paslaugų teikėjo sprendimą valstybės narės, kurioje yra įsisteigęs realizavimo paslaugų teikėjas, teisme.</w:t>
                </w: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8 straipsnis</w:t>
                </w:r>
              </w:p>
              <w:p>
                <w:pPr>
                  <w:rPr>
                    <w:sz w:val="10"/>
                    <w:szCs w:val="10"/>
                  </w:rPr>
                </w:pPr>
              </w:p>
              <w:p>
                <w:pPr>
                  <w:shd w:val="clear" w:color="auto" w:fill="FFFFFF"/>
                  <w:jc w:val="center"/>
                  <w:rPr>
                    <w:color w:val="D13438"/>
                    <w:sz w:val="22"/>
                    <w:szCs w:val="22"/>
                    <w:lang w:eastAsia="lt-LT"/>
                  </w:rPr>
                </w:pPr>
                <w:r>
                  <w:rPr>
                    <w:b/>
                    <w:bCs/>
                    <w:color w:val="000000"/>
                    <w:szCs w:val="24"/>
                    <w:lang w:eastAsia="lt-LT"/>
                  </w:rPr>
                  <w:t>Ekonominės veiklos vykdytojų bendrosios pareigos</w:t>
                </w:r>
              </w:p>
              <w:p>
                <w:pPr>
                  <w:rPr>
                    <w:sz w:val="10"/>
                    <w:szCs w:val="10"/>
                  </w:rPr>
                </w:pPr>
              </w:p>
              <w:p>
                <w:pPr>
                  <w:spacing w:line="259" w:lineRule="auto"/>
                  <w:jc w:val="both"/>
                  <w:rPr>
                    <w:color w:val="000000"/>
                    <w:kern w:val="2"/>
                    <w:sz w:val="22"/>
                    <w:szCs w:val="22"/>
                  </w:rPr>
                </w:pPr>
                <w:r>
                  <w:rPr>
                    <w:color w:val="000000"/>
                    <w:kern w:val="2"/>
                    <w:sz w:val="22"/>
                    <w:szCs w:val="22"/>
                  </w:rPr>
                  <w:t>3. Ekonominės veiklos vykdytojų teisės ir pareigos susijusios su informacijos pateikimu:</w:t>
                </w:r>
              </w:p>
              <w:p>
                <w:pPr>
                  <w:spacing w:line="259" w:lineRule="auto"/>
                  <w:jc w:val="both"/>
                  <w:rPr>
                    <w:color w:val="D13438"/>
                    <w:kern w:val="2"/>
                    <w:sz w:val="22"/>
                    <w:szCs w:val="22"/>
                  </w:rPr>
                </w:pPr>
                <w:r>
                  <w:rPr>
                    <w:color w:val="000000"/>
                    <w:kern w:val="2"/>
                    <w:sz w:val="22"/>
                    <w:szCs w:val="22"/>
                  </w:rPr>
                  <w:t xml:space="preserve">3) Gamintojai privalo teikti interneto platformų ir realizavimo paslaugų teikėjams informaciją, numatytą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45 straipsnio 4 ir 7 dalyse.</w:t>
                </w:r>
              </w:p>
              <w:p>
                <w:pPr>
                  <w:spacing w:line="259" w:lineRule="auto"/>
                  <w:jc w:val="both"/>
                  <w:rPr>
                    <w:color w:val="D13438"/>
                    <w:kern w:val="2"/>
                    <w:sz w:val="22"/>
                    <w:szCs w:val="22"/>
                  </w:rPr>
                </w:pPr>
                <w:r>
                  <w:rPr>
                    <w:color w:val="000000"/>
                    <w:kern w:val="2"/>
                    <w:sz w:val="22"/>
                    <w:szCs w:val="22"/>
                  </w:rPr>
                  <w:t xml:space="preserve">4) Interneto platformų ir realizavimo paslaugų teikėjai turi įvertinti iš gamintojo gautos informacijos patikimumą kaip numatyta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45 straipsnio 6 ir 8 dalyse.</w:t>
                </w: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60 straipsnis</w:t>
                </w:r>
              </w:p>
              <w:p>
                <w:pPr>
                  <w:rPr>
                    <w:sz w:val="10"/>
                    <w:szCs w:val="10"/>
                  </w:rPr>
                </w:pPr>
              </w:p>
              <w:p>
                <w:pPr>
                  <w:shd w:val="clear" w:color="auto" w:fill="FFFFFF"/>
                  <w:jc w:val="center"/>
                  <w:rPr>
                    <w:b/>
                    <w:bCs/>
                    <w:szCs w:val="24"/>
                    <w:lang w:eastAsia="lt-LT"/>
                  </w:rPr>
                </w:pPr>
                <w:r>
                  <w:rPr>
                    <w:b/>
                    <w:bCs/>
                    <w:szCs w:val="24"/>
                    <w:lang w:eastAsia="lt-LT"/>
                  </w:rPr>
                  <w:t>Riziką kelianti reikalavimus atitinkanti pakuotė</w:t>
                </w:r>
              </w:p>
              <w:p>
                <w:pPr>
                  <w:rPr>
                    <w:sz w:val="10"/>
                    <w:szCs w:val="10"/>
                  </w:rPr>
                </w:pPr>
              </w:p>
              <w:p>
                <w:pPr>
                  <w:shd w:val="clear" w:color="auto" w:fill="FFFFFF"/>
                  <w:jc w:val="both"/>
                  <w:rPr>
                    <w:szCs w:val="24"/>
                    <w:lang w:eastAsia="lt-LT"/>
                  </w:rPr>
                </w:pPr>
                <w:r>
                  <w:rPr>
                    <w:szCs w:val="24"/>
                    <w:lang w:eastAsia="lt-LT"/>
                  </w:rPr>
                  <w:t>3. Ekonominės veiklos vykdytojas užtikrina, kad būtų imtasi taisomųjų priemonių dėl visų reikalavimų neatitinkančių pakuočių, kurias jis patiekė rinkai visoje Sąjungoje.</w:t>
                </w:r>
              </w:p>
              <w:p>
                <w:pPr>
                  <w:rPr>
                    <w:sz w:val="10"/>
                    <w:szCs w:val="10"/>
                  </w:rPr>
                </w:pPr>
              </w:p>
              <w:p>
                <w:pPr>
                  <w:jc w:val="center"/>
                  <w:rPr>
                    <w:color w:val="000000"/>
                    <w:szCs w:val="24"/>
                    <w:lang w:eastAsia="lt-LT"/>
                  </w:rPr>
                </w:pP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8 straipsnis</w:t>
                </w:r>
              </w:p>
              <w:p>
                <w:pPr>
                  <w:rPr>
                    <w:sz w:val="10"/>
                    <w:szCs w:val="10"/>
                  </w:rPr>
                </w:pPr>
              </w:p>
              <w:p>
                <w:pPr>
                  <w:shd w:val="clear" w:color="auto" w:fill="FFFFFF"/>
                  <w:jc w:val="center"/>
                  <w:rPr>
                    <w:b/>
                    <w:bCs/>
                    <w:color w:val="000000"/>
                    <w:szCs w:val="24"/>
                    <w:lang w:eastAsia="lt-LT"/>
                  </w:rPr>
                </w:pPr>
                <w:r>
                  <w:rPr>
                    <w:b/>
                    <w:bCs/>
                    <w:color w:val="000000"/>
                    <w:szCs w:val="24"/>
                    <w:lang w:eastAsia="lt-LT"/>
                  </w:rPr>
                  <w:t>Ekonominės veiklos vykdytojų bendrosios pareigos</w:t>
                </w:r>
              </w:p>
              <w:p>
                <w:pPr>
                  <w:rPr>
                    <w:sz w:val="10"/>
                    <w:szCs w:val="10"/>
                  </w:rPr>
                </w:pPr>
              </w:p>
              <w:p>
                <w:pPr>
                  <w:shd w:val="clear" w:color="auto" w:fill="FFFFFF"/>
                  <w:jc w:val="both"/>
                  <w:rPr>
                    <w:color w:val="D13438"/>
                    <w:sz w:val="22"/>
                    <w:szCs w:val="22"/>
                    <w:lang w:eastAsia="lt-LT"/>
                  </w:rPr>
                </w:pPr>
                <w:r>
                  <w:rPr>
                    <w:color w:val="000000"/>
                    <w:sz w:val="22"/>
                    <w:szCs w:val="22"/>
                    <w:lang w:eastAsia="lt-LT"/>
                  </w:rPr>
                  <w:t>2. Ekonominės veiklos vykdytojų teisės ir pareigos susijusios su pakuočių atitiktimi:</w:t>
                </w:r>
              </w:p>
              <w:p>
                <w:pPr>
                  <w:rPr>
                    <w:sz w:val="10"/>
                    <w:szCs w:val="10"/>
                  </w:rPr>
                </w:pPr>
              </w:p>
              <w:p>
                <w:pPr>
                  <w:spacing w:line="259" w:lineRule="auto"/>
                  <w:jc w:val="both"/>
                  <w:rPr>
                    <w:color w:val="000000"/>
                    <w:kern w:val="2"/>
                    <w:sz w:val="22"/>
                    <w:szCs w:val="22"/>
                  </w:rPr>
                </w:pPr>
                <w:r>
                  <w:rPr>
                    <w:color w:val="000000"/>
                    <w:kern w:val="2"/>
                    <w:sz w:val="22"/>
                    <w:szCs w:val="22"/>
                  </w:rPr>
                  <w:t xml:space="preserve">6) Ekonominės veiklos vykdytojai imasi taisomųjų priemonių siekdami pašalinti nustatytus neatitikimus reikalavimams, kaip numatyta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60 straipsnio 3 dalyje ir 62 straipsnyje.</w:t>
                </w:r>
              </w:p>
              <w:p>
                <w:pPr>
                  <w:rPr>
                    <w:sz w:val="8"/>
                    <w:szCs w:val="8"/>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62 straipsnis</w:t>
                </w:r>
              </w:p>
              <w:p>
                <w:pPr>
                  <w:rPr>
                    <w:sz w:val="10"/>
                    <w:szCs w:val="10"/>
                  </w:rPr>
                </w:pPr>
              </w:p>
              <w:p>
                <w:pPr>
                  <w:shd w:val="clear" w:color="auto" w:fill="FFFFFF"/>
                  <w:jc w:val="center"/>
                  <w:rPr>
                    <w:b/>
                    <w:bCs/>
                    <w:color w:val="000000"/>
                    <w:szCs w:val="24"/>
                    <w:lang w:eastAsia="lt-LT"/>
                  </w:rPr>
                </w:pPr>
                <w:r>
                  <w:rPr>
                    <w:b/>
                    <w:bCs/>
                    <w:color w:val="000000"/>
                    <w:szCs w:val="24"/>
                    <w:lang w:eastAsia="lt-LT"/>
                  </w:rPr>
                  <w:t>Formali neatitiktis</w:t>
                </w:r>
              </w:p>
              <w:p>
                <w:pPr>
                  <w:rPr>
                    <w:sz w:val="10"/>
                    <w:szCs w:val="10"/>
                  </w:rPr>
                </w:pPr>
              </w:p>
              <w:p>
                <w:pPr>
                  <w:shd w:val="clear" w:color="auto" w:fill="FFFFFF"/>
                  <w:jc w:val="both"/>
                  <w:rPr>
                    <w:szCs w:val="24"/>
                    <w:lang w:eastAsia="lt-LT"/>
                  </w:rPr>
                </w:pPr>
                <w:r>
                  <w:rPr>
                    <w:szCs w:val="24"/>
                    <w:lang w:eastAsia="lt-LT"/>
                  </w:rPr>
                  <w:t>1. Valstybė narė reikalauja, kad atitinkamas ekonominės veiklos vykdytojas ištaisytų atitinkamą neatitiktį reikalavimams, kai ji sužino apie bet kurį iš šių faktų:</w:t>
                </w:r>
              </w:p>
              <w:p>
                <w:pPr>
                  <w:rPr>
                    <w:sz w:val="10"/>
                    <w:szCs w:val="10"/>
                  </w:rPr>
                </w:pPr>
              </w:p>
              <w:p>
                <w:pPr>
                  <w:shd w:val="clear" w:color="auto" w:fill="FFFFFF"/>
                  <w:jc w:val="both"/>
                  <w:rPr>
                    <w:szCs w:val="24"/>
                    <w:lang w:eastAsia="lt-LT"/>
                  </w:rPr>
                </w:pPr>
                <w:r>
                  <w:rPr>
                    <w:szCs w:val="24"/>
                    <w:lang w:eastAsia="lt-LT"/>
                  </w:rPr>
                  <w:t>[...]</w:t>
                </w:r>
              </w:p>
              <w:p>
                <w:pPr>
                  <w:rPr>
                    <w:sz w:val="10"/>
                    <w:szCs w:val="10"/>
                  </w:rPr>
                </w:pPr>
              </w:p>
              <w:p>
                <w:pPr>
                  <w:shd w:val="clear" w:color="auto" w:fill="FFFFFF"/>
                  <w:jc w:val="both"/>
                  <w:rPr>
                    <w:szCs w:val="24"/>
                    <w:lang w:eastAsia="lt-LT"/>
                  </w:rPr>
                </w:pPr>
                <w:r>
                  <w:rPr>
                    <w:szCs w:val="24"/>
                    <w:lang w:eastAsia="lt-LT"/>
                  </w:rPr>
                  <w:t>3. Jeigu šio straipsnio 1 dalies g–n punktuose nurodyta neatitiktis išlieka, valstybės narės taiko taisykles dėl sankcijų, taikytinų už šio reglamento pažeidimus, kurias jos nustato pagal 68 straipsnį.</w:t>
                </w:r>
              </w:p>
              <w:p>
                <w:pPr>
                  <w:rPr>
                    <w:sz w:val="10"/>
                    <w:szCs w:val="10"/>
                  </w:rPr>
                </w:pPr>
              </w:p>
              <w:p>
                <w:pPr>
                  <w:jc w:val="center"/>
                  <w:rPr>
                    <w:color w:val="000000"/>
                    <w:szCs w:val="24"/>
                    <w:lang w:eastAsia="lt-LT"/>
                  </w:rPr>
                </w:pPr>
              </w:p>
            </w:tc>
            <w:tc>
              <w:tcPr>
                <w:tcW w:w="5529" w:type="dxa"/>
              </w:tcPr>
              <w:p>
                <w:pPr>
                  <w:rPr>
                    <w:sz w:val="32"/>
                    <w:szCs w:val="32"/>
                  </w:rPr>
                </w:pPr>
              </w:p>
              <w:p>
                <w:pPr>
                  <w:shd w:val="clear" w:color="auto" w:fill="FFFFFF"/>
                  <w:jc w:val="center"/>
                  <w:rPr>
                    <w:color w:val="000000"/>
                    <w:szCs w:val="24"/>
                    <w:lang w:eastAsia="lt-LT"/>
                  </w:rPr>
                </w:pPr>
                <w:r>
                  <w:rPr>
                    <w:color w:val="000000"/>
                    <w:szCs w:val="24"/>
                    <w:lang w:eastAsia="lt-LT"/>
                  </w:rPr>
                  <w:t>8 straipsnis</w:t>
                </w:r>
              </w:p>
              <w:p>
                <w:pPr>
                  <w:rPr>
                    <w:sz w:val="10"/>
                    <w:szCs w:val="10"/>
                  </w:rPr>
                </w:pPr>
              </w:p>
              <w:p>
                <w:pPr>
                  <w:shd w:val="clear" w:color="auto" w:fill="FFFFFF"/>
                  <w:jc w:val="center"/>
                  <w:rPr>
                    <w:color w:val="D13438"/>
                    <w:sz w:val="22"/>
                    <w:szCs w:val="22"/>
                    <w:lang w:eastAsia="lt-LT"/>
                  </w:rPr>
                </w:pPr>
                <w:r>
                  <w:rPr>
                    <w:b/>
                    <w:bCs/>
                    <w:color w:val="000000"/>
                    <w:szCs w:val="24"/>
                    <w:lang w:eastAsia="lt-LT"/>
                  </w:rPr>
                  <w:t>Ekonominės veiklos vykdytojų bendrosios pareigos</w:t>
                </w:r>
              </w:p>
              <w:p>
                <w:pPr>
                  <w:rPr>
                    <w:sz w:val="10"/>
                    <w:szCs w:val="10"/>
                  </w:rPr>
                </w:pPr>
              </w:p>
              <w:p>
                <w:pPr>
                  <w:shd w:val="clear" w:color="auto" w:fill="FFFFFF"/>
                  <w:jc w:val="both"/>
                  <w:rPr>
                    <w:color w:val="D13438"/>
                    <w:sz w:val="22"/>
                    <w:szCs w:val="22"/>
                    <w:lang w:eastAsia="lt-LT"/>
                  </w:rPr>
                </w:pPr>
                <w:r>
                  <w:rPr>
                    <w:color w:val="000000"/>
                    <w:sz w:val="22"/>
                    <w:szCs w:val="22"/>
                    <w:lang w:eastAsia="lt-LT"/>
                  </w:rPr>
                  <w:t>2. Ekonominės veiklos vykdytojų teisės ir pareigos susijusios su pakuočių atitiktimi:</w:t>
                </w:r>
              </w:p>
              <w:p>
                <w:pPr>
                  <w:rPr>
                    <w:sz w:val="10"/>
                    <w:szCs w:val="10"/>
                  </w:rPr>
                </w:pPr>
              </w:p>
              <w:p>
                <w:pPr>
                  <w:spacing w:line="259" w:lineRule="auto"/>
                  <w:jc w:val="both"/>
                  <w:rPr>
                    <w:color w:val="000000"/>
                    <w:kern w:val="2"/>
                    <w:sz w:val="22"/>
                    <w:szCs w:val="22"/>
                  </w:rPr>
                </w:pPr>
                <w:r>
                  <w:rPr>
                    <w:color w:val="000000"/>
                    <w:kern w:val="2"/>
                    <w:sz w:val="22"/>
                    <w:szCs w:val="22"/>
                  </w:rPr>
                  <w:t xml:space="preserve">6) Ekonominės veiklos vykdytojai imasi taisomųjų priemonių siekdami pašalinti nustatytus neatitikimus reikalavimams, kaip numatyta Reglamento </w:t>
                </w:r>
                <w:fldSimple w:instr="HYPERLINK http://eur-lex.europa.eu/legal-content/LIT/TXT/?uri=CELEX:32025R0040&amp;locale=lt \t _blank">
                  <w:r>
                    <w:rPr>
                      <w:color w:val="0000FF" w:themeColor="hyperlink"/>
                      <w:kern w:val="2"/>
                      <w:sz w:val="22"/>
                      <w:szCs w:val="22"/>
                      <w:u w:val="single"/>
                    </w:rPr>
                    <w:t>(ES) 2025/40</w:t>
                  </w:r>
                </w:fldSimple>
                <w:r>
                  <w:rPr>
                    <w:color w:val="000000"/>
                    <w:kern w:val="2"/>
                    <w:sz w:val="22"/>
                    <w:szCs w:val="22"/>
                  </w:rPr>
                  <w:t xml:space="preserve"> 60 straipsnio 3 dalyje ir 62 straipsnyje.</w:t>
                </w:r>
              </w:p>
              <w:p>
                <w:pPr>
                  <w:rPr>
                    <w:sz w:val="6"/>
                    <w:szCs w:val="6"/>
                  </w:rPr>
                </w:pPr>
              </w:p>
              <w:p>
                <w:pPr>
                  <w:shd w:val="clear" w:color="auto" w:fill="FFFFFF"/>
                  <w:jc w:val="both"/>
                  <w:rPr>
                    <w:color w:val="000000"/>
                    <w:sz w:val="22"/>
                    <w:szCs w:val="22"/>
                    <w:lang w:eastAsia="lt-LT"/>
                  </w:rPr>
                </w:pPr>
              </w:p>
              <w:p>
                <w:pPr>
                  <w:rPr>
                    <w:sz w:val="10"/>
                    <w:szCs w:val="10"/>
                  </w:rPr>
                </w:pPr>
              </w:p>
              <w:p>
                <w:pPr>
                  <w:shd w:val="clear" w:color="auto" w:fill="FFFFFF"/>
                  <w:jc w:val="both"/>
                  <w:rPr>
                    <w:b/>
                    <w:bCs/>
                    <w:color w:val="000000"/>
                    <w:szCs w:val="24"/>
                    <w:lang w:eastAsia="lt-LT"/>
                  </w:rPr>
                </w:pPr>
              </w:p>
              <w:p>
                <w:pPr>
                  <w:rPr>
                    <w:sz w:val="10"/>
                    <w:szCs w:val="10"/>
                  </w:rPr>
                </w:pPr>
              </w:p>
              <w:p>
                <w:pPr>
                  <w:jc w:val="center"/>
                  <w:rPr>
                    <w:color w:val="000000"/>
                    <w:szCs w:val="24"/>
                    <w:lang w:eastAsia="lt-LT"/>
                  </w:rPr>
                </w:pPr>
              </w:p>
            </w:tc>
            <w:tc>
              <w:tcPr>
                <w:tcW w:w="3543" w:type="dxa"/>
              </w:tcPr>
              <w:p>
                <w:pPr>
                  <w:jc w:val="center"/>
                  <w:rPr>
                    <w:b/>
                    <w:bCs/>
                    <w:kern w:val="2"/>
                    <w:szCs w:val="24"/>
                  </w:rPr>
                </w:pPr>
                <w:r>
                  <w:rPr>
                    <w:b/>
                    <w:bCs/>
                    <w:kern w:val="2"/>
                    <w:szCs w:val="24"/>
                  </w:rPr>
                  <w:t>Visiškas</w:t>
                </w:r>
              </w:p>
              <w:p>
                <w:pPr>
                  <w:jc w:val="center"/>
                  <w:rPr>
                    <w:b/>
                    <w:bCs/>
                    <w:kern w:val="2"/>
                    <w:szCs w:val="24"/>
                  </w:rPr>
                </w:pP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62 straipsnis</w:t>
                </w:r>
              </w:p>
              <w:p>
                <w:pPr>
                  <w:rPr>
                    <w:sz w:val="10"/>
                    <w:szCs w:val="10"/>
                  </w:rPr>
                </w:pPr>
              </w:p>
              <w:p>
                <w:pPr>
                  <w:shd w:val="clear" w:color="auto" w:fill="FFFFFF"/>
                  <w:jc w:val="center"/>
                  <w:rPr>
                    <w:color w:val="000000"/>
                    <w:szCs w:val="24"/>
                    <w:lang w:eastAsia="lt-LT"/>
                  </w:rPr>
                </w:pPr>
                <w:r>
                  <w:rPr>
                    <w:b/>
                    <w:bCs/>
                    <w:color w:val="000000"/>
                    <w:szCs w:val="24"/>
                    <w:lang w:eastAsia="lt-LT"/>
                  </w:rPr>
                  <w:t>Formali neatitiktis</w:t>
                </w:r>
              </w:p>
              <w:p>
                <w:pPr>
                  <w:rPr>
                    <w:sz w:val="10"/>
                    <w:szCs w:val="10"/>
                  </w:rPr>
                </w:pPr>
              </w:p>
              <w:p>
                <w:pPr>
                  <w:shd w:val="clear" w:color="auto" w:fill="FFFFFF"/>
                  <w:jc w:val="both"/>
                  <w:rPr>
                    <w:color w:val="000000"/>
                    <w:szCs w:val="24"/>
                    <w:lang w:eastAsia="lt-LT"/>
                  </w:rPr>
                </w:pPr>
                <w:r>
                  <w:rPr>
                    <w:color w:val="000000"/>
                    <w:szCs w:val="24"/>
                    <w:lang w:eastAsia="lt-LT"/>
                  </w:rPr>
                  <w:t xml:space="preserve">1. Valstybė narė reikalauja, kad atitinkamas ekonominės veiklos vykdytojas ištaisytų atitinkamą neatitiktį reikalavimams, kai ji sužino apie bet kurį iš šių faktų: </w:t>
                </w:r>
              </w:p>
              <w:p>
                <w:pPr>
                  <w:rPr>
                    <w:sz w:val="10"/>
                    <w:szCs w:val="10"/>
                  </w:rPr>
                </w:pPr>
              </w:p>
              <w:p>
                <w:pPr>
                  <w:shd w:val="clear" w:color="auto" w:fill="FFFFFF"/>
                  <w:jc w:val="both"/>
                  <w:rPr>
                    <w:color w:val="000000"/>
                    <w:szCs w:val="24"/>
                    <w:lang w:eastAsia="lt-LT"/>
                  </w:rPr>
                </w:pPr>
                <w:r>
                  <w:rPr>
                    <w:color w:val="000000"/>
                    <w:szCs w:val="24"/>
                    <w:lang w:eastAsia="lt-LT"/>
                  </w:rPr>
                  <w:t xml:space="preserve">a) neparengta ES atitikties deklaracija; </w:t>
                </w:r>
              </w:p>
              <w:p>
                <w:pPr>
                  <w:rPr>
                    <w:sz w:val="10"/>
                    <w:szCs w:val="10"/>
                  </w:rPr>
                </w:pPr>
              </w:p>
              <w:p>
                <w:pPr>
                  <w:shd w:val="clear" w:color="auto" w:fill="FFFFFF"/>
                  <w:jc w:val="both"/>
                  <w:rPr>
                    <w:color w:val="000000"/>
                    <w:szCs w:val="24"/>
                    <w:lang w:eastAsia="lt-LT"/>
                  </w:rPr>
                </w:pPr>
                <w:r>
                  <w:rPr>
                    <w:color w:val="000000"/>
                    <w:szCs w:val="24"/>
                    <w:lang w:eastAsia="lt-LT"/>
                  </w:rPr>
                  <w:t xml:space="preserve">b) netinkamai parengta ES atitikties deklaracija; c) 12 straipsnyje nurodytu QR kodu ar duomenų saitu nesuteikiama prieiga prie pagal tą straipsnį reikalaujamos informacijos; </w:t>
                </w:r>
              </w:p>
              <w:p>
                <w:pPr>
                  <w:rPr>
                    <w:sz w:val="10"/>
                    <w:szCs w:val="10"/>
                  </w:rPr>
                </w:pPr>
              </w:p>
              <w:p>
                <w:pPr>
                  <w:shd w:val="clear" w:color="auto" w:fill="FFFFFF"/>
                  <w:jc w:val="both"/>
                  <w:rPr>
                    <w:color w:val="000000"/>
                    <w:szCs w:val="24"/>
                    <w:lang w:eastAsia="lt-LT"/>
                  </w:rPr>
                </w:pPr>
                <w:r>
                  <w:rPr>
                    <w:color w:val="000000"/>
                    <w:szCs w:val="24"/>
                    <w:lang w:eastAsia="lt-LT"/>
                  </w:rPr>
                  <w:t xml:space="preserve">d) VII priede nurodyti techniniai dokumentai neprieinami, neišsamūs arba juose yra klaidų; </w:t>
                </w:r>
              </w:p>
              <w:p>
                <w:pPr>
                  <w:rPr>
                    <w:sz w:val="10"/>
                    <w:szCs w:val="10"/>
                  </w:rPr>
                </w:pPr>
              </w:p>
              <w:p>
                <w:pPr>
                  <w:shd w:val="clear" w:color="auto" w:fill="FFFFFF"/>
                  <w:jc w:val="both"/>
                  <w:rPr>
                    <w:color w:val="000000"/>
                    <w:szCs w:val="24"/>
                    <w:lang w:eastAsia="lt-LT"/>
                  </w:rPr>
                </w:pPr>
                <w:r>
                  <w:rPr>
                    <w:color w:val="000000"/>
                    <w:szCs w:val="24"/>
                    <w:lang w:eastAsia="lt-LT"/>
                  </w:rPr>
                  <w:t xml:space="preserve">e) 15 straipsnio 6 dalyje ar 18 straipsnio 3 dalyje nurodyta informacija nepateikta, yra klaidinga ar neišsami; </w:t>
                </w:r>
              </w:p>
              <w:p>
                <w:pPr>
                  <w:rPr>
                    <w:sz w:val="10"/>
                    <w:szCs w:val="10"/>
                  </w:rPr>
                </w:pPr>
              </w:p>
              <w:p>
                <w:pPr>
                  <w:shd w:val="clear" w:color="auto" w:fill="FFFFFF"/>
                  <w:jc w:val="both"/>
                  <w:rPr>
                    <w:color w:val="000000"/>
                    <w:szCs w:val="24"/>
                    <w:lang w:eastAsia="lt-LT"/>
                  </w:rPr>
                </w:pPr>
                <w:r>
                  <w:rPr>
                    <w:color w:val="000000"/>
                    <w:szCs w:val="24"/>
                    <w:lang w:eastAsia="lt-LT"/>
                  </w:rPr>
                  <w:t>f) neįvykdytas kuris nors kitas 15 ar 18 straipsnyje nustatytas administracinis reikalavimas;</w:t>
                </w:r>
              </w:p>
              <w:p>
                <w:pPr>
                  <w:rPr>
                    <w:sz w:val="10"/>
                    <w:szCs w:val="10"/>
                  </w:rPr>
                </w:pPr>
              </w:p>
              <w:p>
                <w:pPr>
                  <w:shd w:val="clear" w:color="auto" w:fill="FFFFFF"/>
                  <w:jc w:val="both"/>
                  <w:rPr>
                    <w:color w:val="000000"/>
                    <w:szCs w:val="24"/>
                    <w:lang w:eastAsia="lt-LT"/>
                  </w:rPr>
                </w:pPr>
                <w:r>
                  <w:rPr>
                    <w:color w:val="000000"/>
                    <w:szCs w:val="24"/>
                    <w:lang w:eastAsia="lt-LT"/>
                  </w:rPr>
                  <w:t xml:space="preserve">2. Jeigu 1 dalies a–f punktuose nurodyta neatitiktis išlieka, atitinkama valstybė narė imasi visų tinkamų priemonių, kad būtų uždrausta atitinkamas pakuotes tiekti rinkai arba užtikrinta, kad pakuotės būtų atšauktos arba pašalintos iš rinkos. </w:t>
                </w:r>
              </w:p>
              <w:p>
                <w:pPr>
                  <w:rPr>
                    <w:sz w:val="10"/>
                    <w:szCs w:val="10"/>
                  </w:rPr>
                </w:pPr>
              </w:p>
              <w:p>
                <w:pPr>
                  <w:shd w:val="clear" w:color="auto" w:fill="FFFFFF"/>
                  <w:ind w:left="810"/>
                  <w:jc w:val="both"/>
                  <w:rPr>
                    <w:color w:val="000000"/>
                    <w:kern w:val="2"/>
                    <w:szCs w:val="24"/>
                  </w:rPr>
                </w:pPr>
              </w:p>
            </w:tc>
            <w:tc>
              <w:tcPr>
                <w:tcW w:w="5529" w:type="dxa"/>
              </w:tcPr>
              <w:p>
                <w:pPr>
                  <w:widowControl w:val="0"/>
                  <w:spacing w:line="23" w:lineRule="atLeast"/>
                  <w:ind w:firstLine="62"/>
                  <w:jc w:val="both"/>
                  <w:rPr>
                    <w:color w:val="000000"/>
                    <w:kern w:val="2"/>
                    <w:szCs w:val="24"/>
                  </w:rPr>
                </w:pPr>
              </w:p>
              <w:p>
                <w:pPr>
                  <w:widowControl w:val="0"/>
                  <w:spacing w:line="23" w:lineRule="atLeast"/>
                  <w:jc w:val="both"/>
                  <w:rPr>
                    <w:b/>
                    <w:bCs/>
                    <w:color w:val="000000"/>
                    <w:kern w:val="2"/>
                    <w:szCs w:val="24"/>
                  </w:rPr>
                </w:pPr>
                <w:r>
                  <w:rPr>
                    <w:b/>
                    <w:bCs/>
                    <w:color w:val="000000"/>
                    <w:kern w:val="2"/>
                    <w:szCs w:val="24"/>
                  </w:rPr>
                  <w:t>ANK projektas:</w:t>
                </w:r>
              </w:p>
              <w:p>
                <w:pPr>
                  <w:widowControl w:val="0"/>
                  <w:spacing w:line="23" w:lineRule="atLeast"/>
                  <w:jc w:val="both"/>
                  <w:rPr>
                    <w:b/>
                    <w:bCs/>
                    <w:color w:val="000000"/>
                    <w:kern w:val="2"/>
                    <w:szCs w:val="24"/>
                  </w:rPr>
                </w:pPr>
                <w:r>
                  <w:rPr>
                    <w:b/>
                    <w:bCs/>
                    <w:color w:val="000000"/>
                    <w:kern w:val="2"/>
                    <w:szCs w:val="24"/>
                  </w:rPr>
                  <w:t>1 straipsnis. 248 straipsnio pakeitimas</w:t>
                </w:r>
              </w:p>
              <w:p>
                <w:pPr>
                  <w:widowControl w:val="0"/>
                  <w:spacing w:line="23" w:lineRule="atLeast"/>
                  <w:jc w:val="both"/>
                  <w:rPr>
                    <w:color w:val="000000"/>
                    <w:kern w:val="2"/>
                    <w:szCs w:val="24"/>
                  </w:rPr>
                </w:pPr>
                <w:r>
                  <w:rPr>
                    <w:color w:val="000000"/>
                    <w:kern w:val="2"/>
                    <w:szCs w:val="24"/>
                  </w:rPr>
                  <w:t>1. Papildyti 248 straipsnį 12–14 dalimis:</w:t>
                </w:r>
              </w:p>
              <w:p>
                <w:pPr>
                  <w:widowControl w:val="0"/>
                  <w:spacing w:line="23" w:lineRule="atLeast"/>
                  <w:jc w:val="both"/>
                  <w:rPr>
                    <w:color w:val="000000"/>
                    <w:kern w:val="2"/>
                    <w:szCs w:val="24"/>
                  </w:rPr>
                </w:pPr>
                <w:r>
                  <w:rPr>
                    <w:color w:val="000000"/>
                    <w:kern w:val="2"/>
                    <w:szCs w:val="24"/>
                  </w:rPr>
                  <w:t xml:space="preserve">„12. Pareigos dalyvauti pakartotinio naudojimo sistemose nevykdymas </w:t>
                </w:r>
              </w:p>
              <w:p>
                <w:pPr>
                  <w:widowControl w:val="0"/>
                  <w:spacing w:line="23" w:lineRule="atLeast"/>
                  <w:jc w:val="both"/>
                  <w:rPr>
                    <w:color w:val="000000"/>
                    <w:kern w:val="2"/>
                    <w:szCs w:val="24"/>
                  </w:rPr>
                </w:pPr>
                <w:r>
                  <w:rPr>
                    <w:color w:val="000000"/>
                    <w:kern w:val="2"/>
                    <w:szCs w:val="24"/>
                  </w:rPr>
                  <w:t>užtraukia baudą juridinių asmenų vadovams ar kitiems atsakingiems asmenims nuo dviejų šimtų iki šešių šimtų eurų.</w:t>
                </w:r>
              </w:p>
              <w:p>
                <w:pPr>
                  <w:widowControl w:val="0"/>
                  <w:spacing w:line="23" w:lineRule="atLeast"/>
                  <w:jc w:val="both"/>
                  <w:rPr>
                    <w:color w:val="000000"/>
                    <w:kern w:val="2"/>
                    <w:szCs w:val="24"/>
                  </w:rPr>
                </w:pPr>
                <w:r>
                  <w:rPr>
                    <w:color w:val="000000"/>
                    <w:kern w:val="2"/>
                    <w:szCs w:val="24"/>
                  </w:rPr>
                  <w:t>13. Pareigų, susijusių su pakartotinio naudojimo tikslais, nevykdymas</w:t>
                </w:r>
              </w:p>
              <w:p>
                <w:pPr>
                  <w:widowControl w:val="0"/>
                  <w:spacing w:line="23" w:lineRule="atLeast"/>
                  <w:jc w:val="both"/>
                  <w:rPr>
                    <w:color w:val="000000"/>
                    <w:kern w:val="2"/>
                    <w:szCs w:val="24"/>
                  </w:rPr>
                </w:pPr>
                <w:r>
                  <w:rPr>
                    <w:color w:val="000000"/>
                    <w:kern w:val="2"/>
                    <w:szCs w:val="24"/>
                  </w:rPr>
                  <w:t>užtraukia baudą juridinių asmenų vadovams ar kitiems atsakingiems asmenims nuo šešių šimtų iki tūkstančio penkių šimtų eurų.</w:t>
                </w:r>
              </w:p>
              <w:p>
                <w:pPr>
                  <w:widowControl w:val="0"/>
                  <w:spacing w:line="23" w:lineRule="atLeast"/>
                  <w:jc w:val="both"/>
                  <w:rPr>
                    <w:color w:val="000000"/>
                    <w:kern w:val="2"/>
                    <w:szCs w:val="24"/>
                  </w:rPr>
                </w:pPr>
                <w:r>
                  <w:rPr>
                    <w:color w:val="000000"/>
                    <w:kern w:val="2"/>
                    <w:szCs w:val="24"/>
                  </w:rPr>
                  <w:t>14. Pakartotinio užpildymo reikalavimų nevykdymas (informacijos nepateikimas, punktų neatitiktis reikalavimams, pakuočių siūlymo taisyklių nesilaikymas)</w:t>
                </w:r>
              </w:p>
              <w:p>
                <w:pPr>
                  <w:widowControl w:val="0"/>
                  <w:spacing w:line="23" w:lineRule="atLeast"/>
                  <w:jc w:val="both"/>
                  <w:rPr>
                    <w:color w:val="000000"/>
                    <w:kern w:val="2"/>
                    <w:szCs w:val="24"/>
                  </w:rPr>
                </w:pPr>
                <w:r>
                  <w:rPr>
                    <w:color w:val="000000"/>
                    <w:kern w:val="2"/>
                    <w:szCs w:val="24"/>
                  </w:rPr>
                  <w:t>užtraukia baudą juridinių asmenų vadovams ar kitiems atsakingiems asmenims nuo trijų šimtų iki aštuonių šimtų eurų.“</w:t>
                </w:r>
              </w:p>
              <w:p>
                <w:pPr>
                  <w:widowControl w:val="0"/>
                  <w:spacing w:line="23" w:lineRule="atLeast"/>
                  <w:jc w:val="both"/>
                  <w:rPr>
                    <w:color w:val="000000"/>
                    <w:kern w:val="2"/>
                    <w:szCs w:val="24"/>
                  </w:rPr>
                </w:pPr>
              </w:p>
              <w:p>
                <w:pPr>
                  <w:widowControl w:val="0"/>
                  <w:spacing w:line="23" w:lineRule="atLeast"/>
                  <w:jc w:val="both"/>
                  <w:rPr>
                    <w:b/>
                    <w:bCs/>
                    <w:color w:val="000000"/>
                    <w:kern w:val="2"/>
                    <w:szCs w:val="24"/>
                  </w:rPr>
                </w:pPr>
                <w:r>
                  <w:rPr>
                    <w:b/>
                    <w:bCs/>
                    <w:color w:val="000000"/>
                    <w:kern w:val="2"/>
                    <w:szCs w:val="24"/>
                  </w:rPr>
                  <w:t>2. straipsnis. 248 straipsnio pakeitimas</w:t>
                </w:r>
              </w:p>
              <w:p>
                <w:pPr>
                  <w:widowControl w:val="0"/>
                  <w:spacing w:line="23" w:lineRule="atLeast"/>
                  <w:ind w:firstLine="62"/>
                  <w:jc w:val="both"/>
                  <w:rPr>
                    <w:color w:val="000000"/>
                    <w:kern w:val="2"/>
                    <w:szCs w:val="24"/>
                  </w:rPr>
                </w:pPr>
                <w:r>
                  <w:rPr>
                    <w:color w:val="000000"/>
                    <w:kern w:val="2"/>
                    <w:szCs w:val="24"/>
                  </w:rPr>
                  <w:t>Papildyti 248 straipsnį 15 dalimi:</w:t>
                </w:r>
              </w:p>
              <w:p>
                <w:pPr>
                  <w:widowControl w:val="0"/>
                  <w:spacing w:line="23" w:lineRule="atLeast"/>
                  <w:jc w:val="both"/>
                  <w:rPr>
                    <w:color w:val="000000"/>
                    <w:kern w:val="2"/>
                    <w:szCs w:val="24"/>
                  </w:rPr>
                </w:pPr>
                <w:r>
                  <w:rPr>
                    <w:color w:val="000000"/>
                    <w:kern w:val="2"/>
                    <w:szCs w:val="24"/>
                  </w:rPr>
                  <w:t xml:space="preserve">„15. Pareigų, susijusių su išsineštiniu maistu ir gėrimais, nevykdymas </w:t>
                </w:r>
              </w:p>
              <w:p>
                <w:pPr>
                  <w:widowControl w:val="0"/>
                  <w:spacing w:line="23" w:lineRule="atLeast"/>
                  <w:jc w:val="both"/>
                  <w:rPr>
                    <w:color w:val="000000"/>
                    <w:kern w:val="2"/>
                    <w:szCs w:val="24"/>
                  </w:rPr>
                </w:pPr>
                <w:r>
                  <w:rPr>
                    <w:color w:val="000000"/>
                    <w:kern w:val="2"/>
                    <w:szCs w:val="24"/>
                  </w:rPr>
                  <w:t>užtraukia baudą juridinių asmenų vadovams ar kitiems atsakingiems asmenims nuo trijų šimtų iki aštuonių šimtų eurų.“</w:t>
                </w:r>
              </w:p>
              <w:p>
                <w:pPr>
                  <w:widowControl w:val="0"/>
                  <w:spacing w:line="23" w:lineRule="atLeast"/>
                  <w:jc w:val="both"/>
                  <w:rPr>
                    <w:color w:val="000000"/>
                    <w:kern w:val="2"/>
                    <w:szCs w:val="24"/>
                  </w:rPr>
                </w:pPr>
              </w:p>
              <w:p>
                <w:pPr>
                  <w:widowControl w:val="0"/>
                  <w:spacing w:line="23" w:lineRule="atLeast"/>
                  <w:jc w:val="both"/>
                  <w:rPr>
                    <w:b/>
                    <w:bCs/>
                    <w:color w:val="000000"/>
                    <w:kern w:val="2"/>
                    <w:szCs w:val="24"/>
                  </w:rPr>
                </w:pPr>
                <w:r>
                  <w:rPr>
                    <w:b/>
                    <w:bCs/>
                    <w:color w:val="000000"/>
                    <w:kern w:val="2"/>
                    <w:szCs w:val="24"/>
                  </w:rPr>
                  <w:t>3 straipsnis. 248 straipsnio pakeitimas</w:t>
                </w:r>
              </w:p>
              <w:p>
                <w:pPr>
                  <w:widowControl w:val="0"/>
                  <w:spacing w:line="23" w:lineRule="atLeast"/>
                  <w:jc w:val="both"/>
                  <w:rPr>
                    <w:color w:val="000000"/>
                    <w:kern w:val="2"/>
                    <w:szCs w:val="24"/>
                  </w:rPr>
                </w:pPr>
                <w:r>
                  <w:rPr>
                    <w:color w:val="000000"/>
                    <w:kern w:val="2"/>
                    <w:szCs w:val="24"/>
                  </w:rPr>
                  <w:t>Papildyti 248 straipsnį 16–18 dalimis:</w:t>
                </w:r>
              </w:p>
              <w:p>
                <w:pPr>
                  <w:widowControl w:val="0"/>
                  <w:spacing w:line="23" w:lineRule="atLeast"/>
                  <w:jc w:val="both"/>
                  <w:rPr>
                    <w:color w:val="000000"/>
                    <w:kern w:val="2"/>
                    <w:szCs w:val="24"/>
                  </w:rPr>
                </w:pPr>
                <w:r>
                  <w:rPr>
                    <w:color w:val="000000"/>
                    <w:kern w:val="2"/>
                    <w:szCs w:val="24"/>
                  </w:rPr>
                  <w:t>„16. Pakuočių, kurios neatitinka tinkamumo perdirbti ar minimalios perdirbtų medžiagų dalies reikalavimų, tiekimas vidaus rinkai</w:t>
                </w:r>
              </w:p>
              <w:p>
                <w:pPr>
                  <w:widowControl w:val="0"/>
                  <w:spacing w:line="23" w:lineRule="atLeast"/>
                  <w:jc w:val="both"/>
                  <w:rPr>
                    <w:color w:val="000000"/>
                    <w:kern w:val="2"/>
                    <w:szCs w:val="24"/>
                  </w:rPr>
                </w:pPr>
                <w:r>
                  <w:rPr>
                    <w:color w:val="000000"/>
                    <w:kern w:val="2"/>
                    <w:szCs w:val="24"/>
                  </w:rPr>
                  <w:t>užtraukia baudą juridinių asmenų vadovams ar kitiems atsakingiems asmenims nuo aštuonių šimtų iki dviejų tūkstančių eurų.</w:t>
                </w:r>
              </w:p>
              <w:p>
                <w:pPr>
                  <w:widowControl w:val="0"/>
                  <w:spacing w:line="23" w:lineRule="atLeast"/>
                  <w:jc w:val="both"/>
                  <w:rPr>
                    <w:color w:val="000000"/>
                    <w:kern w:val="2"/>
                    <w:szCs w:val="24"/>
                  </w:rPr>
                </w:pPr>
                <w:r>
                  <w:rPr>
                    <w:color w:val="000000"/>
                    <w:kern w:val="2"/>
                    <w:szCs w:val="24"/>
                  </w:rPr>
                  <w:t>17. Grupinių, transportavimo arba elektroninės prekybos siuntų pakuočių, kuriose tuščios ertmės dalis viršija 50 procentų, tiekimas vidaus rinkai, išskyrus Pakuočių ir pakuočių atliekų tvarkymo įstatyme numatytus atvejus</w:t>
                </w:r>
              </w:p>
              <w:p>
                <w:pPr>
                  <w:widowControl w:val="0"/>
                  <w:spacing w:line="23" w:lineRule="atLeast"/>
                  <w:jc w:val="both"/>
                  <w:rPr>
                    <w:color w:val="000000"/>
                    <w:kern w:val="2"/>
                    <w:szCs w:val="24"/>
                  </w:rPr>
                </w:pPr>
                <w:r>
                  <w:rPr>
                    <w:color w:val="000000"/>
                    <w:kern w:val="2"/>
                    <w:szCs w:val="24"/>
                  </w:rPr>
                  <w:t>užtraukia baudą juridinių asmenų vadovams ar kitiems atsakingiems asmenims nuo šešių šimtų iki pusantro tūkstančio eurų.</w:t>
                </w:r>
              </w:p>
              <w:p>
                <w:pPr>
                  <w:widowControl w:val="0"/>
                  <w:spacing w:line="23" w:lineRule="atLeast"/>
                  <w:jc w:val="both"/>
                  <w:rPr>
                    <w:color w:val="000000"/>
                    <w:kern w:val="2"/>
                    <w:szCs w:val="24"/>
                  </w:rPr>
                </w:pPr>
                <w:r>
                  <w:rPr>
                    <w:color w:val="000000"/>
                    <w:kern w:val="2"/>
                    <w:szCs w:val="24"/>
                  </w:rPr>
                  <w:t>18. Pakuočių, kurių tiekimas Lietuvos Respublikos vidaus rinkai draudžiamas pagal Pakuočių ir pakuočių atliekų tvarkymo įstatymą, tiekimas rinkai</w:t>
                </w:r>
              </w:p>
              <w:p>
                <w:pPr>
                  <w:widowControl w:val="0"/>
                  <w:spacing w:line="23" w:lineRule="atLeast"/>
                  <w:jc w:val="both"/>
                  <w:rPr>
                    <w:color w:val="000000"/>
                    <w:kern w:val="2"/>
                    <w:szCs w:val="24"/>
                  </w:rPr>
                </w:pPr>
                <w:r>
                  <w:rPr>
                    <w:color w:val="000000"/>
                    <w:kern w:val="2"/>
                    <w:szCs w:val="24"/>
                  </w:rPr>
                  <w:t>užtraukia baudą juridinių asmenų vadovams ar kitiems atsakingiems asmenims nuo tūkstančio iki dviejų tūkstančių penkių šimtų eurų.“</w:t>
                </w:r>
              </w:p>
              <w:p>
                <w:pPr>
                  <w:widowControl w:val="0"/>
                  <w:spacing w:line="23" w:lineRule="atLeast"/>
                  <w:jc w:val="both"/>
                  <w:rPr>
                    <w:color w:val="000000"/>
                    <w:kern w:val="2"/>
                    <w:szCs w:val="24"/>
                  </w:rPr>
                </w:pPr>
              </w:p>
              <w:p>
                <w:pPr>
                  <w:widowControl w:val="0"/>
                  <w:spacing w:line="23" w:lineRule="atLeast"/>
                  <w:jc w:val="both"/>
                  <w:rPr>
                    <w:color w:val="000000"/>
                    <w:kern w:val="2"/>
                    <w:szCs w:val="24"/>
                  </w:rPr>
                </w:pPr>
              </w:p>
              <w:p>
                <w:pPr>
                  <w:widowControl w:val="0"/>
                  <w:spacing w:line="23" w:lineRule="atLeast"/>
                  <w:ind w:firstLine="720"/>
                  <w:jc w:val="both"/>
                  <w:rPr>
                    <w:color w:val="000000"/>
                    <w:kern w:val="2"/>
                    <w:szCs w:val="24"/>
                  </w:rPr>
                </w:pPr>
              </w:p>
              <w:p>
                <w:pPr>
                  <w:widowControl w:val="0"/>
                  <w:spacing w:line="23" w:lineRule="atLeast"/>
                  <w:jc w:val="both"/>
                  <w:rPr>
                    <w:color w:val="000000"/>
                    <w:kern w:val="2"/>
                    <w:szCs w:val="24"/>
                  </w:rPr>
                </w:pPr>
              </w:p>
            </w:tc>
            <w:tc>
              <w:tcPr>
                <w:tcW w:w="3543" w:type="dxa"/>
              </w:tcPr>
              <w:p>
                <w:pPr>
                  <w:jc w:val="center"/>
                  <w:rPr>
                    <w:b/>
                    <w:bCs/>
                    <w:kern w:val="2"/>
                    <w:szCs w:val="24"/>
                  </w:rPr>
                </w:pPr>
                <w:r>
                  <w:rPr>
                    <w:b/>
                    <w:bCs/>
                    <w:kern w:val="2"/>
                    <w:szCs w:val="24"/>
                  </w:rPr>
                  <w:t>Visiškas</w:t>
                </w:r>
              </w:p>
            </w:tc>
          </w:tr>
          <w:tr>
            <w:trPr>
              <w:trHeight w:val="300"/>
            </w:trPr>
            <w:tc>
              <w:tcPr>
                <w:tcW w:w="5665" w:type="dxa"/>
              </w:tcPr>
              <w:p>
                <w:pPr>
                  <w:rPr>
                    <w:sz w:val="32"/>
                    <w:szCs w:val="32"/>
                  </w:rPr>
                </w:pPr>
              </w:p>
              <w:p>
                <w:pPr>
                  <w:shd w:val="clear" w:color="auto" w:fill="FFFFFF"/>
                  <w:jc w:val="center"/>
                  <w:rPr>
                    <w:color w:val="000000"/>
                    <w:szCs w:val="24"/>
                    <w:lang w:eastAsia="lt-LT"/>
                  </w:rPr>
                </w:pPr>
                <w:r>
                  <w:rPr>
                    <w:color w:val="000000"/>
                    <w:szCs w:val="24"/>
                    <w:lang w:eastAsia="lt-LT"/>
                  </w:rPr>
                  <w:t>62 straipsnis</w:t>
                </w:r>
              </w:p>
              <w:p>
                <w:pPr>
                  <w:rPr>
                    <w:sz w:val="10"/>
                    <w:szCs w:val="10"/>
                  </w:rPr>
                </w:pPr>
              </w:p>
              <w:p>
                <w:pPr>
                  <w:shd w:val="clear" w:color="auto" w:fill="FFFFFF"/>
                  <w:jc w:val="center"/>
                  <w:rPr>
                    <w:color w:val="000000"/>
                    <w:szCs w:val="24"/>
                    <w:lang w:eastAsia="lt-LT"/>
                  </w:rPr>
                </w:pPr>
                <w:r>
                  <w:rPr>
                    <w:b/>
                    <w:bCs/>
                    <w:color w:val="000000"/>
                    <w:szCs w:val="24"/>
                    <w:lang w:eastAsia="lt-LT"/>
                  </w:rPr>
                  <w:t>Formali neatitiktis</w:t>
                </w:r>
              </w:p>
              <w:p>
                <w:pPr>
                  <w:rPr>
                    <w:sz w:val="10"/>
                    <w:szCs w:val="10"/>
                  </w:rPr>
                </w:pPr>
              </w:p>
              <w:p>
                <w:pPr>
                  <w:shd w:val="clear" w:color="auto" w:fill="FFFFFF"/>
                  <w:jc w:val="both"/>
                  <w:rPr>
                    <w:color w:val="000000"/>
                    <w:szCs w:val="24"/>
                    <w:lang w:eastAsia="lt-LT"/>
                  </w:rPr>
                </w:pPr>
                <w:r>
                  <w:rPr>
                    <w:color w:val="000000"/>
                    <w:szCs w:val="24"/>
                    <w:lang w:eastAsia="lt-LT"/>
                  </w:rPr>
                  <w:t xml:space="preserve">1. Valstybė narė reikalauja, kad atitinkamas ekonominės veiklos vykdytojas ištaisytų atitinkamą neatitiktį reikalavimams, kai ji sužino apie bet kurį iš šių faktų: </w:t>
                </w:r>
              </w:p>
              <w:p>
                <w:pPr>
                  <w:rPr>
                    <w:sz w:val="10"/>
                    <w:szCs w:val="10"/>
                  </w:rPr>
                </w:pPr>
              </w:p>
              <w:p>
                <w:pPr>
                  <w:shd w:val="clear" w:color="auto" w:fill="FFFFFF"/>
                  <w:jc w:val="both"/>
                  <w:rPr>
                    <w:color w:val="000000"/>
                    <w:szCs w:val="24"/>
                    <w:lang w:eastAsia="lt-LT"/>
                  </w:rPr>
                </w:pPr>
                <w:r>
                  <w:rPr>
                    <w:color w:val="000000"/>
                    <w:szCs w:val="24"/>
                    <w:lang w:eastAsia="lt-LT"/>
                  </w:rPr>
                  <w:t xml:space="preserve">a) neparengta ES atitikties deklaracija; </w:t>
                </w:r>
              </w:p>
              <w:p>
                <w:pPr>
                  <w:rPr>
                    <w:sz w:val="10"/>
                    <w:szCs w:val="10"/>
                  </w:rPr>
                </w:pPr>
              </w:p>
              <w:p>
                <w:pPr>
                  <w:shd w:val="clear" w:color="auto" w:fill="FFFFFF"/>
                  <w:jc w:val="both"/>
                  <w:rPr>
                    <w:color w:val="000000"/>
                    <w:szCs w:val="24"/>
                    <w:lang w:eastAsia="lt-LT"/>
                  </w:rPr>
                </w:pPr>
                <w:r>
                  <w:rPr>
                    <w:color w:val="000000"/>
                    <w:szCs w:val="24"/>
                    <w:lang w:eastAsia="lt-LT"/>
                  </w:rPr>
                  <w:t xml:space="preserve">b) netinkamai parengta ES atitikties deklaracija; c) 12 straipsnyje nurodytu QR kodu ar duomenų saitu nesuteikiama prieiga prie pagal tą straipsnį reikalaujamos informacijos; </w:t>
                </w:r>
              </w:p>
              <w:p>
                <w:pPr>
                  <w:rPr>
                    <w:sz w:val="10"/>
                    <w:szCs w:val="10"/>
                  </w:rPr>
                </w:pPr>
              </w:p>
              <w:p>
                <w:pPr>
                  <w:shd w:val="clear" w:color="auto" w:fill="FFFFFF"/>
                  <w:jc w:val="both"/>
                  <w:rPr>
                    <w:color w:val="000000"/>
                    <w:szCs w:val="24"/>
                    <w:lang w:eastAsia="lt-LT"/>
                  </w:rPr>
                </w:pPr>
                <w:r>
                  <w:rPr>
                    <w:color w:val="000000"/>
                    <w:szCs w:val="24"/>
                    <w:lang w:eastAsia="lt-LT"/>
                  </w:rPr>
                  <w:t xml:space="preserve">d) VII priede nurodyti techniniai dokumentai neprieinami, neišsamūs arba juose yra klaidų; </w:t>
                </w:r>
              </w:p>
              <w:p>
                <w:pPr>
                  <w:rPr>
                    <w:sz w:val="10"/>
                    <w:szCs w:val="10"/>
                  </w:rPr>
                </w:pPr>
              </w:p>
              <w:p>
                <w:pPr>
                  <w:shd w:val="clear" w:color="auto" w:fill="FFFFFF"/>
                  <w:jc w:val="both"/>
                  <w:rPr>
                    <w:color w:val="000000"/>
                    <w:szCs w:val="24"/>
                    <w:lang w:eastAsia="lt-LT"/>
                  </w:rPr>
                </w:pPr>
                <w:r>
                  <w:rPr>
                    <w:color w:val="000000"/>
                    <w:szCs w:val="24"/>
                    <w:lang w:eastAsia="lt-LT"/>
                  </w:rPr>
                  <w:t xml:space="preserve">e) 15 straipsnio 6 dalyje ar 18 straipsnio 3 dalyje nurodyta informacija nepateikta, yra klaidinga ar neišsami; </w:t>
                </w:r>
              </w:p>
              <w:p>
                <w:pPr>
                  <w:rPr>
                    <w:sz w:val="10"/>
                    <w:szCs w:val="10"/>
                  </w:rPr>
                </w:pPr>
              </w:p>
              <w:p>
                <w:pPr>
                  <w:shd w:val="clear" w:color="auto" w:fill="FFFFFF"/>
                  <w:jc w:val="both"/>
                  <w:rPr>
                    <w:color w:val="000000"/>
                    <w:szCs w:val="24"/>
                    <w:lang w:eastAsia="lt-LT"/>
                  </w:rPr>
                </w:pPr>
                <w:r>
                  <w:rPr>
                    <w:color w:val="000000"/>
                    <w:szCs w:val="24"/>
                    <w:lang w:eastAsia="lt-LT"/>
                  </w:rPr>
                  <w:t>f) neįvykdytas kuris nors kitas 15 ar 18 straipsnyje nustatytas administracinis reikalavimas;</w:t>
                </w:r>
              </w:p>
              <w:p>
                <w:pPr>
                  <w:rPr>
                    <w:sz w:val="10"/>
                    <w:szCs w:val="10"/>
                  </w:rPr>
                </w:pPr>
              </w:p>
              <w:p>
                <w:pPr>
                  <w:shd w:val="clear" w:color="auto" w:fill="FFFFFF"/>
                  <w:jc w:val="both"/>
                  <w:rPr>
                    <w:color w:val="000000"/>
                    <w:szCs w:val="24"/>
                    <w:lang w:eastAsia="lt-LT"/>
                  </w:rPr>
                </w:pPr>
                <w:r>
                  <w:rPr>
                    <w:color w:val="000000"/>
                    <w:szCs w:val="24"/>
                    <w:lang w:eastAsia="lt-LT"/>
                  </w:rPr>
                  <w:t>2. Jeigu 1 dalies a–f punktuose nurodyta neatitiktis išlieka, atitinkama valstybė narė imasi visų tinkamų priemonių, kad būtų uždrausta atitinkamas pakuotes tiekti rinkai arba užtikrinta, kad pakuotės būtų atšauktos arba pašalintos iš rinkos.</w:t>
                </w:r>
              </w:p>
              <w:p>
                <w:pPr>
                  <w:rPr>
                    <w:sz w:val="8"/>
                    <w:szCs w:val="8"/>
                  </w:rPr>
                </w:pPr>
              </w:p>
              <w:p>
                <w:pPr>
                  <w:jc w:val="center"/>
                  <w:rPr>
                    <w:color w:val="000000"/>
                    <w:szCs w:val="24"/>
                    <w:lang w:eastAsia="lt-LT"/>
                  </w:rPr>
                </w:pPr>
              </w:p>
            </w:tc>
            <w:tc>
              <w:tcPr>
                <w:tcW w:w="5529" w:type="dxa"/>
              </w:tcPr>
              <w:p>
                <w:pPr>
                  <w:jc w:val="both"/>
                  <w:rPr>
                    <w:b/>
                    <w:bCs/>
                    <w:color w:val="000000"/>
                    <w:kern w:val="2"/>
                    <w:szCs w:val="24"/>
                  </w:rPr>
                </w:pPr>
                <w:r>
                  <w:rPr>
                    <w:b/>
                    <w:bCs/>
                    <w:color w:val="000000"/>
                    <w:kern w:val="2"/>
                    <w:szCs w:val="24"/>
                  </w:rPr>
                  <w:t>AAĮ projektas</w:t>
                </w:r>
              </w:p>
              <w:p>
                <w:pPr>
                  <w:jc w:val="both"/>
                  <w:rPr>
                    <w:b/>
                    <w:bCs/>
                    <w:kern w:val="2"/>
                    <w:szCs w:val="24"/>
                  </w:rPr>
                </w:pPr>
                <w:r>
                  <w:rPr>
                    <w:b/>
                    <w:bCs/>
                    <w:kern w:val="2"/>
                    <w:szCs w:val="24"/>
                  </w:rPr>
                  <w:t>1 straipsnis. Įstatymo papildymas 108</w:t>
                </w:r>
                <w:r>
                  <w:rPr>
                    <w:b/>
                    <w:bCs/>
                    <w:kern w:val="2"/>
                    <w:szCs w:val="24"/>
                    <w:vertAlign w:val="superscript"/>
                  </w:rPr>
                  <w:t>5</w:t>
                </w:r>
                <w:r>
                  <w:rPr>
                    <w:b/>
                    <w:bCs/>
                    <w:kern w:val="2"/>
                    <w:szCs w:val="24"/>
                  </w:rPr>
                  <w:t> straipsniu </w:t>
                </w:r>
              </w:p>
              <w:p>
                <w:pPr>
                  <w:jc w:val="both"/>
                  <w:rPr>
                    <w:kern w:val="2"/>
                    <w:szCs w:val="24"/>
                  </w:rPr>
                </w:pPr>
                <w:r>
                  <w:rPr>
                    <w:kern w:val="2"/>
                    <w:szCs w:val="24"/>
                  </w:rPr>
                  <w:t>Papildyti Įstatymą 108</w:t>
                </w:r>
                <w:r>
                  <w:rPr>
                    <w:kern w:val="2"/>
                    <w:szCs w:val="24"/>
                    <w:vertAlign w:val="superscript"/>
                  </w:rPr>
                  <w:t>5</w:t>
                </w:r>
                <w:r>
                  <w:rPr>
                    <w:kern w:val="2"/>
                    <w:szCs w:val="24"/>
                  </w:rPr>
                  <w:t> straipsniu: </w:t>
                </w:r>
              </w:p>
              <w:p>
                <w:pPr>
                  <w:jc w:val="both"/>
                  <w:rPr>
                    <w:kern w:val="2"/>
                    <w:szCs w:val="24"/>
                  </w:rPr>
                </w:pPr>
                <w:r>
                  <w:rPr>
                    <w:kern w:val="2"/>
                    <w:szCs w:val="24"/>
                  </w:rPr>
                  <w:t>„108</w:t>
                </w:r>
                <w:r>
                  <w:rPr>
                    <w:kern w:val="2"/>
                    <w:szCs w:val="24"/>
                    <w:vertAlign w:val="superscript"/>
                  </w:rPr>
                  <w:t>5</w:t>
                </w:r>
                <w:r>
                  <w:rPr>
                    <w:kern w:val="2"/>
                    <w:szCs w:val="24"/>
                  </w:rPr>
                  <w:t> straipsnis. Juridinių asmenų atsakomybė už dalyvavimo pakartotinio naudojimo sistemose reikalavimų nesilaikymą </w:t>
                </w:r>
              </w:p>
              <w:p>
                <w:pPr>
                  <w:jc w:val="both"/>
                  <w:rPr>
                    <w:kern w:val="2"/>
                    <w:szCs w:val="24"/>
                  </w:rPr>
                </w:pPr>
                <w:r>
                  <w:rPr>
                    <w:kern w:val="2"/>
                    <w:szCs w:val="24"/>
                  </w:rPr>
                  <w:t>Pareigos dalyvauti pakartotinio naudojimo sistemose nevykdymas užtraukia baudą nuo vieno tūkstančio iki trijų tūkstančių eurų. </w:t>
                </w:r>
              </w:p>
              <w:p>
                <w:pPr>
                  <w:jc w:val="both"/>
                  <w:rPr>
                    <w:kern w:val="2"/>
                    <w:szCs w:val="24"/>
                  </w:rPr>
                </w:pPr>
                <w:r>
                  <w:rPr>
                    <w:kern w:val="2"/>
                    <w:szCs w:val="24"/>
                  </w:rPr>
                  <w:t>Šio straipsnio pirmojoje dalyje numatytas pažeidimas, padarytas pakartotinai, užtraukia baudą nuo trijų tūkstančių iki penkių tūkstančių eurų.“ </w:t>
                </w:r>
              </w:p>
              <w:p>
                <w:pPr>
                  <w:ind w:firstLine="709"/>
                  <w:jc w:val="both"/>
                  <w:rPr>
                    <w:kern w:val="2"/>
                    <w:szCs w:val="24"/>
                  </w:rPr>
                </w:pPr>
              </w:p>
              <w:p>
                <w:pPr>
                  <w:jc w:val="both"/>
                  <w:rPr>
                    <w:b/>
                    <w:bCs/>
                    <w:kern w:val="2"/>
                    <w:szCs w:val="24"/>
                  </w:rPr>
                </w:pPr>
                <w:r>
                  <w:rPr>
                    <w:b/>
                    <w:bCs/>
                    <w:kern w:val="2"/>
                    <w:szCs w:val="24"/>
                  </w:rPr>
                  <w:t>2 straipsnis. Įstatymo papildymas 108</w:t>
                </w:r>
                <w:r>
                  <w:rPr>
                    <w:b/>
                    <w:bCs/>
                    <w:kern w:val="2"/>
                    <w:szCs w:val="24"/>
                    <w:vertAlign w:val="superscript"/>
                  </w:rPr>
                  <w:t>6</w:t>
                </w:r>
                <w:r>
                  <w:rPr>
                    <w:b/>
                    <w:bCs/>
                    <w:kern w:val="2"/>
                    <w:szCs w:val="24"/>
                  </w:rPr>
                  <w:t> straipsniu </w:t>
                </w:r>
              </w:p>
              <w:p>
                <w:pPr>
                  <w:jc w:val="both"/>
                  <w:rPr>
                    <w:kern w:val="2"/>
                    <w:szCs w:val="24"/>
                  </w:rPr>
                </w:pPr>
                <w:r>
                  <w:rPr>
                    <w:kern w:val="2"/>
                    <w:szCs w:val="24"/>
                  </w:rPr>
                  <w:t>Papildyti Įstatymą 108</w:t>
                </w:r>
                <w:r>
                  <w:rPr>
                    <w:kern w:val="2"/>
                    <w:szCs w:val="24"/>
                    <w:vertAlign w:val="superscript"/>
                  </w:rPr>
                  <w:t>6</w:t>
                </w:r>
                <w:r>
                  <w:rPr>
                    <w:kern w:val="2"/>
                    <w:szCs w:val="24"/>
                  </w:rPr>
                  <w:t> straipsniu: </w:t>
                </w:r>
              </w:p>
              <w:p>
                <w:pPr>
                  <w:jc w:val="both"/>
                  <w:rPr>
                    <w:kern w:val="2"/>
                    <w:szCs w:val="24"/>
                  </w:rPr>
                </w:pPr>
                <w:r>
                  <w:rPr>
                    <w:kern w:val="2"/>
                    <w:szCs w:val="24"/>
                  </w:rPr>
                  <w:t>„108</w:t>
                </w:r>
                <w:r>
                  <w:rPr>
                    <w:kern w:val="2"/>
                    <w:szCs w:val="24"/>
                    <w:vertAlign w:val="superscript"/>
                  </w:rPr>
                  <w:t>6</w:t>
                </w:r>
                <w:r>
                  <w:rPr>
                    <w:kern w:val="2"/>
                    <w:szCs w:val="24"/>
                  </w:rPr>
                  <w:t> straipsnis. Juridinių asmenų atsakomybė už pakartotinio naudojimo tikslų nepasiekimą </w:t>
                </w:r>
              </w:p>
              <w:p>
                <w:pPr>
                  <w:jc w:val="both"/>
                  <w:rPr>
                    <w:kern w:val="2"/>
                    <w:szCs w:val="24"/>
                  </w:rPr>
                </w:pPr>
                <w:r>
                  <w:rPr>
                    <w:kern w:val="2"/>
                    <w:szCs w:val="24"/>
                  </w:rPr>
                  <w:t>Pareigų, susijusių su pakartotinio naudojimo tikslais, nevykdymas užtraukia baudą nuo tūkstančio keturių šimtų iki keturių tūkstančių eurų. </w:t>
                </w:r>
              </w:p>
              <w:p>
                <w:pPr>
                  <w:jc w:val="both"/>
                  <w:rPr>
                    <w:kern w:val="2"/>
                    <w:szCs w:val="24"/>
                  </w:rPr>
                </w:pPr>
                <w:r>
                  <w:rPr>
                    <w:kern w:val="2"/>
                    <w:szCs w:val="24"/>
                  </w:rPr>
                  <w:t>Šio straipsnio pirmojoje dalyje numatytas pažeidimas, padarytas pakartotinai, užtraukia baudą nuo dviejų tūkstančių aštuonių šimtų iki aštuonių tūkstančių eurų.“ </w:t>
                </w:r>
              </w:p>
              <w:p>
                <w:pPr>
                  <w:ind w:firstLine="771"/>
                  <w:jc w:val="both"/>
                  <w:rPr>
                    <w:kern w:val="2"/>
                    <w:szCs w:val="24"/>
                  </w:rPr>
                </w:pPr>
              </w:p>
              <w:p>
                <w:pPr>
                  <w:jc w:val="both"/>
                  <w:rPr>
                    <w:b/>
                    <w:bCs/>
                    <w:kern w:val="2"/>
                    <w:szCs w:val="24"/>
                  </w:rPr>
                </w:pPr>
                <w:r>
                  <w:rPr>
                    <w:b/>
                    <w:bCs/>
                    <w:kern w:val="2"/>
                    <w:szCs w:val="24"/>
                  </w:rPr>
                  <w:t>3 straipsnis. Įstatymo papildymas 108</w:t>
                </w:r>
                <w:r>
                  <w:rPr>
                    <w:b/>
                    <w:bCs/>
                    <w:kern w:val="2"/>
                    <w:szCs w:val="24"/>
                    <w:vertAlign w:val="superscript"/>
                  </w:rPr>
                  <w:t>7 </w:t>
                </w:r>
                <w:r>
                  <w:rPr>
                    <w:b/>
                    <w:bCs/>
                    <w:kern w:val="2"/>
                    <w:szCs w:val="24"/>
                  </w:rPr>
                  <w:t>straipsniu </w:t>
                </w:r>
              </w:p>
              <w:p>
                <w:pPr>
                  <w:jc w:val="both"/>
                  <w:rPr>
                    <w:kern w:val="2"/>
                    <w:szCs w:val="24"/>
                  </w:rPr>
                </w:pPr>
                <w:r>
                  <w:rPr>
                    <w:kern w:val="2"/>
                    <w:szCs w:val="24"/>
                  </w:rPr>
                  <w:t>Papildyti Įstatymą 108</w:t>
                </w:r>
                <w:r>
                  <w:rPr>
                    <w:kern w:val="2"/>
                    <w:szCs w:val="24"/>
                    <w:vertAlign w:val="superscript"/>
                  </w:rPr>
                  <w:t>7</w:t>
                </w:r>
                <w:r>
                  <w:rPr>
                    <w:kern w:val="2"/>
                    <w:szCs w:val="24"/>
                  </w:rPr>
                  <w:t> straipsniu: </w:t>
                </w:r>
              </w:p>
              <w:p>
                <w:pPr>
                  <w:jc w:val="both"/>
                  <w:rPr>
                    <w:kern w:val="2"/>
                    <w:szCs w:val="24"/>
                  </w:rPr>
                </w:pPr>
                <w:r>
                  <w:rPr>
                    <w:kern w:val="2"/>
                    <w:szCs w:val="24"/>
                  </w:rPr>
                  <w:t>„108</w:t>
                </w:r>
                <w:r>
                  <w:rPr>
                    <w:kern w:val="2"/>
                    <w:szCs w:val="24"/>
                    <w:vertAlign w:val="superscript"/>
                  </w:rPr>
                  <w:t>7</w:t>
                </w:r>
                <w:r>
                  <w:rPr>
                    <w:kern w:val="2"/>
                    <w:szCs w:val="24"/>
                  </w:rPr>
                  <w:t> straipsnis. Juridinių asmenų atsakomybė už pakartotinio užpildymo reikalavimų nesilaikymą </w:t>
                </w:r>
              </w:p>
              <w:p>
                <w:pPr>
                  <w:jc w:val="both"/>
                  <w:rPr>
                    <w:kern w:val="2"/>
                    <w:szCs w:val="24"/>
                  </w:rPr>
                </w:pPr>
                <w:r>
                  <w:rPr>
                    <w:kern w:val="2"/>
                    <w:szCs w:val="24"/>
                  </w:rPr>
                  <w:t>Pareigos informuoti galutinius naudotojus apie pakartotinio užpildymo taisykles nevykdymas užtraukia baudą nuo penkių šimtų iki dviejų tūkstančių eurų. </w:t>
                </w:r>
              </w:p>
              <w:p>
                <w:pPr>
                  <w:jc w:val="both"/>
                  <w:rPr>
                    <w:kern w:val="2"/>
                    <w:szCs w:val="24"/>
                  </w:rPr>
                </w:pPr>
                <w:r>
                  <w:rPr>
                    <w:kern w:val="2"/>
                    <w:szCs w:val="24"/>
                  </w:rPr>
                  <w:t>Pareigos užtikrinti, kad pakartotinio užpildymo punktai atitiktų nustatytus reikalavimus, nevykdymas užtraukia baudą nuo  penkių šimtų iki dviejų tūkstančių eurų. </w:t>
                </w:r>
              </w:p>
              <w:p>
                <w:pPr>
                  <w:jc w:val="both"/>
                  <w:rPr>
                    <w:kern w:val="2"/>
                    <w:szCs w:val="24"/>
                  </w:rPr>
                </w:pPr>
                <w:r>
                  <w:rPr>
                    <w:kern w:val="2"/>
                    <w:szCs w:val="24"/>
                  </w:rPr>
                  <w:t>Pareigos užtikrinti, kad pakartotinio užpildymo punktuose galutiniams naudotojams siūlomos pakuotės ar tara būtų suteikiamos tik laikantis nustatytų reikalavimų, nevykdymas užtraukia baudą nuo  penkių šimtų iki dviejų tūkstančių eurų. </w:t>
                </w:r>
              </w:p>
              <w:p>
                <w:pPr>
                  <w:jc w:val="both"/>
                  <w:rPr>
                    <w:kern w:val="2"/>
                    <w:szCs w:val="24"/>
                  </w:rPr>
                </w:pPr>
                <w:r>
                  <w:rPr>
                    <w:kern w:val="2"/>
                    <w:szCs w:val="24"/>
                  </w:rPr>
                  <w:t>Šio straipsnio pirmojoje – trečiojoje dalyse numatyti pažeidimai, padaryti pakartotinai, užtraukia baudą nuo dviejų tūkstančių iki keturių tūkstančių eurų.“ </w:t>
                </w:r>
              </w:p>
              <w:p>
                <w:pPr>
                  <w:ind w:firstLine="771"/>
                  <w:jc w:val="both"/>
                  <w:rPr>
                    <w:b/>
                    <w:bCs/>
                    <w:kern w:val="2"/>
                    <w:szCs w:val="24"/>
                  </w:rPr>
                </w:pPr>
              </w:p>
              <w:p>
                <w:pPr>
                  <w:jc w:val="both"/>
                  <w:rPr>
                    <w:b/>
                    <w:bCs/>
                    <w:kern w:val="2"/>
                    <w:szCs w:val="24"/>
                  </w:rPr>
                </w:pPr>
                <w:r>
                  <w:rPr>
                    <w:b/>
                    <w:bCs/>
                    <w:kern w:val="2"/>
                    <w:szCs w:val="24"/>
                  </w:rPr>
                  <w:t>4 straipsnis. Įstatymo papildymas 108</w:t>
                </w:r>
                <w:r>
                  <w:rPr>
                    <w:b/>
                    <w:bCs/>
                    <w:kern w:val="2"/>
                    <w:szCs w:val="24"/>
                    <w:vertAlign w:val="superscript"/>
                  </w:rPr>
                  <w:t>8</w:t>
                </w:r>
                <w:r>
                  <w:rPr>
                    <w:b/>
                    <w:bCs/>
                    <w:kern w:val="2"/>
                    <w:szCs w:val="24"/>
                  </w:rPr>
                  <w:t> straipsniu </w:t>
                </w:r>
              </w:p>
              <w:p>
                <w:pPr>
                  <w:jc w:val="both"/>
                  <w:rPr>
                    <w:kern w:val="2"/>
                    <w:szCs w:val="24"/>
                  </w:rPr>
                </w:pPr>
                <w:r>
                  <w:rPr>
                    <w:kern w:val="2"/>
                    <w:szCs w:val="24"/>
                  </w:rPr>
                  <w:t>Papildyti Įstatymą 108</w:t>
                </w:r>
                <w:r>
                  <w:rPr>
                    <w:kern w:val="2"/>
                    <w:szCs w:val="24"/>
                    <w:vertAlign w:val="superscript"/>
                  </w:rPr>
                  <w:t>8</w:t>
                </w:r>
                <w:r>
                  <w:rPr>
                    <w:kern w:val="2"/>
                    <w:szCs w:val="24"/>
                  </w:rPr>
                  <w:t> straipsniu: </w:t>
                </w:r>
              </w:p>
              <w:p>
                <w:pPr>
                  <w:jc w:val="both"/>
                  <w:rPr>
                    <w:kern w:val="2"/>
                    <w:szCs w:val="24"/>
                  </w:rPr>
                </w:pPr>
                <w:r>
                  <w:rPr>
                    <w:kern w:val="2"/>
                    <w:szCs w:val="24"/>
                  </w:rPr>
                  <w:t>„108</w:t>
                </w:r>
                <w:r>
                  <w:rPr>
                    <w:kern w:val="2"/>
                    <w:szCs w:val="24"/>
                    <w:vertAlign w:val="superscript"/>
                  </w:rPr>
                  <w:t>8</w:t>
                </w:r>
                <w:r>
                  <w:rPr>
                    <w:kern w:val="2"/>
                    <w:szCs w:val="24"/>
                  </w:rPr>
                  <w:t> straipsnis. Juridinių asmenų atsakomybė už pareigų susijusių su išsineštiniu maistu ir gėrimais, nesilaikymą </w:t>
                </w:r>
              </w:p>
              <w:p>
                <w:pPr>
                  <w:jc w:val="both"/>
                  <w:rPr>
                    <w:kern w:val="2"/>
                    <w:szCs w:val="24"/>
                  </w:rPr>
                </w:pPr>
                <w:r>
                  <w:rPr>
                    <w:kern w:val="2"/>
                    <w:szCs w:val="24"/>
                  </w:rPr>
                  <w:t>Pareigų, susijusių su pakartotiniu užpildymu, nevykdymas užtraukia baudą nuo penkių šimtų iki dviejų tūkstančių eurų. </w:t>
                </w:r>
              </w:p>
              <w:p>
                <w:pPr>
                  <w:jc w:val="both"/>
                  <w:rPr>
                    <w:kern w:val="2"/>
                    <w:szCs w:val="24"/>
                  </w:rPr>
                </w:pPr>
                <w:r>
                  <w:rPr>
                    <w:kern w:val="2"/>
                    <w:szCs w:val="24"/>
                  </w:rPr>
                  <w:t>Šio straipsnio pirmojoje dalyje numatytas pažeidimas, padarytas pakartotinai, užtraukia baudą nuo dviejų tūkstančių iki keturių tūkstančių eurų.“ </w:t>
                </w:r>
              </w:p>
              <w:p>
                <w:pPr>
                  <w:ind w:firstLine="771"/>
                  <w:jc w:val="both"/>
                  <w:rPr>
                    <w:b/>
                    <w:bCs/>
                    <w:kern w:val="2"/>
                    <w:szCs w:val="24"/>
                  </w:rPr>
                </w:pPr>
              </w:p>
              <w:p>
                <w:pPr>
                  <w:jc w:val="both"/>
                  <w:rPr>
                    <w:b/>
                    <w:bCs/>
                    <w:kern w:val="2"/>
                    <w:szCs w:val="24"/>
                  </w:rPr>
                </w:pPr>
                <w:r>
                  <w:rPr>
                    <w:b/>
                    <w:bCs/>
                    <w:kern w:val="2"/>
                    <w:szCs w:val="24"/>
                  </w:rPr>
                  <w:t>5 straipsnis.108</w:t>
                </w:r>
                <w:r>
                  <w:rPr>
                    <w:b/>
                    <w:bCs/>
                    <w:kern w:val="2"/>
                    <w:szCs w:val="24"/>
                    <w:vertAlign w:val="superscript"/>
                  </w:rPr>
                  <w:t>8</w:t>
                </w:r>
                <w:r>
                  <w:rPr>
                    <w:b/>
                    <w:bCs/>
                    <w:kern w:val="2"/>
                    <w:szCs w:val="24"/>
                  </w:rPr>
                  <w:t> straipsnio pakeitimas </w:t>
                </w:r>
              </w:p>
              <w:p>
                <w:pPr>
                  <w:jc w:val="both"/>
                  <w:rPr>
                    <w:kern w:val="2"/>
                    <w:szCs w:val="24"/>
                  </w:rPr>
                </w:pPr>
                <w:r>
                  <w:rPr>
                    <w:kern w:val="2"/>
                    <w:szCs w:val="24"/>
                  </w:rPr>
                  <w:t>Pakeisti 108</w:t>
                </w:r>
                <w:r>
                  <w:rPr>
                    <w:kern w:val="2"/>
                    <w:szCs w:val="24"/>
                    <w:vertAlign w:val="superscript"/>
                  </w:rPr>
                  <w:t>8</w:t>
                </w:r>
                <w:r>
                  <w:rPr>
                    <w:kern w:val="2"/>
                    <w:szCs w:val="24"/>
                  </w:rPr>
                  <w:t> straipsnį ir jį išdėstyti taip: </w:t>
                </w:r>
              </w:p>
              <w:p>
                <w:pPr>
                  <w:jc w:val="both"/>
                  <w:rPr>
                    <w:kern w:val="2"/>
                    <w:szCs w:val="24"/>
                  </w:rPr>
                </w:pPr>
                <w:r>
                  <w:rPr>
                    <w:kern w:val="2"/>
                    <w:szCs w:val="24"/>
                  </w:rPr>
                  <w:t>„108</w:t>
                </w:r>
                <w:r>
                  <w:rPr>
                    <w:kern w:val="2"/>
                    <w:szCs w:val="24"/>
                    <w:vertAlign w:val="superscript"/>
                  </w:rPr>
                  <w:t>8</w:t>
                </w:r>
                <w:r>
                  <w:rPr>
                    <w:kern w:val="2"/>
                    <w:szCs w:val="24"/>
                  </w:rPr>
                  <w:t> straipsnis. Juridinių asmenų atsakomybė už pareigų susijusių su išsineštiniu maistu ir gėrimais, nesilaikymą </w:t>
                </w:r>
              </w:p>
              <w:p>
                <w:pPr>
                  <w:jc w:val="both"/>
                  <w:rPr>
                    <w:kern w:val="2"/>
                    <w:szCs w:val="24"/>
                  </w:rPr>
                </w:pPr>
                <w:r>
                  <w:rPr>
                    <w:kern w:val="2"/>
                    <w:szCs w:val="24"/>
                  </w:rPr>
                  <w:t>Pareigų, susijusių su pakartotiniu užpildymu, nevykdymas užtraukia baudą nuo penkių šimtų iki dviejų tūkstančių eurų. </w:t>
                </w:r>
              </w:p>
              <w:p>
                <w:pPr>
                  <w:jc w:val="both"/>
                  <w:rPr>
                    <w:kern w:val="2"/>
                    <w:szCs w:val="24"/>
                  </w:rPr>
                </w:pPr>
                <w:r>
                  <w:rPr>
                    <w:kern w:val="2"/>
                    <w:szCs w:val="24"/>
                  </w:rPr>
                  <w:t>Pareigų, susijusių su pakartotinio naudojimo siūlymu, nevykdymas užtraukia baudą nuo  penkių šimtų iki dviejų tūkstančių eurų. </w:t>
                </w:r>
              </w:p>
              <w:p>
                <w:pPr>
                  <w:jc w:val="both"/>
                  <w:rPr>
                    <w:kern w:val="2"/>
                    <w:szCs w:val="24"/>
                  </w:rPr>
                </w:pPr>
                <w:r>
                  <w:rPr>
                    <w:kern w:val="2"/>
                    <w:szCs w:val="24"/>
                  </w:rPr>
                  <w:t>Šio straipsnio pirmojoje </w:t>
                </w:r>
                <w:r>
                  <w:rPr>
                    <w:strike/>
                    <w:kern w:val="2"/>
                    <w:szCs w:val="24"/>
                  </w:rPr>
                  <w:t>dalyje numatytas pažeidimas, padarytas </w:t>
                </w:r>
                <w:r>
                  <w:rPr>
                    <w:kern w:val="2"/>
                    <w:szCs w:val="24"/>
                  </w:rPr>
                  <w:t>ir antrojoje dalyse numatyti pažeidimai, padaryti pakartotinai, užtraukia baudą nuo dviejų tūkstančių iki keturių tūkstančių eurų.“ </w:t>
                </w:r>
              </w:p>
              <w:p>
                <w:pPr>
                  <w:ind w:firstLine="709"/>
                  <w:jc w:val="both"/>
                  <w:rPr>
                    <w:kern w:val="2"/>
                    <w:szCs w:val="24"/>
                  </w:rPr>
                </w:pPr>
              </w:p>
              <w:p>
                <w:pPr>
                  <w:jc w:val="both"/>
                  <w:rPr>
                    <w:kern w:val="2"/>
                    <w:szCs w:val="24"/>
                  </w:rPr>
                </w:pPr>
                <w:r>
                  <w:rPr>
                    <w:b/>
                    <w:bCs/>
                    <w:kern w:val="2"/>
                    <w:szCs w:val="24"/>
                  </w:rPr>
                  <w:t>6 straipsnis. Įstatymo papildymas 108</w:t>
                </w:r>
                <w:r>
                  <w:rPr>
                    <w:b/>
                    <w:bCs/>
                    <w:kern w:val="2"/>
                    <w:szCs w:val="24"/>
                    <w:vertAlign w:val="superscript"/>
                  </w:rPr>
                  <w:t>9</w:t>
                </w:r>
                <w:r>
                  <w:rPr>
                    <w:b/>
                    <w:bCs/>
                    <w:kern w:val="2"/>
                    <w:szCs w:val="24"/>
                  </w:rPr>
                  <w:t> straipsniu</w:t>
                </w:r>
                <w:r>
                  <w:rPr>
                    <w:kern w:val="2"/>
                    <w:szCs w:val="24"/>
                  </w:rPr>
                  <w:t> </w:t>
                </w:r>
              </w:p>
              <w:p>
                <w:pPr>
                  <w:jc w:val="both"/>
                  <w:rPr>
                    <w:kern w:val="2"/>
                    <w:szCs w:val="24"/>
                  </w:rPr>
                </w:pPr>
                <w:r>
                  <w:rPr>
                    <w:kern w:val="2"/>
                    <w:szCs w:val="24"/>
                  </w:rPr>
                  <w:t>Papildyti Įstatymą 108</w:t>
                </w:r>
                <w:r>
                  <w:rPr>
                    <w:kern w:val="2"/>
                    <w:szCs w:val="24"/>
                    <w:vertAlign w:val="superscript"/>
                  </w:rPr>
                  <w:t>9</w:t>
                </w:r>
                <w:r>
                  <w:rPr>
                    <w:kern w:val="2"/>
                    <w:szCs w:val="24"/>
                  </w:rPr>
                  <w:t> straipsniu: </w:t>
                </w:r>
              </w:p>
              <w:p>
                <w:pPr>
                  <w:jc w:val="both"/>
                  <w:rPr>
                    <w:kern w:val="2"/>
                    <w:szCs w:val="24"/>
                  </w:rPr>
                </w:pPr>
                <w:r>
                  <w:rPr>
                    <w:kern w:val="2"/>
                    <w:szCs w:val="24"/>
                  </w:rPr>
                  <w:t>„108</w:t>
                </w:r>
                <w:r>
                  <w:rPr>
                    <w:kern w:val="2"/>
                    <w:szCs w:val="24"/>
                    <w:vertAlign w:val="superscript"/>
                  </w:rPr>
                  <w:t>9</w:t>
                </w:r>
                <w:r>
                  <w:rPr>
                    <w:kern w:val="2"/>
                    <w:szCs w:val="24"/>
                  </w:rPr>
                  <w:t> straipsnis. Juridinių asmenų atsakomybė už pakuočių tinkamumo perdirbti ir minimalios perdirbtų medžiagų dalies reikalavimų nesilaikymą </w:t>
                </w:r>
              </w:p>
              <w:p>
                <w:pPr>
                  <w:jc w:val="both"/>
                  <w:rPr>
                    <w:kern w:val="2"/>
                    <w:szCs w:val="24"/>
                  </w:rPr>
                </w:pPr>
                <w:r>
                  <w:rPr>
                    <w:kern w:val="2"/>
                    <w:szCs w:val="24"/>
                  </w:rPr>
                  <w:t>Pakuočių, kurios neatitinka tinkamumo perdirbti reikalavimų, tiekimas Lietuvos Respublikos vidaus rinkai užtraukia baudą nuo dviejų tūkstančių iki penkių tūkstančių eurų. </w:t>
                </w:r>
              </w:p>
              <w:p>
                <w:pPr>
                  <w:jc w:val="both"/>
                  <w:rPr>
                    <w:kern w:val="2"/>
                    <w:szCs w:val="24"/>
                  </w:rPr>
                </w:pPr>
                <w:r>
                  <w:rPr>
                    <w:kern w:val="2"/>
                    <w:szCs w:val="24"/>
                  </w:rPr>
                  <w:t>Plastikinių pakuočių, kurios neatitinka minimalios perdirbtų medžiagų dalies reikalavimų, tiekimas Lietuvos Respublikos vidaus rinkai užtraukia baudą nuo dviejų tūkstančių iki penkių tūkstančių eurų. </w:t>
                </w:r>
              </w:p>
              <w:p>
                <w:pPr>
                  <w:jc w:val="both"/>
                  <w:rPr>
                    <w:kern w:val="2"/>
                    <w:szCs w:val="24"/>
                  </w:rPr>
                </w:pPr>
                <w:r>
                  <w:rPr>
                    <w:kern w:val="2"/>
                    <w:szCs w:val="24"/>
                  </w:rPr>
                  <w:t>Šio straipsnio pirmojoje ir antrojoje dalyse numatyti pažeidimai, padaryti pakartotinai, užtraukia baudą nuo penkių tūkstančių iki dešimt tūkstančių eurų.“ </w:t>
                </w:r>
              </w:p>
              <w:p>
                <w:pPr>
                  <w:ind w:firstLine="771"/>
                  <w:jc w:val="both"/>
                  <w:rPr>
                    <w:kern w:val="2"/>
                    <w:szCs w:val="24"/>
                  </w:rPr>
                </w:pPr>
              </w:p>
              <w:p>
                <w:pPr>
                  <w:jc w:val="both"/>
                  <w:rPr>
                    <w:kern w:val="2"/>
                    <w:szCs w:val="24"/>
                  </w:rPr>
                </w:pPr>
                <w:r>
                  <w:rPr>
                    <w:kern w:val="2"/>
                    <w:szCs w:val="24"/>
                  </w:rPr>
                  <w:t>7 straipsnis. Įstatymo papildymas 108</w:t>
                </w:r>
                <w:r>
                  <w:rPr>
                    <w:kern w:val="2"/>
                    <w:szCs w:val="24"/>
                    <w:vertAlign w:val="superscript"/>
                  </w:rPr>
                  <w:t>10</w:t>
                </w:r>
                <w:r>
                  <w:rPr>
                    <w:kern w:val="2"/>
                    <w:szCs w:val="24"/>
                  </w:rPr>
                  <w:t> straipsniu </w:t>
                </w:r>
              </w:p>
              <w:p>
                <w:pPr>
                  <w:jc w:val="both"/>
                  <w:rPr>
                    <w:kern w:val="2"/>
                    <w:szCs w:val="24"/>
                  </w:rPr>
                </w:pPr>
                <w:r>
                  <w:rPr>
                    <w:kern w:val="2"/>
                    <w:szCs w:val="24"/>
                  </w:rPr>
                  <w:t>Papildyti Įstatymą 108</w:t>
                </w:r>
                <w:r>
                  <w:rPr>
                    <w:kern w:val="2"/>
                    <w:szCs w:val="24"/>
                    <w:vertAlign w:val="superscript"/>
                  </w:rPr>
                  <w:t>10</w:t>
                </w:r>
                <w:r>
                  <w:rPr>
                    <w:kern w:val="2"/>
                    <w:szCs w:val="24"/>
                  </w:rPr>
                  <w:t> straipsniu: </w:t>
                </w:r>
              </w:p>
              <w:p>
                <w:pPr>
                  <w:jc w:val="both"/>
                  <w:rPr>
                    <w:kern w:val="2"/>
                    <w:szCs w:val="24"/>
                  </w:rPr>
                </w:pPr>
                <w:r>
                  <w:rPr>
                    <w:kern w:val="2"/>
                    <w:szCs w:val="24"/>
                  </w:rPr>
                  <w:t>„108</w:t>
                </w:r>
                <w:r>
                  <w:rPr>
                    <w:kern w:val="2"/>
                    <w:szCs w:val="24"/>
                    <w:vertAlign w:val="superscript"/>
                  </w:rPr>
                  <w:t>10</w:t>
                </w:r>
                <w:r>
                  <w:rPr>
                    <w:kern w:val="2"/>
                    <w:szCs w:val="24"/>
                  </w:rPr>
                  <w:t> straipsnis. Juridinių asmenų atsakomybė už perteklinių pakuočių reikalavimų nesilaikymą </w:t>
                </w:r>
              </w:p>
              <w:p>
                <w:pPr>
                  <w:ind w:firstLine="62"/>
                  <w:jc w:val="both"/>
                  <w:rPr>
                    <w:kern w:val="2"/>
                    <w:szCs w:val="24"/>
                  </w:rPr>
                </w:pPr>
                <w:r>
                  <w:rPr>
                    <w:kern w:val="2"/>
                    <w:szCs w:val="24"/>
                  </w:rPr>
                  <w:t>Grupinių, transportavimo arba elektroninės prekybos siuntų pakuočių, kuriose tuščios ertmės dalis viršija 50 procentų, tiekimas Lietuvos Respublikos vidaus rinkai, išskyrus Pakuočių ir pakuočių atliekų tvarkymo įstatyme numatytas išimtis, užtraukia baudą nuo tūkstančio keturių šimtų iki keturių tūkstančių eurų. </w:t>
                </w:r>
              </w:p>
              <w:p>
                <w:pPr>
                  <w:jc w:val="both"/>
                  <w:rPr>
                    <w:kern w:val="2"/>
                    <w:szCs w:val="24"/>
                  </w:rPr>
                </w:pPr>
                <w:r>
                  <w:rPr>
                    <w:kern w:val="2"/>
                    <w:szCs w:val="24"/>
                  </w:rPr>
                  <w:t>Šio straipsnio pirmojoje dalyje numatytas pažeidimas, padarytas pakartotinai, užtraukia baudą nuo dviejų tūkstančių aštuonių šimtų iki aštuonių tūkstančių eurų.“ </w:t>
                </w:r>
              </w:p>
              <w:p>
                <w:pPr>
                  <w:ind w:firstLine="771"/>
                  <w:jc w:val="both"/>
                  <w:rPr>
                    <w:kern w:val="2"/>
                    <w:szCs w:val="24"/>
                  </w:rPr>
                </w:pPr>
              </w:p>
              <w:p>
                <w:pPr>
                  <w:jc w:val="both"/>
                  <w:rPr>
                    <w:kern w:val="2"/>
                    <w:szCs w:val="24"/>
                  </w:rPr>
                </w:pPr>
                <w:r>
                  <w:rPr>
                    <w:kern w:val="2"/>
                    <w:szCs w:val="24"/>
                  </w:rPr>
                  <w:t>8 straipsnis. Įstatymo papildymas 108</w:t>
                </w:r>
                <w:r>
                  <w:rPr>
                    <w:kern w:val="2"/>
                    <w:szCs w:val="24"/>
                    <w:vertAlign w:val="superscript"/>
                  </w:rPr>
                  <w:t>11</w:t>
                </w:r>
                <w:r>
                  <w:rPr>
                    <w:kern w:val="2"/>
                    <w:szCs w:val="24"/>
                  </w:rPr>
                  <w:t> straipsniu </w:t>
                </w:r>
              </w:p>
              <w:p>
                <w:pPr>
                  <w:jc w:val="both"/>
                  <w:rPr>
                    <w:kern w:val="2"/>
                    <w:szCs w:val="24"/>
                  </w:rPr>
                </w:pPr>
                <w:r>
                  <w:rPr>
                    <w:kern w:val="2"/>
                    <w:szCs w:val="24"/>
                  </w:rPr>
                  <w:t>Papildyti Įstatymą 108</w:t>
                </w:r>
                <w:r>
                  <w:rPr>
                    <w:kern w:val="2"/>
                    <w:szCs w:val="24"/>
                    <w:vertAlign w:val="superscript"/>
                  </w:rPr>
                  <w:t>11</w:t>
                </w:r>
                <w:r>
                  <w:rPr>
                    <w:kern w:val="2"/>
                    <w:szCs w:val="24"/>
                  </w:rPr>
                  <w:t> straipsniu: </w:t>
                </w:r>
              </w:p>
              <w:p>
                <w:pPr>
                  <w:jc w:val="both"/>
                  <w:rPr>
                    <w:kern w:val="2"/>
                    <w:szCs w:val="24"/>
                  </w:rPr>
                </w:pPr>
                <w:r>
                  <w:rPr>
                    <w:kern w:val="2"/>
                    <w:szCs w:val="24"/>
                  </w:rPr>
                  <w:t>„108</w:t>
                </w:r>
                <w:r>
                  <w:rPr>
                    <w:kern w:val="2"/>
                    <w:szCs w:val="24"/>
                    <w:vertAlign w:val="superscript"/>
                  </w:rPr>
                  <w:t>11</w:t>
                </w:r>
                <w:r>
                  <w:rPr>
                    <w:kern w:val="2"/>
                    <w:szCs w:val="24"/>
                  </w:rPr>
                  <w:t> straipsnis. Juridinių asmenų atsakomybė už draudžiamų formų pakuočių tiekimą rinkai </w:t>
                </w:r>
              </w:p>
              <w:p>
                <w:pPr>
                  <w:jc w:val="both"/>
                  <w:rPr>
                    <w:kern w:val="2"/>
                    <w:szCs w:val="24"/>
                  </w:rPr>
                </w:pPr>
                <w:r>
                  <w:rPr>
                    <w:kern w:val="2"/>
                    <w:szCs w:val="24"/>
                  </w:rPr>
                  <w:t>Pakuočių, kurių formos ir paskirtis draudžiamos, tiekimą Lietuvos Respublikos vidaus rinkai užtraukia baudą nuo dviejų tūkstančių iki penkių tūkstančių eurų. </w:t>
                </w:r>
              </w:p>
              <w:p>
                <w:pPr>
                  <w:jc w:val="both"/>
                  <w:rPr>
                    <w:kern w:val="2"/>
                    <w:szCs w:val="24"/>
                  </w:rPr>
                </w:pPr>
                <w:r>
                  <w:rPr>
                    <w:kern w:val="2"/>
                    <w:szCs w:val="24"/>
                  </w:rPr>
                  <w:t>Šio straipsnio pirmojoje dalyje numatytas pažeidimas, padarytas pakartotinai, užtraukia baudą nuo penkių tūkstančių iki dešimt tūkstančių eurų.“ </w:t>
                </w:r>
              </w:p>
              <w:p>
                <w:pPr>
                  <w:ind w:firstLine="709"/>
                  <w:jc w:val="both"/>
                  <w:rPr>
                    <w:kern w:val="2"/>
                    <w:szCs w:val="24"/>
                  </w:rPr>
                </w:pPr>
              </w:p>
              <w:p>
                <w:pPr>
                  <w:jc w:val="both"/>
                  <w:rPr>
                    <w:kern w:val="2"/>
                    <w:szCs w:val="24"/>
                  </w:rPr>
                </w:pPr>
                <w:r>
                  <w:rPr>
                    <w:b/>
                    <w:bCs/>
                    <w:kern w:val="2"/>
                    <w:szCs w:val="24"/>
                  </w:rPr>
                  <w:t>9 straipsnis. Įstatymo priedo pakeitimas</w:t>
                </w:r>
                <w:r>
                  <w:rPr>
                    <w:kern w:val="2"/>
                    <w:szCs w:val="24"/>
                  </w:rPr>
                  <w:t>  </w:t>
                </w:r>
              </w:p>
              <w:p>
                <w:pPr>
                  <w:jc w:val="both"/>
                  <w:rPr>
                    <w:kern w:val="2"/>
                    <w:szCs w:val="24"/>
                  </w:rPr>
                </w:pPr>
                <w:r>
                  <w:rPr>
                    <w:kern w:val="2"/>
                    <w:szCs w:val="24"/>
                  </w:rPr>
                  <w:t>1. Papildyti Įstatymo priedą 20 punktu: </w:t>
                </w:r>
              </w:p>
              <w:p>
                <w:pPr>
                  <w:jc w:val="both"/>
                  <w:rPr>
                    <w:kern w:val="2"/>
                    <w:szCs w:val="24"/>
                  </w:rPr>
                </w:pPr>
                <w:r>
                  <w:rPr>
                    <w:b/>
                    <w:bCs/>
                    <w:kern w:val="2"/>
                    <w:szCs w:val="24"/>
                  </w:rPr>
                  <w:t>„</w:t>
                </w:r>
                <w:r>
                  <w:rPr>
                    <w:kern w:val="2"/>
                    <w:szCs w:val="24"/>
                  </w:rPr>
                  <w:t xml:space="preserve">20. 2024 m. gruodžio 19 d. Europos Parlamento ir Tarybos Reglamentas </w:t>
                </w:r>
                <w:fldSimple w:instr="HYPERLINK http://eur-lex.europa.eu/legal-content/LIT/TXT/?uri=CELEX:32025R0040&amp;locale=lt \t _blank">
                  <w:r>
                    <w:rPr>
                      <w:kern w:val="2"/>
                      <w:szCs w:val="24"/>
                      <w:u w:val="single"/>
                      <w:color w:val="0000FF" w:themeColor="hyperlink"/>
                    </w:rPr>
                    <w:t>(ES) 2025/40</w:t>
                  </w:r>
                </w:fldSimple>
                <w:r>
                  <w:rPr>
                    <w:kern w:val="2"/>
                    <w:szCs w:val="24"/>
                  </w:rPr>
                  <w:t xml:space="preserve"> dėl pakuočių ir pakuočių atliekų, kuriuo iš dalies keičiamas Reglamentas </w:t>
                </w:r>
                <w:fldSimple w:instr="HYPERLINK http://eur-lex.europa.eu/legal-content/LIT/TXT/?uri=CELEX:32019R1020&amp;locale=lt \t _blank">
                  <w:r>
                    <w:rPr>
                      <w:kern w:val="2"/>
                      <w:szCs w:val="24"/>
                      <w:u w:val="single"/>
                      <w:color w:val="0000FF" w:themeColor="hyperlink"/>
                    </w:rPr>
                    <w:t>(ES) 2019/1020</w:t>
                  </w:r>
                </w:fldSimple>
                <w:r>
                  <w:rPr>
                    <w:kern w:val="2"/>
                    <w:szCs w:val="24"/>
                  </w:rPr>
                  <w:t xml:space="preserve"> ir Direktyva </w:t>
                </w:r>
                <w:fldSimple w:instr="HYPERLINK http://eur-lex.europa.eu/legal-content/LIT/TXT/?uri=CELEX:32019L0904&amp;locale=lt \t _blank">
                  <w:r>
                    <w:rPr>
                      <w:kern w:val="2"/>
                      <w:szCs w:val="24"/>
                      <w:u w:val="single"/>
                      <w:color w:val="0000FF" w:themeColor="hyperlink"/>
                    </w:rPr>
                    <w:t>(ES) 2019/904</w:t>
                  </w:r>
                </w:fldSimple>
                <w:r>
                  <w:rPr>
                    <w:kern w:val="2"/>
                    <w:szCs w:val="24"/>
                  </w:rPr>
                  <w:t xml:space="preserve"> ir panaikinama Direktyva </w:t>
                </w:r>
                <w:fldSimple w:instr="HYPERLINK http://eur-lex.europa.eu/legal-content/LIT/TXT/?uri=CELEX:31994L0062&amp;locale=lt \t _blank">
                  <w:r>
                    <w:rPr>
                      <w:kern w:val="2"/>
                      <w:szCs w:val="24"/>
                      <w:u w:val="single"/>
                      <w:color w:val="0000FF" w:themeColor="hyperlink"/>
                    </w:rPr>
                    <w:t>94/62/EB</w:t>
                  </w:r>
                </w:fldSimple>
                <w:r>
                  <w:rPr>
                    <w:kern w:val="2"/>
                    <w:szCs w:val="24"/>
                  </w:rPr>
                  <w:t>“ </w:t>
                </w:r>
              </w:p>
              <w:p>
                <w:pPr>
                  <w:jc w:val="both"/>
                  <w:rPr>
                    <w:color w:val="000000"/>
                    <w:kern w:val="2"/>
                    <w:szCs w:val="24"/>
                  </w:rPr>
                </w:pPr>
              </w:p>
            </w:tc>
            <w:tc>
              <w:tcPr>
                <w:tcW w:w="3543" w:type="dxa"/>
              </w:tcPr>
              <w:p>
                <w:pPr>
                  <w:jc w:val="center"/>
                  <w:rPr>
                    <w:b/>
                    <w:bCs/>
                    <w:kern w:val="2"/>
                    <w:szCs w:val="24"/>
                  </w:rPr>
                </w:pPr>
                <w:r>
                  <w:rPr>
                    <w:b/>
                    <w:bCs/>
                    <w:kern w:val="2"/>
                    <w:szCs w:val="24"/>
                  </w:rPr>
                  <w:t>Visiškas</w:t>
                </w:r>
              </w:p>
            </w:tc>
          </w:tr>
        </w:tbl>
        <w:p/>
        <w:p>
          <w:pPr>
            <w:spacing w:after="160" w:line="276" w:lineRule="auto"/>
            <w:jc w:val="center"/>
            <w:rPr>
              <w:rFonts w:eastAsia="Calibri"/>
              <w:kern w:val="2"/>
              <w:szCs w:val="24"/>
            </w:rPr>
          </w:pPr>
        </w:p>
        <w:p>
          <w:pPr>
            <w:rPr>
              <w:sz w:val="18"/>
              <w:szCs w:val="18"/>
            </w:rPr>
          </w:pPr>
        </w:p>
      </w:sdtContent>
    </w:sdt>
    <w:sdt>
      <w:sdtPr>
        <w:alias w:val="pastraipa"/>
        <w:tag w:val="part_17fe9dd7cf4b4c0188c2345b03dac9ca"/>
        <w:lock w:val="sdtLocked"/>
        <w:richText/>
      </w:sdtPr>
      <w:sdtContent>
        <w:p>
          <w:pPr>
            <w:spacing w:line="276" w:lineRule="auto"/>
            <w:jc w:val="center"/>
            <w:rPr>
              <w:rFonts w:eastAsia="Calibri"/>
              <w:szCs w:val="24"/>
              <w:lang w:val="en-US"/>
            </w:rPr>
          </w:pPr>
          <w:r>
            <w:rPr>
              <w:rFonts w:eastAsia="Calibri"/>
              <w:szCs w:val="24"/>
            </w:rPr>
            <w:t>_______________________________________</w:t>
          </w:r>
        </w:p>
        <w:p>
          <w:pPr>
            <w:rPr>
              <w:sz w:val="18"/>
              <w:szCs w:val="18"/>
            </w:rPr>
          </w:pPr>
        </w:p>
        <w:p>
          <w:pPr>
            <w:spacing w:line="278" w:lineRule="auto"/>
            <w:jc w:val="center"/>
            <w:rPr>
              <w:kern w:val="2"/>
              <w:szCs w:val="24"/>
            </w:rPr>
          </w:pPr>
        </w:p>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70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Cs w:val="24"/>
        </w:rPr>
      </w:pPr>
      <w:r>
        <w:rPr>
          <w:kern w:val="2"/>
          <w:szCs w:val="24"/>
        </w:rPr>
        <w:separator/>
      </w:r>
    </w:p>
  </w:endnote>
  <w:endnote w:type="continuationSeparator" w:id="0">
    <w:p>
      <w:pPr>
        <w:rPr>
          <w:kern w:val="2"/>
          <w:szCs w:val="24"/>
        </w:rPr>
      </w:pPr>
      <w:r>
        <w:rPr>
          <w:kern w:val="2"/>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2020603050405020304"/>
    <w:charset w:val="00"/>
    <w:family w:val="roman"/>
    <w:pitch w:val="variable"/>
    <w:sig w:usb0="00000287" w:usb1="00000000" w:usb2="00000000" w:usb3="00000000" w:csb0="0000009F" w:csb1="00000000"/>
  </w:font>
  <w:font w:name="Calibri">
    <w:panose1 w:val="020F0502020204030204"/>
    <w:charset w:val="BA"/>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Cs w:val="24"/>
        </w:rPr>
      </w:pPr>
      <w:r>
        <w:rPr>
          <w:kern w:val="2"/>
          <w:szCs w:val="24"/>
        </w:rPr>
        <w:separator/>
      </w:r>
    </w:p>
  </w:footnote>
  <w:footnote w:type="continuationSeparator" w:id="0">
    <w:p>
      <w:pPr>
        <w:rPr>
          <w:kern w:val="2"/>
          <w:szCs w:val="24"/>
        </w:rPr>
      </w:pPr>
      <w:r>
        <w:rPr>
          <w:kern w:val="2"/>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pPr>
      <w:tabs>
        <w:tab w:val="center" w:pos="4819"/>
        <w:tab w:val="right" w:pos="9638"/>
      </w:tabs>
      <w:rPr>
        <w:kern w:val="2"/>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10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2CF8F87C-6159-4F54-B2FC-58DA180F6A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007971">
      <w:bodyDiv w:val="1"/>
      <w:marLeft w:val="0"/>
      <w:marRight w:val="0"/>
      <w:marTop w:val="0"/>
      <w:marBottom w:val="0"/>
      <w:divBdr>
        <w:top w:val="none" w:sz="0" w:space="0" w:color="auto"/>
        <w:left w:val="none" w:sz="0" w:space="0" w:color="auto"/>
        <w:bottom w:val="none" w:sz="0" w:space="0" w:color="auto"/>
        <w:right w:val="none" w:sz="0" w:space="0" w:color="auto"/>
      </w:divBdr>
    </w:div>
    <w:div w:id="487131356">
      <w:bodyDiv w:val="1"/>
      <w:marLeft w:val="0"/>
      <w:marRight w:val="0"/>
      <w:marTop w:val="0"/>
      <w:marBottom w:val="0"/>
      <w:divBdr>
        <w:top w:val="none" w:sz="0" w:space="0" w:color="auto"/>
        <w:left w:val="none" w:sz="0" w:space="0" w:color="auto"/>
        <w:bottom w:val="none" w:sz="0" w:space="0" w:color="auto"/>
        <w:right w:val="none" w:sz="0" w:space="0" w:color="auto"/>
      </w:divBdr>
      <w:divsChild>
        <w:div w:id="137652091">
          <w:marLeft w:val="0"/>
          <w:marRight w:val="0"/>
          <w:marTop w:val="0"/>
          <w:marBottom w:val="0"/>
          <w:divBdr>
            <w:top w:val="none" w:sz="0" w:space="0" w:color="auto"/>
            <w:left w:val="none" w:sz="0" w:space="0" w:color="auto"/>
            <w:bottom w:val="none" w:sz="0" w:space="0" w:color="auto"/>
            <w:right w:val="none" w:sz="0" w:space="0" w:color="auto"/>
          </w:divBdr>
        </w:div>
        <w:div w:id="1771706649">
          <w:marLeft w:val="0"/>
          <w:marRight w:val="0"/>
          <w:marTop w:val="0"/>
          <w:marBottom w:val="0"/>
          <w:divBdr>
            <w:top w:val="none" w:sz="0" w:space="0" w:color="auto"/>
            <w:left w:val="none" w:sz="0" w:space="0" w:color="auto"/>
            <w:bottom w:val="none" w:sz="0" w:space="0" w:color="auto"/>
            <w:right w:val="none" w:sz="0" w:space="0" w:color="auto"/>
          </w:divBdr>
        </w:div>
      </w:divsChild>
    </w:div>
    <w:div w:id="690453922">
      <w:bodyDiv w:val="1"/>
      <w:marLeft w:val="0"/>
      <w:marRight w:val="0"/>
      <w:marTop w:val="0"/>
      <w:marBottom w:val="0"/>
      <w:divBdr>
        <w:top w:val="none" w:sz="0" w:space="0" w:color="auto"/>
        <w:left w:val="none" w:sz="0" w:space="0" w:color="auto"/>
        <w:bottom w:val="none" w:sz="0" w:space="0" w:color="auto"/>
        <w:right w:val="none" w:sz="0" w:space="0" w:color="auto"/>
      </w:divBdr>
    </w:div>
    <w:div w:id="741559342">
      <w:bodyDiv w:val="1"/>
      <w:marLeft w:val="0"/>
      <w:marRight w:val="0"/>
      <w:marTop w:val="0"/>
      <w:marBottom w:val="0"/>
      <w:divBdr>
        <w:top w:val="none" w:sz="0" w:space="0" w:color="auto"/>
        <w:left w:val="none" w:sz="0" w:space="0" w:color="auto"/>
        <w:bottom w:val="none" w:sz="0" w:space="0" w:color="auto"/>
        <w:right w:val="none" w:sz="0" w:space="0" w:color="auto"/>
      </w:divBdr>
      <w:divsChild>
        <w:div w:id="820923348">
          <w:marLeft w:val="0"/>
          <w:marRight w:val="0"/>
          <w:marTop w:val="0"/>
          <w:marBottom w:val="0"/>
          <w:divBdr>
            <w:top w:val="none" w:sz="0" w:space="0" w:color="auto"/>
            <w:left w:val="none" w:sz="0" w:space="0" w:color="auto"/>
            <w:bottom w:val="none" w:sz="0" w:space="0" w:color="auto"/>
            <w:right w:val="none" w:sz="0" w:space="0" w:color="auto"/>
          </w:divBdr>
          <w:divsChild>
            <w:div w:id="1015957393">
              <w:marLeft w:val="0"/>
              <w:marRight w:val="0"/>
              <w:marTop w:val="0"/>
              <w:marBottom w:val="0"/>
              <w:divBdr>
                <w:top w:val="none" w:sz="0" w:space="0" w:color="auto"/>
                <w:left w:val="none" w:sz="0" w:space="0" w:color="auto"/>
                <w:bottom w:val="none" w:sz="0" w:space="0" w:color="auto"/>
                <w:right w:val="none" w:sz="0" w:space="0" w:color="auto"/>
              </w:divBdr>
            </w:div>
          </w:divsChild>
        </w:div>
        <w:div w:id="1566451135">
          <w:marLeft w:val="0"/>
          <w:marRight w:val="0"/>
          <w:marTop w:val="0"/>
          <w:marBottom w:val="0"/>
          <w:divBdr>
            <w:top w:val="none" w:sz="0" w:space="0" w:color="auto"/>
            <w:left w:val="none" w:sz="0" w:space="0" w:color="auto"/>
            <w:bottom w:val="none" w:sz="0" w:space="0" w:color="auto"/>
            <w:right w:val="none" w:sz="0" w:space="0" w:color="auto"/>
          </w:divBdr>
          <w:divsChild>
            <w:div w:id="395863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767775">
      <w:bodyDiv w:val="1"/>
      <w:marLeft w:val="0"/>
      <w:marRight w:val="0"/>
      <w:marTop w:val="0"/>
      <w:marBottom w:val="0"/>
      <w:divBdr>
        <w:top w:val="none" w:sz="0" w:space="0" w:color="auto"/>
        <w:left w:val="none" w:sz="0" w:space="0" w:color="auto"/>
        <w:bottom w:val="none" w:sz="0" w:space="0" w:color="auto"/>
        <w:right w:val="none" w:sz="0" w:space="0" w:color="auto"/>
      </w:divBdr>
    </w:div>
    <w:div w:id="1138693000">
      <w:bodyDiv w:val="1"/>
      <w:marLeft w:val="0"/>
      <w:marRight w:val="0"/>
      <w:marTop w:val="0"/>
      <w:marBottom w:val="0"/>
      <w:divBdr>
        <w:top w:val="none" w:sz="0" w:space="0" w:color="auto"/>
        <w:left w:val="none" w:sz="0" w:space="0" w:color="auto"/>
        <w:bottom w:val="none" w:sz="0" w:space="0" w:color="auto"/>
        <w:right w:val="none" w:sz="0" w:space="0" w:color="auto"/>
      </w:divBdr>
    </w:div>
    <w:div w:id="1234043087">
      <w:bodyDiv w:val="1"/>
      <w:marLeft w:val="0"/>
      <w:marRight w:val="0"/>
      <w:marTop w:val="0"/>
      <w:marBottom w:val="0"/>
      <w:divBdr>
        <w:top w:val="none" w:sz="0" w:space="0" w:color="auto"/>
        <w:left w:val="none" w:sz="0" w:space="0" w:color="auto"/>
        <w:bottom w:val="none" w:sz="0" w:space="0" w:color="auto"/>
        <w:right w:val="none" w:sz="0" w:space="0" w:color="auto"/>
      </w:divBdr>
    </w:div>
    <w:div w:id="1235551803">
      <w:bodyDiv w:val="1"/>
      <w:marLeft w:val="0"/>
      <w:marRight w:val="0"/>
      <w:marTop w:val="0"/>
      <w:marBottom w:val="0"/>
      <w:divBdr>
        <w:top w:val="none" w:sz="0" w:space="0" w:color="auto"/>
        <w:left w:val="none" w:sz="0" w:space="0" w:color="auto"/>
        <w:bottom w:val="none" w:sz="0" w:space="0" w:color="auto"/>
        <w:right w:val="none" w:sz="0" w:space="0" w:color="auto"/>
      </w:divBdr>
    </w:div>
    <w:div w:id="1482847445">
      <w:bodyDiv w:val="1"/>
      <w:marLeft w:val="0"/>
      <w:marRight w:val="0"/>
      <w:marTop w:val="0"/>
      <w:marBottom w:val="0"/>
      <w:divBdr>
        <w:top w:val="none" w:sz="0" w:space="0" w:color="auto"/>
        <w:left w:val="none" w:sz="0" w:space="0" w:color="auto"/>
        <w:bottom w:val="none" w:sz="0" w:space="0" w:color="auto"/>
        <w:right w:val="none" w:sz="0" w:space="0" w:color="auto"/>
      </w:divBdr>
      <w:divsChild>
        <w:div w:id="1207180060">
          <w:marLeft w:val="0"/>
          <w:marRight w:val="0"/>
          <w:marTop w:val="0"/>
          <w:marBottom w:val="0"/>
          <w:divBdr>
            <w:top w:val="none" w:sz="0" w:space="0" w:color="auto"/>
            <w:left w:val="none" w:sz="0" w:space="0" w:color="auto"/>
            <w:bottom w:val="none" w:sz="0" w:space="0" w:color="auto"/>
            <w:right w:val="none" w:sz="0" w:space="0" w:color="auto"/>
          </w:divBdr>
        </w:div>
        <w:div w:id="307439507">
          <w:marLeft w:val="0"/>
          <w:marRight w:val="0"/>
          <w:marTop w:val="0"/>
          <w:marBottom w:val="0"/>
          <w:divBdr>
            <w:top w:val="none" w:sz="0" w:space="0" w:color="auto"/>
            <w:left w:val="none" w:sz="0" w:space="0" w:color="auto"/>
            <w:bottom w:val="none" w:sz="0" w:space="0" w:color="auto"/>
            <w:right w:val="none" w:sz="0" w:space="0" w:color="auto"/>
          </w:divBdr>
        </w:div>
        <w:div w:id="950936981">
          <w:marLeft w:val="0"/>
          <w:marRight w:val="0"/>
          <w:marTop w:val="0"/>
          <w:marBottom w:val="0"/>
          <w:divBdr>
            <w:top w:val="none" w:sz="0" w:space="0" w:color="auto"/>
            <w:left w:val="none" w:sz="0" w:space="0" w:color="auto"/>
            <w:bottom w:val="none" w:sz="0" w:space="0" w:color="auto"/>
            <w:right w:val="none" w:sz="0" w:space="0" w:color="auto"/>
          </w:divBdr>
        </w:div>
      </w:divsChild>
    </w:div>
    <w:div w:id="1615938551">
      <w:bodyDiv w:val="1"/>
      <w:marLeft w:val="0"/>
      <w:marRight w:val="0"/>
      <w:marTop w:val="0"/>
      <w:marBottom w:val="0"/>
      <w:divBdr>
        <w:top w:val="none" w:sz="0" w:space="0" w:color="auto"/>
        <w:left w:val="none" w:sz="0" w:space="0" w:color="auto"/>
        <w:bottom w:val="none" w:sz="0" w:space="0" w:color="auto"/>
        <w:right w:val="none" w:sz="0" w:space="0" w:color="auto"/>
      </w:divBdr>
      <w:divsChild>
        <w:div w:id="1787115447">
          <w:marLeft w:val="0"/>
          <w:marRight w:val="0"/>
          <w:marTop w:val="0"/>
          <w:marBottom w:val="0"/>
          <w:divBdr>
            <w:top w:val="none" w:sz="0" w:space="0" w:color="auto"/>
            <w:left w:val="none" w:sz="0" w:space="0" w:color="auto"/>
            <w:bottom w:val="none" w:sz="0" w:space="0" w:color="auto"/>
            <w:right w:val="none" w:sz="0" w:space="0" w:color="auto"/>
          </w:divBdr>
        </w:div>
      </w:divsChild>
    </w:div>
    <w:div w:id="1750694837">
      <w:bodyDiv w:val="1"/>
      <w:marLeft w:val="0"/>
      <w:marRight w:val="0"/>
      <w:marTop w:val="0"/>
      <w:marBottom w:val="0"/>
      <w:divBdr>
        <w:top w:val="none" w:sz="0" w:space="0" w:color="auto"/>
        <w:left w:val="none" w:sz="0" w:space="0" w:color="auto"/>
        <w:bottom w:val="none" w:sz="0" w:space="0" w:color="auto"/>
        <w:right w:val="none" w:sz="0" w:space="0" w:color="auto"/>
      </w:divBdr>
      <w:divsChild>
        <w:div w:id="843933625">
          <w:marLeft w:val="0"/>
          <w:marRight w:val="0"/>
          <w:marTop w:val="0"/>
          <w:marBottom w:val="0"/>
          <w:divBdr>
            <w:top w:val="none" w:sz="0" w:space="0" w:color="auto"/>
            <w:left w:val="none" w:sz="0" w:space="0" w:color="auto"/>
            <w:bottom w:val="none" w:sz="0" w:space="0" w:color="auto"/>
            <w:right w:val="none" w:sz="0" w:space="0" w:color="auto"/>
          </w:divBdr>
        </w:div>
        <w:div w:id="1000155981">
          <w:marLeft w:val="0"/>
          <w:marRight w:val="0"/>
          <w:marTop w:val="0"/>
          <w:marBottom w:val="0"/>
          <w:divBdr>
            <w:top w:val="none" w:sz="0" w:space="0" w:color="auto"/>
            <w:left w:val="none" w:sz="0" w:space="0" w:color="auto"/>
            <w:bottom w:val="none" w:sz="0" w:space="0" w:color="auto"/>
            <w:right w:val="none" w:sz="0" w:space="0" w:color="auto"/>
          </w:divBdr>
        </w:div>
        <w:div w:id="1325935281">
          <w:marLeft w:val="0"/>
          <w:marRight w:val="0"/>
          <w:marTop w:val="0"/>
          <w:marBottom w:val="0"/>
          <w:divBdr>
            <w:top w:val="none" w:sz="0" w:space="0" w:color="auto"/>
            <w:left w:val="none" w:sz="0" w:space="0" w:color="auto"/>
            <w:bottom w:val="none" w:sz="0" w:space="0" w:color="auto"/>
            <w:right w:val="none" w:sz="0" w:space="0" w:color="auto"/>
          </w:divBdr>
        </w:div>
      </w:divsChild>
    </w:div>
    <w:div w:id="1790782715">
      <w:bodyDiv w:val="1"/>
      <w:marLeft w:val="0"/>
      <w:marRight w:val="0"/>
      <w:marTop w:val="0"/>
      <w:marBottom w:val="0"/>
      <w:divBdr>
        <w:top w:val="none" w:sz="0" w:space="0" w:color="auto"/>
        <w:left w:val="none" w:sz="0" w:space="0" w:color="auto"/>
        <w:bottom w:val="none" w:sz="0" w:space="0" w:color="auto"/>
        <w:right w:val="none" w:sz="0" w:space="0" w:color="auto"/>
      </w:divBdr>
    </w:div>
    <w:div w:id="1805462794">
      <w:bodyDiv w:val="1"/>
      <w:marLeft w:val="0"/>
      <w:marRight w:val="0"/>
      <w:marTop w:val="0"/>
      <w:marBottom w:val="0"/>
      <w:divBdr>
        <w:top w:val="none" w:sz="0" w:space="0" w:color="auto"/>
        <w:left w:val="none" w:sz="0" w:space="0" w:color="auto"/>
        <w:bottom w:val="none" w:sz="0" w:space="0" w:color="auto"/>
        <w:right w:val="none" w:sz="0" w:space="0" w:color="auto"/>
      </w:divBdr>
      <w:divsChild>
        <w:div w:id="1922791261">
          <w:marLeft w:val="0"/>
          <w:marRight w:val="0"/>
          <w:marTop w:val="0"/>
          <w:marBottom w:val="0"/>
          <w:divBdr>
            <w:top w:val="none" w:sz="0" w:space="0" w:color="auto"/>
            <w:left w:val="none" w:sz="0" w:space="0" w:color="auto"/>
            <w:bottom w:val="none" w:sz="0" w:space="0" w:color="auto"/>
            <w:right w:val="none" w:sz="0" w:space="0" w:color="auto"/>
          </w:divBdr>
        </w:div>
      </w:divsChild>
    </w:div>
    <w:div w:id="1820270502">
      <w:bodyDiv w:val="1"/>
      <w:marLeft w:val="0"/>
      <w:marRight w:val="0"/>
      <w:marTop w:val="0"/>
      <w:marBottom w:val="0"/>
      <w:divBdr>
        <w:top w:val="none" w:sz="0" w:space="0" w:color="auto"/>
        <w:left w:val="none" w:sz="0" w:space="0" w:color="auto"/>
        <w:bottom w:val="none" w:sz="0" w:space="0" w:color="auto"/>
        <w:right w:val="none" w:sz="0" w:space="0" w:color="auto"/>
      </w:divBdr>
      <w:divsChild>
        <w:div w:id="788475710">
          <w:marLeft w:val="0"/>
          <w:marRight w:val="0"/>
          <w:marTop w:val="0"/>
          <w:marBottom w:val="0"/>
          <w:divBdr>
            <w:top w:val="none" w:sz="0" w:space="0" w:color="auto"/>
            <w:left w:val="none" w:sz="0" w:space="0" w:color="auto"/>
            <w:bottom w:val="none" w:sz="0" w:space="0" w:color="auto"/>
            <w:right w:val="none" w:sz="0" w:space="0" w:color="auto"/>
          </w:divBdr>
        </w:div>
        <w:div w:id="2124424325">
          <w:marLeft w:val="0"/>
          <w:marRight w:val="0"/>
          <w:marTop w:val="0"/>
          <w:marBottom w:val="0"/>
          <w:divBdr>
            <w:top w:val="none" w:sz="0" w:space="0" w:color="auto"/>
            <w:left w:val="none" w:sz="0" w:space="0" w:color="auto"/>
            <w:bottom w:val="none" w:sz="0" w:space="0" w:color="auto"/>
            <w:right w:val="none" w:sz="0" w:space="0" w:color="auto"/>
          </w:divBdr>
        </w:div>
        <w:div w:id="88158157">
          <w:marLeft w:val="0"/>
          <w:marRight w:val="0"/>
          <w:marTop w:val="0"/>
          <w:marBottom w:val="0"/>
          <w:divBdr>
            <w:top w:val="none" w:sz="0" w:space="0" w:color="auto"/>
            <w:left w:val="none" w:sz="0" w:space="0" w:color="auto"/>
            <w:bottom w:val="none" w:sz="0" w:space="0" w:color="auto"/>
            <w:right w:val="none" w:sz="0" w:space="0" w:color="auto"/>
          </w:divBdr>
        </w:div>
      </w:divsChild>
    </w:div>
    <w:div w:id="2020236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e4420773c8a227daef6c045b72bc81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22eb6792ea364f94f21b5ea25fa34e9"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0379a545-9986-45d7-9e6d-3845025712a0" xsi:nil="true"/>
    <lcf76f155ced4ddcb4097134ff3c332f xmlns="47c1ea38-b788-4873-88f4-3b1f34597b9a">
      <Terms xmlns="http://schemas.microsoft.com/office/infopath/2007/PartnerControls"/>
    </lcf76f155ced4ddcb4097134ff3c332f>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d32c4f875fc540d681b0c8d0f092a212" PartId="f6342f64bb26408ebe3305c76f9b69c7"/>
  <Part Type="pastraipa" DocPartId="f5e7b9e70a6d406986f237f2d794aea7" PartId="17fe9dd7cf4b4c0188c2345b03dac9ca"/>
</Parts>
</file>

<file path=customXml/itemProps1.xml><?xml version="1.0" encoding="utf-8"?>
<ds:datastoreItem xmlns:ds="http://schemas.openxmlformats.org/officeDocument/2006/customXml" ds:itemID="{7428B612-5294-43D4-9569-3D44ACBBC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5AC4FA-87E0-4C48-A64F-9EFF01CAEEDB}">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3.xml><?xml version="1.0" encoding="utf-8"?>
<ds:datastoreItem xmlns:ds="http://schemas.openxmlformats.org/officeDocument/2006/customXml" ds:itemID="{C4B214CD-90CE-4B32-BA6D-8D29A90A36B8}">
  <ds:schemaRefs>
    <ds:schemaRef ds:uri="http://schemas.microsoft.com/sharepoint/v3/contenttype/forms"/>
  </ds:schemaRefs>
</ds:datastoreItem>
</file>

<file path=customXml/itemProps4.xml><?xml version="1.0" encoding="utf-8"?>
<ds:datastoreItem xmlns:ds="http://schemas.openxmlformats.org/officeDocument/2006/customXml" ds:itemID="{B5583113-E86B-4BFB-B776-C5F9345CD1B6}">
  <ds:schemaRefs>
    <ds:schemaRef ds:uri="http://schemas.openxmlformats.org/officeDocument/2006/bibliography"/>
  </ds:schemaRefs>
</ds:datastoreItem>
</file>

<file path=customXml/itemProps5.xml><?xml version="1.0" encoding="utf-8"?>
<ds:datastoreItem xmlns:ds="http://schemas.openxmlformats.org/officeDocument/2006/customXml" ds:itemID="{7C0707E3-D54F-4887-8DD6-810344218CD9}">
  <ds:schemaRefs>
    <ds:schemaRef ds:uri="http://lrs.lt/TAIS/DocParts"/>
  </ds:schemaRefs>
</ds:datastoreItem>
</file>

<file path=docMetadata/LabelInfo.xml><?xml version="1.0" encoding="utf-8"?>
<clbl:labelList xmlns:clbl="http://schemas.microsoft.com/office/2020/mipLabelMetadata">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5227</Words>
  <Characters>36280</Characters>
  <Application>Microsoft Office Word</Application>
  <DocSecurity>4</DocSecurity>
  <Lines>1067</Lines>
  <Paragraphs>427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41080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2026-03-23T06:24:00Z</dcterms:created>
  <dc:creator>Sandra Kvaraciejienė</dc:creator>
  <lastModifiedBy>adlibuser</lastModifiedBy>
  <dcterms:modified xsi:type="dcterms:W3CDTF">2026-03-23T06:24:00Z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