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e36a5b8f8d347f5885a9510b99af13a"/>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widowControl w:val="0"/>
                  <w:suppressLineNumbers/>
                  <w:spacing w:line="23" w:lineRule="atLeast"/>
                  <w:jc w:val="center"/>
                  <w:rPr>
                    <w:rFonts w:eastAsia="Andale Sans UI" w:cs="Tahoma"/>
                    <w:b/>
                    <w:bCs/>
                    <w:spacing w:val="20"/>
                    <w:lang w:bidi="en-US"/>
                  </w:rPr>
                </w:pPr>
                <w:r>
                  <w:rPr>
                    <w:lang w:val="en-US"/>
                  </w:rPr>
                  <w:drawing>
                    <wp:inline distT="0" distB="0" distL="0" distR="0" wp14:anchorId="47B4FF70" wp14:editId="3C37A06F">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widowControl w:val="0"/>
                  <w:spacing w:line="23" w:lineRule="atLeast"/>
                  <w:rPr>
                    <w:sz w:val="10"/>
                    <w:szCs w:val="10"/>
                  </w:rPr>
                </w:pPr>
              </w:p>
              <w:p>
                <w:pPr>
                  <w:widowControl w:val="0"/>
                  <w:suppressLineNumbers/>
                  <w:spacing w:line="23" w:lineRule="atLeast"/>
                  <w:jc w:val="center"/>
                  <w:rPr>
                    <w:rFonts w:eastAsia="Andale Sans UI" w:cs="Tahoma"/>
                    <w:b/>
                    <w:bCs/>
                    <w:spacing w:val="20"/>
                    <w:lang w:bidi="en-US"/>
                  </w:rPr>
                </w:pPr>
                <w:r>
                  <w:rPr>
                    <w:rFonts w:eastAsia="Andale Sans UI" w:cs="Tahoma"/>
                    <w:b/>
                    <w:bCs/>
                    <w:spacing w:val="20"/>
                    <w:lang w:bidi="en-US"/>
                  </w:rPr>
                  <w:t>LIETUVOS RESPUBLIKOS APLINKOS MINISTERIJA</w:t>
                </w:r>
              </w:p>
              <w:p>
                <w:pPr>
                  <w:widowControl w:val="0"/>
                  <w:spacing w:line="23" w:lineRule="atLeast"/>
                  <w:rPr>
                    <w:sz w:val="10"/>
                    <w:szCs w:val="10"/>
                  </w:rPr>
                </w:pPr>
              </w:p>
              <w:p>
                <w:pPr>
                  <w:widowControl w:val="0"/>
                  <w:suppressLineNumbers/>
                  <w:spacing w:line="23" w:lineRule="atLeast"/>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widowControl w:val="0"/>
                  <w:suppressLineNumbers/>
                  <w:spacing w:line="23" w:lineRule="atLeast"/>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widowControl w:val="0"/>
                  <w:suppressLineNumbers/>
                  <w:spacing w:line="23" w:lineRule="atLeast"/>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pacing w:line="23" w:lineRule="atLeast"/>
                  <w:jc w:val="both"/>
                  <w:rPr>
                    <w:rFonts w:eastAsia="Andale Sans UI" w:cs="Tahoma"/>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pacing w:line="23" w:lineRule="atLeast"/>
                  <w:jc w:val="both"/>
                  <w:rPr>
                    <w:rFonts w:eastAsia="Andale Sans UI"/>
                    <w:lang w:bidi="en-US"/>
                  </w:rPr>
                </w:pPr>
                <w:r>
                  <w:rPr>
                    <w:rFonts w:eastAsia="Andale Sans UI"/>
                    <w:lang w:bidi="en-US"/>
                  </w:rPr>
                  <w:t>Pagal adresatų sąrašą</w:t>
                </w: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spacing w:val="10"/>
                    <w:lang w:bidi="en-US"/>
                  </w:rPr>
                </w:pPr>
              </w:p>
              <w:p>
                <w:pPr>
                  <w:widowControl w:val="0"/>
                  <w:suppressLineNumbers/>
                  <w:spacing w:line="23" w:lineRule="atLeast"/>
                  <w:jc w:val="both"/>
                  <w:rPr>
                    <w:rFonts w:eastAsia="Andale Sans UI"/>
                    <w:spacing w:val="10"/>
                    <w:lang w:bidi="en-US"/>
                  </w:rPr>
                </w:pPr>
              </w:p>
            </w:tc>
            <w:tc>
              <w:tcPr>
                <w:tcW w:w="282" w:type="dxa"/>
                <w:tcMar>
                  <w:top w:w="0" w:type="dxa"/>
                  <w:left w:w="0" w:type="dxa"/>
                  <w:bottom w:w="0" w:type="dxa"/>
                  <w:right w:w="0" w:type="dxa"/>
                </w:tcMar>
              </w:tcPr>
              <w:p>
                <w:pPr>
                  <w:widowControl w:val="0"/>
                  <w:spacing w:line="23" w:lineRule="atLeast"/>
                  <w:ind w:right="67"/>
                  <w:jc w:val="right"/>
                  <w:rPr>
                    <w:rFonts w:eastAsia="Andale Sans UI"/>
                    <w:spacing w:val="10"/>
                    <w:lang w:bidi="en-US"/>
                  </w:rPr>
                </w:pPr>
              </w:p>
            </w:tc>
            <w:tc>
              <w:tcPr>
                <w:tcW w:w="1841" w:type="dxa"/>
                <w:tcMar>
                  <w:top w:w="0" w:type="dxa"/>
                  <w:left w:w="0" w:type="dxa"/>
                  <w:bottom w:w="0" w:type="dxa"/>
                  <w:right w:w="0" w:type="dxa"/>
                </w:tcMar>
              </w:tcPr>
              <w:p>
                <w:pPr>
                  <w:widowControl w:val="0"/>
                  <w:suppressLineNumbers/>
                  <w:spacing w:line="23" w:lineRule="atLeast"/>
                  <w:ind w:right="67"/>
                  <w:jc w:val="both"/>
                  <w:rPr>
                    <w:rFonts w:eastAsia="Andale Sans UI"/>
                    <w:lang w:bidi="en-US"/>
                  </w:rPr>
                </w:pPr>
              </w:p>
            </w:tc>
            <w:tc>
              <w:tcPr>
                <w:tcW w:w="565" w:type="dxa"/>
              </w:tcPr>
              <w:p>
                <w:pPr>
                  <w:widowControl w:val="0"/>
                  <w:spacing w:line="23" w:lineRule="atLeast"/>
                  <w:ind w:right="67"/>
                  <w:jc w:val="right"/>
                  <w:rPr>
                    <w:rFonts w:eastAsia="Andale Sans UI"/>
                    <w:spacing w:val="10"/>
                    <w:lang w:bidi="en-US"/>
                  </w:rPr>
                </w:pPr>
                <w:r>
                  <w:rPr>
                    <w:rFonts w:eastAsia="Andale Sans UI"/>
                    <w:spacing w:val="10"/>
                    <w:lang w:bidi="en-US"/>
                  </w:rPr>
                  <w:t>Nr.</w:t>
                </w:r>
              </w:p>
            </w:tc>
            <w:tc>
              <w:tcPr>
                <w:tcW w:w="2133" w:type="dxa"/>
              </w:tcPr>
              <w:p>
                <w:pPr>
                  <w:widowControl w:val="0"/>
                  <w:suppressLineNumbers/>
                  <w:spacing w:line="23" w:lineRule="atLeast"/>
                  <w:ind w:right="67"/>
                  <w:jc w:val="both"/>
                  <w:rPr>
                    <w:rFonts w:eastAsia="Andale Sans UI"/>
                    <w:lang w:bidi="en-US"/>
                  </w:rPr>
                </w:pP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widowControl w:val="0"/>
                  <w:tabs>
                    <w:tab w:val="left" w:pos="2869"/>
                  </w:tabs>
                  <w:spacing w:line="23" w:lineRule="atLeast"/>
                  <w:ind w:right="67"/>
                  <w:jc w:val="right"/>
                  <w:rPr>
                    <w:rFonts w:eastAsia="Andale Sans UI"/>
                    <w:spacing w:val="10"/>
                    <w:lang w:bidi="en-US"/>
                  </w:rPr>
                </w:pPr>
                <w:r>
                  <w:rPr>
                    <w:rFonts w:eastAsia="Andale Sans UI"/>
                    <w:spacing w:val="10"/>
                    <w:lang w:bidi="en-US"/>
                  </w:rPr>
                  <w:t>Į</w:t>
                </w:r>
              </w:p>
            </w:tc>
            <w:tc>
              <w:tcPr>
                <w:tcW w:w="1841" w:type="dxa"/>
                <w:tcMar>
                  <w:top w:w="0" w:type="dxa"/>
                  <w:left w:w="0" w:type="dxa"/>
                  <w:bottom w:w="0" w:type="dxa"/>
                  <w:right w:w="0" w:type="dxa"/>
                </w:tcMar>
              </w:tcPr>
              <w:p>
                <w:pPr>
                  <w:widowControl w:val="0"/>
                  <w:suppressLineNumbers/>
                  <w:spacing w:line="23" w:lineRule="atLeast"/>
                  <w:ind w:right="67"/>
                  <w:jc w:val="both"/>
                  <w:rPr>
                    <w:rFonts w:eastAsia="Andale Sans UI"/>
                    <w:lang w:bidi="en-US"/>
                  </w:rPr>
                </w:pPr>
              </w:p>
            </w:tc>
            <w:tc>
              <w:tcPr>
                <w:tcW w:w="565" w:type="dxa"/>
              </w:tcPr>
              <w:p>
                <w:pPr>
                  <w:widowControl w:val="0"/>
                  <w:tabs>
                    <w:tab w:val="left" w:pos="2869"/>
                  </w:tabs>
                  <w:spacing w:line="23" w:lineRule="atLeast"/>
                  <w:ind w:right="67"/>
                  <w:jc w:val="right"/>
                  <w:rPr>
                    <w:rFonts w:eastAsia="Andale Sans UI"/>
                    <w:spacing w:val="10"/>
                    <w:lang w:bidi="en-US"/>
                  </w:rPr>
                </w:pPr>
                <w:r>
                  <w:rPr>
                    <w:rFonts w:eastAsia="Andale Sans UI"/>
                    <w:spacing w:val="10"/>
                    <w:lang w:bidi="en-US"/>
                  </w:rPr>
                  <w:t>Nr.</w:t>
                </w:r>
              </w:p>
            </w:tc>
            <w:tc>
              <w:tcPr>
                <w:tcW w:w="2133" w:type="dxa"/>
              </w:tcPr>
              <w:p>
                <w:pPr>
                  <w:widowControl w:val="0"/>
                  <w:suppressLineNumbers/>
                  <w:spacing w:line="23" w:lineRule="atLeast"/>
                  <w:ind w:right="67"/>
                  <w:jc w:val="both"/>
                  <w:rPr>
                    <w:rFonts w:eastAsia="Andale Sans UI"/>
                    <w:lang w:bidi="en-US"/>
                  </w:rPr>
                </w:pPr>
              </w:p>
            </w:tc>
          </w:tr>
          <w:tr>
            <w:trPr>
              <w:cantSplit/>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widowControl w:val="0"/>
                  <w:tabs>
                    <w:tab w:val="left" w:pos="2869"/>
                  </w:tabs>
                  <w:spacing w:line="23" w:lineRule="atLeast"/>
                  <w:ind w:right="67"/>
                  <w:jc w:val="both"/>
                  <w:rPr>
                    <w:rFonts w:eastAsia="Andale Sans UI"/>
                    <w:spacing w:val="10"/>
                    <w:lang w:bidi="en-US"/>
                  </w:rPr>
                </w:pPr>
              </w:p>
            </w:tc>
          </w:tr>
          <w:tr>
            <w:trPr>
              <w:trHeight w:val="340"/>
            </w:trPr>
            <w:tc>
              <w:tcPr>
                <w:tcW w:w="9638" w:type="dxa"/>
                <w:gridSpan w:val="5"/>
                <w:tcMar>
                  <w:top w:w="0" w:type="dxa"/>
                  <w:left w:w="0" w:type="dxa"/>
                  <w:bottom w:w="0" w:type="dxa"/>
                  <w:right w:w="0" w:type="dxa"/>
                </w:tcMar>
              </w:tcPr>
              <w:p>
                <w:pPr>
                  <w:widowControl w:val="0"/>
                  <w:suppressLineNumbers/>
                  <w:spacing w:line="23" w:lineRule="atLeast"/>
                  <w:jc w:val="both"/>
                  <w:rPr>
                    <w:rFonts w:eastAsia="Andale Sans UI"/>
                    <w:b/>
                    <w:bCs/>
                    <w:lang w:bidi="en-US"/>
                  </w:rPr>
                </w:pPr>
                <w:r>
                  <w:rPr>
                    <w:rFonts w:eastAsia="Andale Sans UI"/>
                    <w:b/>
                    <w:bCs/>
                    <w:caps/>
                    <w:lang w:bidi="en-US"/>
                  </w:rPr>
                  <w:t xml:space="preserve">DĖL </w:t>
                </w:r>
                <w:r>
                  <w:rPr>
                    <w:rFonts w:eastAsia="Andale Sans UI"/>
                    <w:b/>
                    <w:bCs/>
                    <w:lang w:eastAsia="lt-LT" w:bidi="en-US"/>
                  </w:rPr>
                  <w:t>ĮSTATYMŲ PROJEKTŲ</w:t>
                </w:r>
                <w:r>
                  <w:tab/>
                </w:r>
              </w:p>
            </w:tc>
          </w:tr>
        </w:tbl>
        <w:p>
          <w:pPr>
            <w:widowControl w:val="0"/>
            <w:shd w:val="clear" w:color="auto" w:fill="FFFFFF"/>
            <w:spacing w:line="23" w:lineRule="atLeast"/>
            <w:ind w:firstLine="567"/>
            <w:jc w:val="both"/>
            <w:textAlignment w:val="center"/>
            <w:rPr>
              <w:rFonts w:eastAsia="Andale Sans UI"/>
              <w:lang w:bidi="en-US"/>
            </w:rPr>
          </w:pPr>
        </w:p>
      </w:sdtContent>
    </w:sdt>
    <w:sdt>
      <w:sdtPr>
        <w:alias w:val="pastraipa"/>
        <w:tag w:val="part_b575abc6eaf6458c9926d79d10dd0fd3"/>
        <w:lock w:val="sdtLocked"/>
        <w:richText/>
      </w:sdtPr>
      <w:sdtContent>
        <w:p>
          <w:pPr>
            <w:widowControl w:val="0"/>
            <w:shd w:val="clear" w:color="auto" w:fill="FFFFFF"/>
            <w:spacing w:line="23" w:lineRule="atLeast"/>
            <w:ind w:firstLine="567"/>
            <w:jc w:val="both"/>
            <w:textAlignment w:val="center"/>
            <w:rPr>
              <w:rFonts w:eastAsia="Andale Sans UI"/>
              <w:b/>
              <w:bCs/>
              <w:lang w:bidi="en-US"/>
            </w:rPr>
          </w:pPr>
          <w:r>
            <w:rPr>
              <w:rFonts w:eastAsia="Andale Sans UI"/>
              <w:lang w:bidi="en-US"/>
            </w:rPr>
            <w:t xml:space="preserve">Aplinkos ministerija teikia derinti Lietuvos Respublikos pakuočių ir pakuočių atliekų tvarkymo įstatymo </w:t>
          </w:r>
          <w:r>
            <w:rPr>
              <w:color w:val="000000"/>
            </w:rPr>
            <w:t>Nr. IX-517</w:t>
          </w:r>
          <w:r>
            <w:t xml:space="preserve"> </w:t>
          </w:r>
          <w:r>
            <w:rPr>
              <w:rFonts w:eastAsia="Andale Sans UI"/>
              <w:lang w:bidi="en-US"/>
            </w:rPr>
            <w:t xml:space="preserve">pakeitimo įstatymo projektą (toliau – PPATĮ projektas), Lietuvos Respublikos administracinių nusižengimų kodekso (toliau – ANK) </w:t>
          </w:r>
          <w:r>
            <w:rPr>
              <w:lang w:bidi="en-US"/>
            </w:rPr>
            <w:t>248</w:t>
          </w:r>
          <w:r>
            <w:rPr>
              <w:color w:val="000000"/>
              <w:vertAlign w:val="superscript"/>
              <w:lang w:bidi="en-US"/>
            </w:rPr>
            <w:t> </w:t>
          </w:r>
          <w:r>
            <w:rPr>
              <w:rFonts w:eastAsia="Andale Sans UI"/>
              <w:lang w:bidi="en-US"/>
            </w:rPr>
            <w:t xml:space="preserve">straipsnio pakeitimo įstatymo projektą (toliau – ANK projektas), Lietuvos Respublikos aplinkos apsaugos įstatymo Nr. I-2223 (toliau – AAĮ) priedo pakeitimo ir Įstatymo papildymo </w:t>
          </w:r>
          <w:r>
            <w:rPr>
              <w:color w:val="000000"/>
            </w:rPr>
            <w:t>108</w:t>
          </w:r>
          <w:r>
            <w:rPr>
              <w:color w:val="000000"/>
              <w:vertAlign w:val="superscript"/>
            </w:rPr>
            <w:t>5</w:t>
          </w:r>
          <w:r>
            <w:rPr>
              <w:color w:val="000000"/>
            </w:rPr>
            <w:t>, 108</w:t>
          </w:r>
          <w:r>
            <w:rPr>
              <w:color w:val="000000"/>
              <w:vertAlign w:val="superscript"/>
            </w:rPr>
            <w:t>6</w:t>
          </w:r>
          <w:r>
            <w:rPr>
              <w:color w:val="000000"/>
            </w:rPr>
            <w:t>, 108</w:t>
          </w:r>
          <w:r>
            <w:rPr>
              <w:color w:val="000000"/>
              <w:vertAlign w:val="superscript"/>
            </w:rPr>
            <w:t>7</w:t>
          </w:r>
          <w:r>
            <w:rPr>
              <w:color w:val="000000"/>
            </w:rPr>
            <w:t>, 108</w:t>
          </w:r>
          <w:r>
            <w:rPr>
              <w:color w:val="000000"/>
              <w:vertAlign w:val="superscript"/>
            </w:rPr>
            <w:t>8</w:t>
          </w:r>
          <w:r>
            <w:rPr>
              <w:color w:val="000000"/>
            </w:rPr>
            <w:t>, 108</w:t>
          </w:r>
          <w:r>
            <w:rPr>
              <w:color w:val="000000"/>
              <w:vertAlign w:val="superscript"/>
            </w:rPr>
            <w:t>9</w:t>
          </w:r>
          <w:r>
            <w:rPr>
              <w:color w:val="000000"/>
            </w:rPr>
            <w:t>, 108</w:t>
          </w:r>
          <w:r>
            <w:rPr>
              <w:color w:val="000000"/>
              <w:vertAlign w:val="superscript"/>
            </w:rPr>
            <w:t>10</w:t>
          </w:r>
          <w:r>
            <w:rPr>
              <w:color w:val="000000"/>
            </w:rPr>
            <w:t>, 108</w:t>
          </w:r>
          <w:r>
            <w:rPr>
              <w:color w:val="000000"/>
              <w:vertAlign w:val="superscript"/>
            </w:rPr>
            <w:t>11</w:t>
          </w:r>
          <w:r>
            <w:t xml:space="preserve"> </w:t>
          </w:r>
          <w:r>
            <w:rPr>
              <w:rFonts w:eastAsia="Andale Sans UI"/>
              <w:lang w:bidi="en-US"/>
            </w:rPr>
            <w:t>straipsniais</w:t>
          </w:r>
          <w:r>
            <w:rPr>
              <w:rFonts w:eastAsia="Andale Sans UI"/>
              <w:spacing w:val="2"/>
              <w:shd w:val="clear" w:color="auto" w:fill="FFFFFF"/>
              <w:lang w:bidi="en-US"/>
            </w:rPr>
            <w:t xml:space="preserve"> įstatymo </w:t>
          </w:r>
          <w:r>
            <w:rPr>
              <w:rFonts w:eastAsia="Andale Sans UI"/>
              <w:lang w:bidi="en-US"/>
            </w:rPr>
            <w:t xml:space="preserve">projektą (toliau – AAĮ projektas), Lietuvos Respublikos atliekų tvarkymo įstatymo Nr. VIII-787 </w:t>
          </w:r>
          <w:r>
            <w:rPr>
              <w:color w:val="000000"/>
              <w:szCs w:val="24"/>
            </w:rPr>
            <w:t>30, 34</w:t>
          </w:r>
          <w:r>
            <w:rPr>
              <w:color w:val="000000"/>
              <w:szCs w:val="24"/>
              <w:vertAlign w:val="superscript"/>
            </w:rPr>
            <w:t>25</w:t>
          </w:r>
          <w:r>
            <w:rPr>
              <w:color w:val="000000"/>
              <w:szCs w:val="24"/>
            </w:rPr>
            <w:t>, 34</w:t>
          </w:r>
          <w:r>
            <w:rPr>
              <w:color w:val="000000"/>
              <w:szCs w:val="24"/>
              <w:vertAlign w:val="superscript"/>
            </w:rPr>
            <w:t>26</w:t>
          </w:r>
          <w:r>
            <w:rPr>
              <w:color w:val="000000"/>
              <w:szCs w:val="24"/>
            </w:rPr>
            <w:t xml:space="preserve"> ir 34</w:t>
          </w:r>
          <w:r>
            <w:rPr>
              <w:color w:val="000000"/>
              <w:szCs w:val="24"/>
              <w:vertAlign w:val="superscript"/>
            </w:rPr>
            <w:t>28</w:t>
          </w:r>
          <w:r>
            <w:rPr>
              <w:rFonts w:eastAsia="Andale Sans UI"/>
              <w:lang w:bidi="en-US"/>
            </w:rPr>
            <w:t xml:space="preserve"> straipsnių pakeitimo įstatymo projektą (toliau ATĮ projektas) (toliau kartu – Projektai).</w:t>
          </w:r>
        </w:p>
        <w:sdt>
          <w:sdtPr>
            <w:alias w:val="1 p."/>
            <w:tag w:val="part_e38b490aed864dbcb6ca49dfe5cf9caf"/>
            <w:lock w:val="sdtLocked"/>
            <w:richText/>
          </w:sdtPr>
          <w:sdtContent>
            <w:p>
              <w:pPr>
                <w:widowControl w:val="0"/>
                <w:shd w:val="clear" w:color="auto" w:fill="FFFFFF"/>
                <w:spacing w:line="23" w:lineRule="atLeast"/>
                <w:ind w:firstLine="567"/>
                <w:jc w:val="both"/>
                <w:textAlignment w:val="center"/>
                <w:rPr>
                  <w:rFonts w:eastAsia="Andale Sans UI"/>
                  <w:b/>
                  <w:bCs/>
                  <w:lang w:bidi="en-US"/>
                </w:rPr>
              </w:pPr>
              <w:sdt>
                <w:sdtPr>
                  <w:alias w:val="Numeris"/>
                  <w:tag w:val="nr_e38b490aed864dbcb6ca49dfe5cf9caf"/>
                  <w:lock w:val="sdtLocked"/>
                  <w:richText/>
                </w:sdtPr>
                <w:sdtContent>
                  <w:r>
                    <w:rPr>
                      <w:rFonts w:eastAsia="Andale Sans UI"/>
                      <w:b/>
                      <w:bCs/>
                      <w:lang w:bidi="en-US"/>
                    </w:rPr>
                    <w:t>1</w:t>
                  </w:r>
                </w:sdtContent>
              </w:sdt>
              <w:r>
                <w:rPr>
                  <w:rFonts w:eastAsia="Andale Sans UI"/>
                  <w:b/>
                  <w:bCs/>
                  <w:lang w:bidi="en-US"/>
                </w:rPr>
                <w:t>. Projektais sprendžiama problema ir Projektus rengti paskatinusios priežastys</w:t>
              </w:r>
            </w:p>
            <w:p>
              <w:pPr>
                <w:widowControl w:val="0"/>
                <w:spacing w:line="23" w:lineRule="atLeast"/>
                <w:ind w:firstLine="629"/>
                <w:jc w:val="both"/>
                <w:rPr>
                  <w:lang w:bidi="en-US"/>
                </w:rPr>
              </w:pPr>
              <w:r>
                <w:t xml:space="preserve">2024 m. gruodžio 19 d. priimtas Europos Parlamento ir Tarybos Reglamentas </w:t>
              </w:r>
              <w:fldSimple w:instr="HYPERLINK http://eur-lex.europa.eu/legal-content/LIT/TXT/?uri=CELEX:32025R0040&amp;locale=lt \t _blank">
                <w:r>
                  <w:rPr>
                    <w:u w:val="single"/>
                    <w:color w:val="0000FF" w:themeColor="hyperlink"/>
                  </w:rPr>
                  <w:t>(ES) 2025/40</w:t>
                </w:r>
              </w:fldSimple>
              <w:r>
                <w:t xml:space="preserve"> dėl pakuočių ir pakuočių atliekų, kuriuo iš dalies keičiamas Reglamentas </w:t>
              </w:r>
              <w:fldSimple w:instr="HYPERLINK http://eur-lex.europa.eu/legal-content/LIT/TXT/?uri=CELEX:32019R1020&amp;locale=lt \t _blank">
                <w:r>
                  <w:rPr>
                    <w:u w:val="single"/>
                    <w:color w:val="0000FF" w:themeColor="hyperlink"/>
                  </w:rPr>
                  <w:t>(ES) 2019/1020</w:t>
                </w:r>
              </w:fldSimple>
              <w:r>
                <w:t xml:space="preserve"> ir Direktyva </w:t>
              </w:r>
              <w:fldSimple w:instr="HYPERLINK http://eur-lex.europa.eu/legal-content/LIT/TXT/?uri=CELEX:32019L0904&amp;locale=lt \t _blank">
                <w:r>
                  <w:rPr>
                    <w:u w:val="single"/>
                    <w:color w:val="0000FF" w:themeColor="hyperlink"/>
                  </w:rPr>
                  <w:t>(ES) 2019/904</w:t>
                </w:r>
              </w:fldSimple>
              <w:r>
                <w:t xml:space="preserve"> bei panaikinama Direktyva </w:t>
              </w:r>
              <w:fldSimple w:instr="HYPERLINK http://eur-lex.europa.eu/legal-content/LIT/TXT/?uri=CELEX:31994L0062&amp;locale=lt \t _blank">
                <w:r>
                  <w:rPr>
                    <w:u w:val="single"/>
                    <w:color w:val="0000FF" w:themeColor="hyperlink"/>
                  </w:rPr>
                  <w:t>94/62/EB</w:t>
                </w:r>
              </w:fldSimple>
              <w:r>
                <w:t xml:space="preserve">.  Pateikdama pasiūlymą dėl Reglamento </w:t>
              </w:r>
              <w:fldSimple w:instr="HYPERLINK http://eur-lex.europa.eu/legal-content/LIT/TXT/?uri=CELEX:32025R0040&amp;locale=lt \t _blank">
                <w:r>
                  <w:rPr>
                    <w:u w:val="single"/>
                    <w:color w:val="0000FF" w:themeColor="hyperlink"/>
                  </w:rPr>
                  <w:t>(ES) 2025/40</w:t>
                </w:r>
              </w:fldSimple>
              <w:r>
                <w:t xml:space="preserve">, Europos Komisija akcentavo pagrindinius siekius – sumažinti pakuočių ir jų atliekų kiekį, numatyti aiškius pakuočių pakartotinio naudojimo reikalavimus ir tikslus tam tikroms pakuočių kategorijoms, įtvirtinti pakuočių į perdirbimą orientuoto projektavimo kriterijus bei nustatyti perdirbtų medžiagų dalies naudojimo reikalavimus plastikinėse pakuotėse. Priėmus Reglamentą </w:t>
              </w:r>
              <w:fldSimple w:instr="HYPERLINK http://eur-lex.europa.eu/legal-content/LIT/TXT/?uri=CELEX:32025R0040&amp;locale=lt \t _blank">
                <w:r>
                  <w:rPr>
                    <w:u w:val="single"/>
                    <w:color w:val="0000FF" w:themeColor="hyperlink"/>
                  </w:rPr>
                  <w:t>(ES) 2025/40</w:t>
                </w:r>
              </w:fldSimple>
              <w:r>
                <w:t xml:space="preserve"> valstybės narės, įskaitant Lietuvą, turi pritaikyti nacionalinę teisę iki 2026 m. rugpjūčio 12 d., kad ji atitiktų Reglamente </w:t>
              </w:r>
              <w:fldSimple w:instr="HYPERLINK http://eur-lex.europa.eu/legal-content/LIT/TXT/?uri=CELEX:32025R0040&amp;locale=lt \t _blank">
                <w:r>
                  <w:rPr>
                    <w:u w:val="single"/>
                    <w:color w:val="0000FF" w:themeColor="hyperlink"/>
                  </w:rPr>
                  <w:t>(ES) 2025/40</w:t>
                </w:r>
              </w:fldSimple>
              <w:r>
                <w:t xml:space="preserve"> nustatytus reikalavimus. </w:t>
              </w:r>
            </w:p>
            <w:p>
              <w:pPr>
                <w:widowControl w:val="0"/>
                <w:spacing w:line="23" w:lineRule="atLeast"/>
                <w:ind w:firstLine="567"/>
                <w:jc w:val="both"/>
                <w:rPr>
                  <w:szCs w:val="24"/>
                </w:rPr>
              </w:pPr>
              <w:r>
                <w:rPr>
                  <w:szCs w:val="24"/>
                </w:rPr>
                <w:t>Taip pat siekiama patikslinti galiojantį teisinį reguliavimą</w:t>
              </w:r>
              <w:r>
                <w:rPr>
                  <w:szCs w:val="24"/>
                  <w:lang w:eastAsia="lt-LT"/>
                </w:rPr>
                <w:t xml:space="preserve"> d</w:t>
              </w:r>
              <w:r>
                <w:rPr>
                  <w:szCs w:val="24"/>
                </w:rPr>
                <w:t>ėl pakuočių atliekų sutvarkymą įrodančių dokumentų, gamintojų, augalų apsaugos produktų pakuočių atliekų tvarkymo, kontrolės tarybos sudėties, pašalinti praktikoje išryškėjusias taikymo problemas dėl naudojančių pakuotes savo reikmėms bei užtikrinti teisinio reguliavimo aiškumą.</w:t>
              </w:r>
            </w:p>
          </w:sdtContent>
        </w:sdt>
        <w:sdt>
          <w:sdtPr>
            <w:alias w:val="2 p."/>
            <w:tag w:val="part_aebf2b837749456f9559383fd2a5e38e"/>
            <w:lock w:val="sdtLocked"/>
            <w:richText/>
          </w:sdtPr>
          <w:sdtContent>
            <w:p>
              <w:pPr>
                <w:widowControl w:val="0"/>
                <w:spacing w:line="23" w:lineRule="atLeast"/>
                <w:ind w:firstLine="567"/>
                <w:jc w:val="both"/>
                <w:rPr>
                  <w:rFonts w:eastAsia="Andale Sans UI"/>
                  <w:b/>
                  <w:bCs/>
                  <w:lang w:bidi="en-US"/>
                </w:rPr>
              </w:pPr>
              <w:sdt>
                <w:sdtPr>
                  <w:alias w:val="Numeris"/>
                  <w:tag w:val="nr_aebf2b837749456f9559383fd2a5e38e"/>
                  <w:lock w:val="sdtLocked"/>
                  <w:richText/>
                </w:sdtPr>
                <w:sdtContent>
                  <w:r>
                    <w:rPr>
                      <w:rFonts w:eastAsia="Andale Sans UI"/>
                      <w:b/>
                      <w:bCs/>
                      <w:lang w:bidi="en-US"/>
                    </w:rPr>
                    <w:t>2</w:t>
                  </w:r>
                </w:sdtContent>
              </w:sdt>
              <w:r>
                <w:rPr>
                  <w:rFonts w:eastAsia="Andale Sans UI"/>
                  <w:b/>
                  <w:bCs/>
                  <w:lang w:bidi="en-US"/>
                </w:rPr>
                <w:t>. Projektais siūlomo teisinio reguliavimo esmė – problemos sprendimas</w:t>
              </w:r>
            </w:p>
            <w:p>
              <w:pPr>
                <w:widowControl w:val="0"/>
                <w:spacing w:line="23" w:lineRule="atLeast"/>
                <w:ind w:firstLine="567"/>
                <w:jc w:val="both"/>
                <w:rPr>
                  <w:rFonts w:eastAsia="Andale Sans UI"/>
                  <w:lang w:bidi="en-US"/>
                </w:rPr>
              </w:pPr>
              <w:r>
                <w:rPr>
                  <w:rFonts w:eastAsia="Andale Sans UI"/>
                  <w:lang w:bidi="en-US"/>
                </w:rPr>
                <w:t xml:space="preserve">Priėmus Projektais siūlomą teisinį reglamentavimą bus užtikrinta, kad nacionalinė teisė būtų suderinta su Reglamentu </w:t>
              </w:r>
              <w:fldSimple w:instr="HYPERLINK http://eur-lex.europa.eu/legal-content/LIT/TXT/?uri=CELEX:32025R0040&amp;locale=lt \t _blank">
                <w:r>
                  <w:rPr>
                    <w:rFonts w:eastAsia="Andale Sans UI"/>
                    <w:lang w:bidi="en-US"/>
                    <w:u w:val="single"/>
                    <w:color w:val="0000FF" w:themeColor="hyperlink"/>
                  </w:rPr>
                  <w:t>(ES) 2025/40</w:t>
                </w:r>
              </w:fldSimple>
              <w:r>
                <w:rPr>
                  <w:rFonts w:eastAsia="Andale Sans UI"/>
                  <w:lang w:bidi="en-US"/>
                </w:rPr>
                <w:t xml:space="preserve">, taip sukuriant sąlygas nuosekliai įgyvendinti Reglamento </w:t>
              </w:r>
              <w:fldSimple w:instr="HYPERLINK http://eur-lex.europa.eu/legal-content/LIT/TXT/?uri=CELEX:32025R0040&amp;locale=lt \t _blank">
                <w:r>
                  <w:rPr>
                    <w:rFonts w:eastAsia="Andale Sans UI"/>
                    <w:lang w:bidi="en-US"/>
                    <w:u w:val="single"/>
                    <w:color w:val="0000FF" w:themeColor="hyperlink"/>
                  </w:rPr>
                  <w:t>(ES) 2025/40</w:t>
                </w:r>
              </w:fldSimple>
              <w:r>
                <w:rPr>
                  <w:rFonts w:eastAsia="Andale Sans UI"/>
                  <w:lang w:bidi="en-US"/>
                </w:rPr>
                <w:t xml:space="preserve"> nuostatas ir tokiu būdu pasiekti Reglamente </w:t>
              </w:r>
              <w:fldSimple w:instr="HYPERLINK http://eur-lex.europa.eu/legal-content/LIT/TXT/?uri=CELEX:32025R0040&amp;locale=lt \t _blank">
                <w:r>
                  <w:rPr>
                    <w:rFonts w:eastAsia="Andale Sans UI"/>
                    <w:lang w:bidi="en-US"/>
                    <w:u w:val="single"/>
                    <w:color w:val="0000FF" w:themeColor="hyperlink"/>
                  </w:rPr>
                  <w:t>(ES) 2025/40</w:t>
                </w:r>
              </w:fldSimple>
              <w:r>
                <w:rPr>
                  <w:rFonts w:eastAsia="Andale Sans UI"/>
                  <w:lang w:bidi="en-US"/>
                </w:rPr>
                <w:t xml:space="preserve"> įtvirtintus tikslus tiek ūkio subjektams, tiek ir valstybėms narėms.</w:t>
              </w:r>
            </w:p>
            <w:p>
              <w:pPr>
                <w:widowControl w:val="0"/>
                <w:spacing w:line="23" w:lineRule="atLeast"/>
                <w:ind w:firstLine="567"/>
                <w:jc w:val="both"/>
                <w:rPr>
                  <w:szCs w:val="24"/>
                </w:rPr>
              </w:pPr>
              <w:r>
                <w:rPr>
                  <w:szCs w:val="24"/>
                </w:rPr>
                <w:t xml:space="preserve">Kartu atliekami ir su Reglamento </w:t>
              </w:r>
              <w:fldSimple w:instr="HYPERLINK http://eur-lex.europa.eu/legal-content/LIT/TXT/?uri=CELEX:32025R0040&amp;locale=lt \t _blank">
                <w:r>
                  <w:rPr>
                    <w:szCs w:val="24"/>
                    <w:u w:val="single"/>
                    <w:color w:val="0000FF" w:themeColor="hyperlink"/>
                  </w:rPr>
                  <w:t>(ES) 2025/40</w:t>
                </w:r>
              </w:fldSimple>
              <w:r>
                <w:rPr>
                  <w:szCs w:val="24"/>
                </w:rPr>
                <w:t xml:space="preserve"> įgyvendinimu tiesiogiai nesusiję pakeitimai, kuriais siekiama patikslinti galiojantį teisinį reguliavimą dėl pakuočių atliekų sutvarkymą įrodančių dokumentų, gamintojų pareigų, augalų apsaugos produktų pakuočių atliekų tvarkymo ir kontrolės tarybos sudėties, pašalinti nustatytus neaiškumus  dėl pakuotes savo reikmėms naudojančių subjektų ir užtikrinti teisinio reguliavimo aiškumą, kad teisės aktų taikymas būtų nuoseklus.</w:t>
              </w:r>
            </w:p>
            <w:p>
              <w:pPr>
                <w:widowControl w:val="0"/>
                <w:spacing w:line="23" w:lineRule="atLeast"/>
                <w:ind w:firstLine="567"/>
                <w:jc w:val="both"/>
              </w:pPr>
              <w:r>
                <w:t xml:space="preserve">Siūlomais pakeitimais Pakuočių ir pakuočių atliekų tvarkymo įstatymas (toliau  – PPATĮ) dėstomas nauja redakcija: </w:t>
              </w:r>
            </w:p>
            <w:p>
              <w:pPr>
                <w:widowControl w:val="0"/>
                <w:spacing w:line="23" w:lineRule="atLeast"/>
                <w:ind w:firstLine="567"/>
                <w:jc w:val="both"/>
              </w:pPr>
              <w:r>
                <w:t xml:space="preserve">- Dėl </w:t>
              </w:r>
              <w:r>
                <w:rPr>
                  <w:szCs w:val="24"/>
                </w:rPr>
                <w:t xml:space="preserve">Reglamento </w:t>
              </w:r>
              <w:fldSimple w:instr="HYPERLINK http://eur-lex.europa.eu/legal-content/LIT/TXT/?uri=CELEX:32025R0040&amp;locale=lt \t _blank">
                <w:r>
                  <w:rPr>
                    <w:szCs w:val="24"/>
                    <w:u w:val="single"/>
                    <w:color w:val="0000FF" w:themeColor="hyperlink"/>
                  </w:rPr>
                  <w:t>(ES) 2025/40</w:t>
                </w:r>
              </w:fldSimple>
              <w:r>
                <w:rPr>
                  <w:szCs w:val="24"/>
                </w:rPr>
                <w:t xml:space="preserve"> įgyvendinimo siūlomi tokie PPATĮ pakeitimai:</w:t>
              </w:r>
              <w:r>
                <w:t xml:space="preserve"> atsisakoma Reglamento </w:t>
              </w:r>
              <w:fldSimple w:instr="HYPERLINK http://eur-lex.europa.eu/legal-content/LIT/TXT/?uri=CELEX:32025R0040&amp;locale=lt \t _blank">
                <w:r>
                  <w:rPr>
                    <w:u w:val="single"/>
                    <w:color w:val="0000FF" w:themeColor="hyperlink"/>
                  </w:rPr>
                  <w:t>(ES) 2025/40</w:t>
                </w:r>
              </w:fldSimple>
              <w:r>
                <w:t xml:space="preserve"> sąvokų dubliavimo, įtvirtinamos kompetentingų institucijų funkcijos ir pateikiamos tematinės nuorodos į Reglamento </w:t>
              </w:r>
              <w:fldSimple w:instr="HYPERLINK http://eur-lex.europa.eu/legal-content/LIT/TXT/?uri=CELEX:32025R0040&amp;locale=lt \t _blank">
                <w:r>
                  <w:rPr>
                    <w:u w:val="single"/>
                    <w:color w:val="0000FF" w:themeColor="hyperlink"/>
                  </w:rPr>
                  <w:t>(ES) 2025/40</w:t>
                </w:r>
              </w:fldSimple>
              <w:r>
                <w:t xml:space="preserve"> nuostatas, taip pat </w:t>
              </w:r>
              <w:r>
                <w:rPr>
                  <w:szCs w:val="24"/>
                </w:rPr>
                <w:t>sistemiškai peržiūrimos ir tikslinamos galiojančios nuostatos</w:t>
              </w:r>
              <w:r>
                <w:t xml:space="preserve">, kad gamintojams ir jų organizacijoms taikomi reikalavimai būtų aiškiai išdėstyti viename teisės akte, nustatomos pagrindinės ekonominės veiklos vykdytojų pareigos dėl pakuočių atitikties, ženklinimo, pakartotinio naudojimo, pakartotinio užpildymo bei  pakuočių tiekimo rinkai ribojimų.</w:t>
              </w:r>
            </w:p>
            <w:p>
              <w:pPr>
                <w:widowControl w:val="0"/>
                <w:spacing w:line="23" w:lineRule="atLeast"/>
                <w:ind w:firstLine="567"/>
                <w:jc w:val="both"/>
              </w:pPr>
              <w:r>
                <w:t xml:space="preserve">- Dėl siekio pašalinti praktikoje išryškėjusias taikymo problemas  tikslinamos PPATĮ nuostatos: dėl pakuočių atliekų sutvarkymą įrodančių dokumentų, gamintojų, naudojančių  pakuotes savo reikmėms, augalų apsaugos produktų pakuočių atliekų tvarkymo, kontrolės tarybos sudėties.</w:t>
              </w:r>
            </w:p>
            <w:p>
              <w:pPr>
                <w:widowControl w:val="0"/>
                <w:spacing w:line="23" w:lineRule="atLeast"/>
                <w:ind w:firstLine="567"/>
                <w:jc w:val="both"/>
                <w:rPr>
                  <w:szCs w:val="24"/>
                </w:rPr>
              </w:pPr>
              <w:r>
                <w:t xml:space="preserve">Siekiant užtikrinti Reglamento </w:t>
              </w:r>
              <w:fldSimple w:instr="HYPERLINK http://eur-lex.europa.eu/legal-content/LIT/TXT/?uri=CELEX:32025R0040&amp;locale=lt \t _blank">
                <w:r>
                  <w:rPr>
                    <w:u w:val="single"/>
                    <w:color w:val="0000FF" w:themeColor="hyperlink"/>
                  </w:rPr>
                  <w:t>(ES) 2025/40</w:t>
                </w:r>
              </w:fldSimple>
              <w:r>
                <w:t xml:space="preserve"> įgyvendinimą, AAĮ projekte ir  ANK projekte nustatomos proporcingos ir atgrasančios sankcijos už pakartotinio naudojimo, pakartotinio užpildymo, perdirbamumo, perteklinių ir draudžiamų pakuočių reikalavimų pažeidimus. </w:t>
              </w:r>
            </w:p>
            <w:p>
              <w:pPr>
                <w:widowControl w:val="0"/>
                <w:spacing w:line="23" w:lineRule="atLeast"/>
                <w:ind w:firstLine="567"/>
                <w:jc w:val="both"/>
                <w:rPr>
                  <w:szCs w:val="24"/>
                </w:rPr>
              </w:pPr>
              <w:r>
                <w:rPr>
                  <w:color w:val="000000"/>
                  <w:szCs w:val="24"/>
                </w:rPr>
                <w:t xml:space="preserve">ATĮ projekte siūlomi techninio pobūdžio pakeitimai, nes jame pateikiamos nuorodos į PPATĮ nuostatas. Kadangi </w:t>
              </w:r>
              <w:r>
                <w:rPr>
                  <w:szCs w:val="24"/>
                </w:rPr>
                <w:t>PPATĮ dėstomas nauja redakcija, būtina patikslinti ATĮ esančias nuorodas į PPATĮ straipsnius.</w:t>
              </w:r>
            </w:p>
          </w:sdtContent>
        </w:sdt>
        <w:sdt>
          <w:sdtPr>
            <w:alias w:val="3 p."/>
            <w:tag w:val="part_c10a927a3f164074b2a6c8848d6ce53d"/>
            <w:lock w:val="sdtLocked"/>
            <w:richText/>
          </w:sdtPr>
          <w:sdtContent>
            <w:p>
              <w:pPr>
                <w:widowControl w:val="0"/>
                <w:spacing w:line="23" w:lineRule="atLeast"/>
                <w:ind w:firstLine="567"/>
                <w:jc w:val="both"/>
                <w:rPr>
                  <w:rFonts w:eastAsia="Andale Sans UI"/>
                  <w:b/>
                  <w:bCs/>
                  <w:lang w:bidi="en-US"/>
                </w:rPr>
              </w:pPr>
              <w:sdt>
                <w:sdtPr>
                  <w:alias w:val="Numeris"/>
                  <w:tag w:val="nr_c10a927a3f164074b2a6c8848d6ce53d"/>
                  <w:lock w:val="sdtLocked"/>
                  <w:richText/>
                </w:sdtPr>
                <w:sdtContent>
                  <w:r>
                    <w:rPr>
                      <w:rFonts w:eastAsia="Andale Sans UI"/>
                      <w:b/>
                      <w:bCs/>
                      <w:lang w:bidi="en-US"/>
                    </w:rPr>
                    <w:t>3</w:t>
                  </w:r>
                </w:sdtContent>
              </w:sdt>
              <w:r>
                <w:rPr>
                  <w:rFonts w:eastAsia="Andale Sans UI"/>
                  <w:b/>
                  <w:bCs/>
                  <w:lang w:bidi="en-US"/>
                </w:rPr>
                <w:t>. Pasiūlymų įgyvendinimo mechanizmas, kaštai ir nauda</w:t>
              </w:r>
            </w:p>
            <w:p>
              <w:pPr>
                <w:widowControl w:val="0"/>
                <w:shd w:val="clear" w:color="auto" w:fill="FFFFFF"/>
                <w:spacing w:line="23" w:lineRule="atLeast"/>
                <w:ind w:firstLine="567"/>
                <w:jc w:val="both"/>
                <w:rPr>
                  <w:szCs w:val="24"/>
                </w:rPr>
              </w:pPr>
              <w:r>
                <w:t xml:space="preserve">Priėmus Projektais siūlomus pakeitimus, bus užtikrinta, kad nacionalinė teisė būtų suderinta su Reglamento </w:t>
              </w:r>
              <w:fldSimple w:instr="HYPERLINK http://eur-lex.europa.eu/legal-content/LIT/TXT/?uri=CELEX:32025R0040&amp;locale=lt \t _blank">
                <w:r>
                  <w:rPr>
                    <w:u w:val="single"/>
                    <w:color w:val="0000FF" w:themeColor="hyperlink"/>
                  </w:rPr>
                  <w:t>(ES) 2025/40</w:t>
                </w:r>
              </w:fldSimple>
              <w:r>
                <w:t xml:space="preserve"> nuostatomis, sukuriant veiksmingą teisinę sistemą, kuri leistų nuosekliai įgyvendinti Reglamento </w:t>
              </w:r>
              <w:fldSimple w:instr="HYPERLINK http://eur-lex.europa.eu/legal-content/LIT/TXT/?uri=CELEX:32025R0040&amp;locale=lt \t _blank">
                <w:r>
                  <w:rPr>
                    <w:u w:val="single"/>
                    <w:color w:val="0000FF" w:themeColor="hyperlink"/>
                  </w:rPr>
                  <w:t>(ES) 2025/40</w:t>
                </w:r>
              </w:fldSimple>
              <w:r>
                <w:t xml:space="preserve"> reikalavimus. T</w:t>
              </w:r>
              <w:r>
                <w:rPr>
                  <w:szCs w:val="24"/>
                </w:rPr>
                <w:t xml:space="preserve">aip pat, siekiant teisinio aiškumo, patikslinamos atskiros galiojančio teisinio reguliavimo nuostatos. </w:t>
              </w:r>
            </w:p>
            <w:p>
              <w:pPr>
                <w:widowControl w:val="0"/>
                <w:shd w:val="clear" w:color="auto" w:fill="FFFFFF"/>
                <w:spacing w:line="23" w:lineRule="atLeast"/>
                <w:ind w:firstLine="567"/>
                <w:jc w:val="both"/>
              </w:pPr>
              <w:r>
                <w:t xml:space="preserve">Įgyvendinimo mechanizmas grindžiamas aiškiu atsakomybės pasiskirstymu tarp kompetentingų institucijų siekiant užtikrinti, kad kontrolė, priežiūra ir Reglamente </w:t>
              </w:r>
              <w:fldSimple w:instr="HYPERLINK http://eur-lex.europa.eu/legal-content/LIT/TXT/?uri=CELEX:32025R0040&amp;locale=lt \t _blank">
                <w:r>
                  <w:rPr>
                    <w:u w:val="single"/>
                    <w:color w:val="0000FF" w:themeColor="hyperlink"/>
                  </w:rPr>
                  <w:t>(ES) 2025/40</w:t>
                </w:r>
              </w:fldSimple>
              <w:r>
                <w:t xml:space="preserve"> numatytų reikalavimų įgyvendinimas vyktų efektyviai. </w:t>
              </w:r>
            </w:p>
            <w:p>
              <w:pPr>
                <w:ind w:firstLine="567"/>
                <w:jc w:val="both"/>
              </w:pPr>
              <w:r>
                <w:t xml:space="preserve">Efektyvus įgyvendinimas remiasi praktiniais kontrolės mechanizmais ir administracinėmis nuobaudomis, kurios turės užtikrinti, kad ekonominės veiklos vykdytojai laikytųsi Reglamente </w:t>
              </w:r>
              <w:fldSimple w:instr="HYPERLINK http://eur-lex.europa.eu/legal-content/LIT/TXT/?uri=CELEX:32025R0040&amp;locale=lt \t _blank">
                <w:r>
                  <w:rPr>
                    <w:u w:val="single"/>
                    <w:color w:val="0000FF" w:themeColor="hyperlink"/>
                  </w:rPr>
                  <w:t>(ES) 2025/40</w:t>
                </w:r>
              </w:fldSimple>
              <w:r>
                <w:t xml:space="preserve"> nustatytų reikalavimų. Dauguma kompetentingų institucijų funkcijų jau vykdomos pagal galiojantį nacionalinį teisinį reguliavimą, todėl papildomų valstybės biudžeto išlaidų nenumatoma arba jos bus minimalios ir daugiausia susijusios su informacinių sistemų pritaikymu ir duomenų teikimo procesų atnaujinimu.</w:t>
              </w:r>
            </w:p>
            <w:p>
              <w:pPr>
                <w:ind w:firstLine="567"/>
                <w:jc w:val="both"/>
              </w:pPr>
              <w:r>
                <w:t xml:space="preserve">Projektais siūlomi pakeitimai ne tik užtikrins nacionalinių teisės aktų suderinamumą su Reglamento </w:t>
              </w:r>
              <w:fldSimple w:instr="HYPERLINK http://eur-lex.europa.eu/legal-content/LIT/TXT/?uri=CELEX:32025R0040&amp;locale=lt \t _blank">
                <w:r>
                  <w:rPr>
                    <w:u w:val="single"/>
                    <w:color w:val="0000FF" w:themeColor="hyperlink"/>
                  </w:rPr>
                  <w:t>(ES) 2025/40</w:t>
                </w:r>
              </w:fldSimple>
              <w:r>
                <w:t xml:space="preserve"> nuostatomis, bet ir skatins ilgalaikę naudą tiek nacionaliniu, tiek Europos Sąjungos mastu. Tikimasi, kad tai padės sumažinti atliekų kiekį, skatins perdirbamų ir daugkartinių pakuočių naudojimą, stiprins žiedinės ekonomikos plėtrą ir mažins aplinkos taršą. Be to, vienodi reikalavimai visoje ES rinkoje sudarys sąlygas sąžiningai konkurencijai tarp gamintojų.</w:t>
              </w:r>
            </w:p>
            <w:p>
              <w:pPr>
                <w:widowControl w:val="0"/>
                <w:shd w:val="clear" w:color="auto" w:fill="FFFFFF"/>
                <w:spacing w:line="23" w:lineRule="atLeast"/>
                <w:ind w:firstLine="567"/>
                <w:jc w:val="both"/>
                <w:rPr>
                  <w:strike/>
                </w:rPr>
              </w:pPr>
              <w:r>
                <w:t xml:space="preserve">Taigi, įgyvendinant siūlomus pakeitimus, sukuriama sisteminė, nuosekli ir veiksminga teisinė bazė, leidžianti ne tik užtikrinti Reglamento </w:t>
              </w:r>
              <w:fldSimple w:instr="HYPERLINK http://eur-lex.europa.eu/legal-content/LIT/TXT/?uri=CELEX:32025R0040&amp;locale=lt \t _blank">
                <w:r>
                  <w:rPr>
                    <w:u w:val="single"/>
                    <w:color w:val="0000FF" w:themeColor="hyperlink"/>
                  </w:rPr>
                  <w:t>(ES) 2025/40</w:t>
                </w:r>
              </w:fldSimple>
              <w:r>
                <w:t xml:space="preserve"> reikalavimų įgyvendinimą, bet ir prisidedanti prie Reglamente </w:t>
              </w:r>
              <w:fldSimple w:instr="HYPERLINK http://eur-lex.europa.eu/legal-content/LIT/TXT/?uri=CELEX:32025R0040&amp;locale=lt \t _blank">
                <w:r>
                  <w:rPr>
                    <w:u w:val="single"/>
                    <w:color w:val="0000FF" w:themeColor="hyperlink"/>
                  </w:rPr>
                  <w:t>(ES) 2025/40</w:t>
                </w:r>
              </w:fldSimple>
              <w:r>
                <w:t xml:space="preserve"> numatytų tikslų pasiekimo. </w:t>
              </w:r>
            </w:p>
          </w:sdtContent>
        </w:sdt>
        <w:sdt>
          <w:sdtPr>
            <w:alias w:val="4 p."/>
            <w:tag w:val="part_d22f8bb1afa24b5293f022e4286d2c17"/>
            <w:lock w:val="sdtLocked"/>
            <w:richText/>
          </w:sdtPr>
          <w:sdtContent>
            <w:p>
              <w:pPr>
                <w:widowControl w:val="0"/>
                <w:spacing w:line="23" w:lineRule="atLeast"/>
                <w:ind w:firstLine="567"/>
                <w:textAlignment w:val="center"/>
                <w:rPr>
                  <w:rFonts w:eastAsia="Andale Sans UI"/>
                  <w:b/>
                  <w:bCs/>
                  <w:lang w:bidi="en-US"/>
                </w:rPr>
              </w:pPr>
              <w:sdt>
                <w:sdtPr>
                  <w:alias w:val="Numeris"/>
                  <w:tag w:val="nr_d22f8bb1afa24b5293f022e4286d2c17"/>
                  <w:lock w:val="sdtLocked"/>
                  <w:richText/>
                </w:sdtPr>
                <w:sdtContent>
                  <w:r>
                    <w:rPr>
                      <w:rFonts w:eastAsia="Andale Sans UI"/>
                      <w:b/>
                      <w:bCs/>
                      <w:lang w:bidi="en-US"/>
                    </w:rPr>
                    <w:t>4</w:t>
                  </w:r>
                </w:sdtContent>
              </w:sdt>
              <w:r>
                <w:rPr>
                  <w:rFonts w:eastAsia="Andale Sans UI"/>
                  <w:b/>
                  <w:bCs/>
                  <w:lang w:bidi="en-US"/>
                </w:rPr>
                <w:t>. Rodikliai, kurie bus stebimi</w:t>
              </w:r>
            </w:p>
            <w:p>
              <w:pPr>
                <w:widowControl w:val="0"/>
                <w:spacing w:line="23" w:lineRule="atLeast"/>
                <w:ind w:firstLine="567"/>
                <w:jc w:val="both"/>
                <w:rPr>
                  <w:rFonts w:eastAsia="Andale Sans UI"/>
                  <w:lang w:bidi="en-US"/>
                </w:rPr>
              </w:pPr>
              <w:r>
                <w:rPr>
                  <w:rFonts w:eastAsia="Andale Sans UI"/>
                  <w:lang w:bidi="en-US"/>
                </w:rPr>
                <w:t>Stebėjimo rodikliai nenumatomi.</w:t>
              </w:r>
            </w:p>
          </w:sdtContent>
        </w:sdt>
        <w:sdt>
          <w:sdtPr>
            <w:alias w:val="5 p."/>
            <w:tag w:val="part_2c913948e6af421cb20c964e24367f96"/>
            <w:lock w:val="sdtLocked"/>
            <w:richText/>
          </w:sdtPr>
          <w:sdtContent>
            <w:p>
              <w:pPr>
                <w:widowControl w:val="0"/>
                <w:spacing w:line="23" w:lineRule="atLeast"/>
                <w:ind w:firstLine="567"/>
                <w:jc w:val="both"/>
                <w:rPr>
                  <w:lang w:eastAsia="lt-LT" w:bidi="en-US"/>
                </w:rPr>
              </w:pPr>
              <w:sdt>
                <w:sdtPr>
                  <w:alias w:val="Numeris"/>
                  <w:tag w:val="nr_2c913948e6af421cb20c964e24367f96"/>
                  <w:lock w:val="sdtLocked"/>
                  <w:richText/>
                </w:sdtPr>
                <w:sdtContent>
                  <w:r>
                    <w:rPr>
                      <w:b/>
                      <w:bCs/>
                      <w:lang w:eastAsia="lt-LT" w:bidi="en-US"/>
                    </w:rPr>
                    <w:t>5</w:t>
                  </w:r>
                </w:sdtContent>
              </w:sdt>
              <w:r>
                <w:rPr>
                  <w:b/>
                  <w:bCs/>
                  <w:lang w:eastAsia="lt-LT" w:bidi="en-US"/>
                </w:rPr>
                <w:t>. Lietuvos Respublikos Vyriausybės programos</w:t>
              </w:r>
              <w:r>
                <w:rPr>
                  <w:b/>
                  <w:bCs/>
                  <w:vertAlign w:val="superscript"/>
                  <w:lang w:eastAsia="lt-LT" w:bidi="en-US"/>
                </w:rPr>
                <w:footnoteReference w:id="2"/>
              </w:r>
              <w:r>
                <w:rPr>
                  <w:b/>
                  <w:bCs/>
                  <w:lang w:eastAsia="lt-LT" w:bidi="en-US"/>
                </w:rPr>
                <w:t xml:space="preserve"> nuostatų įgyvendinimas </w:t>
              </w:r>
              <w:r>
                <w:rPr>
                  <w:lang w:eastAsia="lt-LT" w:bidi="en-US"/>
                </w:rPr>
                <w:t>(pažymimas tinkamas variantas)</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Projektais įgyvendinamos šios Lietuvos Respublikos Vyriausybės programos nuostatos: (</w:t>
              </w:r>
              <w:r>
                <w:rPr>
                  <w:rFonts w:eastAsia="Andale Sans UI"/>
                  <w:i/>
                  <w:iCs/>
                  <w:lang w:bidi="en-US"/>
                </w:rPr>
                <w:t>nurodomos programos nuostatos ir punktas ar papunktis, kuriame jos nurodytos</w:t>
              </w:r>
              <w:r>
                <w:rPr>
                  <w:rFonts w:eastAsia="Andale Sans UI"/>
                  <w:lang w:bidi="en-US"/>
                </w:rPr>
                <w:t>).</w:t>
              </w:r>
            </w:p>
            <w:p>
              <w:pPr>
                <w:widowControl w:val="0"/>
                <w:spacing w:line="23" w:lineRule="atLeast"/>
                <w:ind w:firstLine="567"/>
                <w:jc w:val="both"/>
                <w:rPr>
                  <w:rFonts w:eastAsia="Andale Sans UI"/>
                  <w:lang w:bidi="en-US"/>
                </w:rPr>
              </w:pPr>
              <w:r>
                <w:rPr>
                  <w:rFonts w:ascii="MS Gothic" w:eastAsia="MS Gothic" w:hAnsi="MS Gothic"/>
                  <w:lang w:bidi="en-US"/>
                </w:rPr>
                <w:t>☒</w:t>
              </w:r>
              <w:r>
                <w:rPr>
                  <w:rFonts w:eastAsia="Andale Sans UI"/>
                  <w:lang w:bidi="en-US"/>
                </w:rPr>
                <w:t xml:space="preserve"> Projektai neprieštarauja  Dvidešimtosios Lietuvos Respublikos Vyriausybės programai.</w:t>
              </w:r>
            </w:p>
          </w:sdtContent>
        </w:sdt>
        <w:sdt>
          <w:sdtPr>
            <w:alias w:val="6 p."/>
            <w:tag w:val="part_52260830b2d843519c78d5b34093fcb0"/>
            <w:lock w:val="sdtLocked"/>
            <w:richText/>
          </w:sdtPr>
          <w:sdtContent>
            <w:p>
              <w:pPr>
                <w:widowControl w:val="0"/>
                <w:spacing w:line="23" w:lineRule="atLeast"/>
                <w:ind w:firstLine="567"/>
                <w:jc w:val="both"/>
                <w:rPr>
                  <w:lang w:eastAsia="lt-LT" w:bidi="en-US"/>
                </w:rPr>
              </w:pPr>
              <w:sdt>
                <w:sdtPr>
                  <w:alias w:val="Numeris"/>
                  <w:tag w:val="nr_52260830b2d843519c78d5b34093fcb0"/>
                  <w:lock w:val="sdtLocked"/>
                  <w:richText/>
                </w:sdtPr>
                <w:sdtContent>
                  <w:r>
                    <w:rPr>
                      <w:b/>
                      <w:bCs/>
                      <w:lang w:eastAsia="lt-LT" w:bidi="en-US"/>
                    </w:rPr>
                    <w:t>6</w:t>
                  </w:r>
                </w:sdtContent>
              </w:sdt>
              <w:r>
                <w:rPr>
                  <w:b/>
                  <w:bCs/>
                  <w:lang w:eastAsia="lt-LT" w:bidi="en-US"/>
                </w:rPr>
                <w:t xml:space="preserve">. Europos Sąjungos teisės aktų perkėlimas ir (ar) įgyvendinimas </w:t>
              </w:r>
              <w:r>
                <w:rPr>
                  <w:lang w:eastAsia="lt-LT" w:bidi="en-US"/>
                </w:rPr>
                <w:t>(pažymimas tinkamas variantas)</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Projektais neperkeliamos ir neįgyvendinamos Europos Sąjungos teisės aktų nuostatos.</w:t>
              </w:r>
            </w:p>
            <w:p>
              <w:pPr>
                <w:widowControl w:val="0"/>
                <w:spacing w:line="23" w:lineRule="atLeast"/>
                <w:ind w:firstLine="567"/>
                <w:jc w:val="both"/>
              </w:pPr>
              <w:r>
                <w:rPr>
                  <w:rFonts w:ascii="MS Gothic" w:eastAsia="MS Gothic" w:hAnsi="MS Gothic"/>
                  <w:lang w:bidi="en-US"/>
                </w:rPr>
                <w:t>☒</w:t>
              </w:r>
              <w:r>
                <w:rPr>
                  <w:rFonts w:eastAsia="Andale Sans UI"/>
                  <w:lang w:bidi="en-US"/>
                </w:rPr>
                <w:t xml:space="preserve"> </w:t>
              </w:r>
              <w:r>
                <w:t xml:space="preserve">Projektais įgyvendinamos šios Europos Sąjungos teisės aktų nuostatos: Reglamento </w:t>
              </w:r>
              <w:fldSimple w:instr="HYPERLINK http://eur-lex.europa.eu/legal-content/LIT/TXT/?uri=CELEX:32025R0040&amp;locale=lt \t _blank">
                <w:r>
                  <w:rPr>
                    <w:u w:val="single"/>
                    <w:color w:val="0000FF" w:themeColor="hyperlink"/>
                  </w:rPr>
                  <w:t>(ES) 2025/40</w:t>
                </w:r>
              </w:fldSimple>
              <w:r>
                <w:t xml:space="preserve"> 3, 6, 7, 9, 10-12, 15-30, 32, 33, 45, 60, 62 straipsniai. Projektai yra įtraukti į įgyvendinamo Europos Sąjungos teisės akto perkėlimo ir įgyvendinimo planą Lietuvos narystės Europos Sąjungoje informacinėje sistemoje (LINESIS), į kurią įkelta  atitikties lentelė</w:t>
              </w:r>
              <w:r>
                <w:rPr>
                  <w:vertAlign w:val="superscript"/>
                </w:rPr>
                <w:footnoteReference w:id="3"/>
              </w:r>
              <w:r>
                <w:t xml:space="preserve">. Siekiant užtikrinti  susijusių Europos Sąjungos teisės aktų perkėlimą ir (ar) įgyvendinimą, reikės priimti  Lietuvos Respublikos aplinkos ministro 2002 m.  birželio 27 d. įsakymo Nr. 348 „Dėl Pakuočių ir pakuočių atliekų tvarkymo taisyklių patvirtinimo“ pakeitimo projektą, </w:t>
              </w:r>
              <w:r>
                <w:rPr>
                  <w:lang w:eastAsia="lt-LT"/>
                </w:rPr>
                <w:t xml:space="preserve"> Lietuvos Respublikos aplinkos ministro </w:t>
              </w:r>
              <w:r>
                <w:rPr>
                  <w:szCs w:val="24"/>
                </w:rPr>
                <w:t xml:space="preserve">2013 m. gegužės 20 d. įsakymo Nr. D1-359 </w:t>
              </w:r>
              <w:r>
                <w:t>„G</w:t>
              </w:r>
              <w:r>
                <w:rPr>
                  <w:szCs w:val="24"/>
                </w:rPr>
                <w:t>aminių ir (ar) pakuočių atliekų sutvarkymą įrodančių dokumentų išrašymo tvarkos aprašą</w:t>
              </w:r>
              <w:r>
                <w:t>“ pakeitimo projektą;</w:t>
              </w:r>
            </w:p>
          </w:sdtContent>
        </w:sdt>
        <w:sdt>
          <w:sdtPr>
            <w:alias w:val="7 p."/>
            <w:tag w:val="part_85fea99b5ca346d49d2ca895ba6979f3"/>
            <w:lock w:val="sdtLocked"/>
            <w:richText/>
          </w:sdtPr>
          <w:sdtContent>
            <w:p>
              <w:pPr>
                <w:widowControl w:val="0"/>
                <w:spacing w:line="23" w:lineRule="atLeast"/>
                <w:ind w:firstLine="567"/>
                <w:jc w:val="both"/>
                <w:rPr>
                  <w:lang w:eastAsia="lt-LT" w:bidi="en-US"/>
                </w:rPr>
              </w:pPr>
              <w:sdt>
                <w:sdtPr>
                  <w:alias w:val="Numeris"/>
                  <w:tag w:val="nr_85fea99b5ca346d49d2ca895ba6979f3"/>
                  <w:lock w:val="sdtLocked"/>
                  <w:richText/>
                </w:sdtPr>
                <w:sdtContent>
                  <w:r>
                    <w:rPr>
                      <w:rFonts w:eastAsia="Andale Sans UI"/>
                      <w:b/>
                      <w:bCs/>
                      <w:lang w:bidi="en-US"/>
                    </w:rPr>
                    <w:t>7</w:t>
                  </w:r>
                </w:sdtContent>
              </w:sdt>
              <w:r>
                <w:rPr>
                  <w:rFonts w:eastAsia="Andale Sans UI"/>
                  <w:b/>
                  <w:bCs/>
                  <w:lang w:bidi="en-US"/>
                </w:rPr>
                <w:t>. Notifikavimas</w:t>
              </w:r>
              <w:r>
                <w:rPr>
                  <w:rFonts w:eastAsia="Andale Sans UI"/>
                  <w:b/>
                  <w:bCs/>
                  <w:vertAlign w:val="superscript"/>
                  <w:lang w:bidi="en-US"/>
                </w:rPr>
                <w:footnoteReference w:id="4"/>
              </w:r>
              <w:r>
                <w:rPr>
                  <w:rFonts w:eastAsia="Andale Sans UI"/>
                  <w:b/>
                  <w:bCs/>
                  <w:lang w:bidi="en-US"/>
                </w:rPr>
                <w:t xml:space="preserve"> Europos Komisijai </w:t>
              </w:r>
              <w:r>
                <w:rPr>
                  <w:lang w:eastAsia="lt-LT" w:bidi="en-US"/>
                </w:rPr>
                <w:t>(pažymimas tinkamas variantas)</w:t>
              </w:r>
            </w:p>
            <w:p>
              <w:pPr>
                <w:widowControl w:val="0"/>
                <w:spacing w:line="23" w:lineRule="atLeast"/>
                <w:ind w:firstLine="567"/>
                <w:jc w:val="both"/>
                <w:rPr>
                  <w:rFonts w:eastAsia="Andale Sans UI"/>
                  <w:lang w:bidi="en-US"/>
                </w:rPr>
              </w:pPr>
              <w:r>
                <w:rPr>
                  <w:rFonts w:ascii="MS Gothic" w:eastAsia="MS Gothic" w:hAnsi="MS Gothic"/>
                  <w:lang w:bidi="en-US"/>
                </w:rPr>
                <w:t>☒</w:t>
              </w:r>
              <w:r>
                <w:rPr>
                  <w:rFonts w:eastAsia="Andale Sans UI"/>
                  <w:lang w:bidi="en-US"/>
                </w:rPr>
                <w:t xml:space="preserve"> Projektai nenotifikuotini Europos Komisijai.</w:t>
              </w:r>
            </w:p>
            <w:p>
              <w:pPr>
                <w:widowControl w:val="0"/>
                <w:spacing w:line="23" w:lineRule="atLeast"/>
                <w:ind w:firstLine="567"/>
                <w:jc w:val="both"/>
                <w:rPr>
                  <w:rFonts w:eastAsia="Andale Sans UI"/>
                  <w:lang w:bidi="en-US"/>
                </w:rPr>
              </w:pPr>
              <w:r>
                <w:rPr>
                  <w:rFonts w:ascii="MS Gothic" w:eastAsia="MS Gothic" w:hAnsi="MS Gothic"/>
                  <w:lang w:bidi="en-US"/>
                </w:rPr>
                <w:t>☐</w:t>
              </w:r>
              <w:r>
                <w:rPr>
                  <w:rFonts w:eastAsia="Andale Sans UI"/>
                  <w:lang w:bidi="en-US"/>
                </w:rPr>
                <w:t xml:space="preserve"> Projektai notifikuotini Europos Komisijai (</w:t>
              </w:r>
              <w:r>
                <w:rPr>
                  <w:rFonts w:eastAsia="Andale Sans UI"/>
                  <w:i/>
                  <w:iCs/>
                  <w:lang w:bidi="en-US"/>
                </w:rPr>
                <w:t>nurodoma data</w:t>
              </w:r>
              <w:r>
                <w:rPr>
                  <w:rFonts w:eastAsia="Andale Sans UI"/>
                  <w:lang w:bidi="en-US"/>
                </w:rPr>
                <w:t xml:space="preserve">).  </w:t>
              </w:r>
            </w:p>
          </w:sdtContent>
        </w:sdt>
        <w:sdt>
          <w:sdtPr>
            <w:alias w:val="8 p."/>
            <w:tag w:val="part_f8a2d029004146f692316eb19085c42d"/>
            <w:lock w:val="sdtLocked"/>
            <w:richText/>
          </w:sdtPr>
          <w:sdtContent>
            <w:p>
              <w:pPr>
                <w:widowControl w:val="0"/>
                <w:spacing w:line="23" w:lineRule="atLeast"/>
                <w:ind w:firstLine="567"/>
                <w:jc w:val="both"/>
                <w:rPr>
                  <w:color w:val="000000"/>
                  <w:lang w:eastAsia="lt-LT" w:bidi="en-US"/>
                </w:rPr>
              </w:pPr>
              <w:sdt>
                <w:sdtPr>
                  <w:alias w:val="Numeris"/>
                  <w:tag w:val="nr_f8a2d029004146f692316eb19085c42d"/>
                  <w:lock w:val="sdtLocked"/>
                  <w:richText/>
                </w:sdtPr>
                <w:sdtContent>
                  <w:r>
                    <w:rPr>
                      <w:rFonts w:eastAsia="Andale Sans UI"/>
                      <w:b/>
                      <w:bCs/>
                      <w:lang w:bidi="en-US"/>
                    </w:rPr>
                    <w:t>8</w:t>
                  </w:r>
                </w:sdtContent>
              </w:sdt>
              <w:r>
                <w:rPr>
                  <w:rFonts w:eastAsia="Andale Sans UI"/>
                  <w:b/>
                  <w:bCs/>
                  <w:lang w:bidi="en-US"/>
                </w:rPr>
                <w:t xml:space="preserve">. </w:t>
              </w:r>
              <w:r>
                <w:rPr>
                  <w:b/>
                  <w:bCs/>
                  <w:color w:val="000000"/>
                  <w:lang w:eastAsia="lt-LT" w:bidi="en-US"/>
                </w:rPr>
                <w:t>Pranešimo Europos Komisijai teikimas</w:t>
              </w:r>
              <w:r>
                <w:rPr>
                  <w:b/>
                  <w:bCs/>
                  <w:color w:val="000000"/>
                  <w:vertAlign w:val="superscript"/>
                  <w:lang w:eastAsia="lt-LT" w:bidi="en-US"/>
                </w:rPr>
                <w:footnoteReference w:id="5"/>
              </w:r>
              <w:r>
                <w:rPr>
                  <w:color w:val="000000"/>
                  <w:lang w:eastAsia="lt-LT" w:bidi="en-US"/>
                </w:rPr>
                <w:t xml:space="preserve"> (</w:t>
              </w:r>
              <w:r>
                <w:rPr>
                  <w:lang w:eastAsia="lt-LT" w:bidi="en-US"/>
                </w:rPr>
                <w:t>pažymimas tinkamas variantas)</w:t>
              </w:r>
            </w:p>
            <w:p>
              <w:pPr>
                <w:widowControl w:val="0"/>
                <w:spacing w:line="23" w:lineRule="atLeast"/>
                <w:ind w:firstLine="567"/>
                <w:jc w:val="both"/>
                <w:rPr>
                  <w:color w:val="000000"/>
                  <w:lang w:eastAsia="lt-LT" w:bidi="en-US"/>
                </w:rPr>
              </w:pPr>
              <w:r>
                <w:rPr>
                  <w:rFonts w:ascii="MS Gothic" w:eastAsia="MS Gothic" w:hAnsi="MS Gothic"/>
                  <w:lang w:bidi="en-US"/>
                </w:rPr>
                <w:t>☐</w:t>
              </w:r>
              <w:r>
                <w:rPr>
                  <w:rFonts w:eastAsia="Andale Sans UI"/>
                  <w:lang w:bidi="en-US"/>
                </w:rPr>
                <w:t xml:space="preserve"> P</w:t>
              </w:r>
              <w:r>
                <w:rPr>
                  <w:color w:val="000000"/>
                  <w:lang w:eastAsia="lt-LT" w:bidi="en-US"/>
                </w:rPr>
                <w:t>ranešimas Europos Komisijai teiktinas.</w:t>
              </w:r>
            </w:p>
            <w:p>
              <w:pPr>
                <w:widowControl w:val="0"/>
                <w:spacing w:line="23" w:lineRule="atLeast"/>
                <w:ind w:firstLine="567"/>
                <w:jc w:val="both"/>
                <w:rPr>
                  <w:color w:val="000000"/>
                  <w:lang w:eastAsia="lt-LT" w:bidi="en-US"/>
                </w:rPr>
              </w:pPr>
              <w:r>
                <w:rPr>
                  <w:rFonts w:ascii="MS Gothic" w:eastAsia="MS Gothic" w:hAnsi="MS Gothic"/>
                  <w:lang w:bidi="en-US"/>
                </w:rPr>
                <w:t>☒</w:t>
              </w:r>
              <w:r>
                <w:rPr>
                  <w:rFonts w:eastAsia="Andale Sans UI"/>
                  <w:lang w:bidi="en-US"/>
                </w:rPr>
                <w:t xml:space="preserve"> P</w:t>
              </w:r>
              <w:r>
                <w:rPr>
                  <w:color w:val="000000"/>
                  <w:lang w:eastAsia="lt-LT" w:bidi="en-US"/>
                </w:rPr>
                <w:t>ranešimas Europos Komisijai neteiktinas.</w:t>
              </w:r>
            </w:p>
          </w:sdtContent>
        </w:sdt>
        <w:sdt>
          <w:sdtPr>
            <w:alias w:val="9 p."/>
            <w:tag w:val="part_bb9478f447d64b59a0cf484698b065f5"/>
            <w:lock w:val="sdtLocked"/>
            <w:richText/>
          </w:sdtPr>
          <w:sdtContent>
            <w:p>
              <w:pPr>
                <w:widowControl w:val="0"/>
                <w:spacing w:line="23" w:lineRule="atLeast"/>
                <w:ind w:firstLine="567"/>
                <w:jc w:val="both"/>
                <w:rPr>
                  <w:rFonts w:eastAsia="Andale Sans UI"/>
                  <w:b/>
                  <w:bCs/>
                  <w:lang w:bidi="en-US"/>
                </w:rPr>
              </w:pPr>
              <w:sdt>
                <w:sdtPr>
                  <w:alias w:val="Numeris"/>
                  <w:tag w:val="nr_bb9478f447d64b59a0cf484698b065f5"/>
                  <w:lock w:val="sdtLocked"/>
                  <w:richText/>
                </w:sdtPr>
                <w:sdtContent>
                  <w:r>
                    <w:rPr>
                      <w:rFonts w:eastAsia="Andale Sans UI"/>
                      <w:b/>
                      <w:bCs/>
                      <w:lang w:bidi="en-US"/>
                    </w:rPr>
                    <w:t>9</w:t>
                  </w:r>
                </w:sdtContent>
              </w:sdt>
              <w:r>
                <w:rPr>
                  <w:rFonts w:eastAsia="Andale Sans UI"/>
                  <w:b/>
                  <w:bCs/>
                  <w:lang w:bidi="en-US"/>
                </w:rPr>
                <w:t>. Numatomo teisinio reguliavimo poveikio vertinimas</w:t>
              </w:r>
              <w:r>
                <w:rPr>
                  <w:rFonts w:eastAsia="Andale Sans UI"/>
                  <w:b/>
                  <w:bCs/>
                  <w:vertAlign w:val="superscript"/>
                  <w:lang w:bidi="en-US"/>
                </w:rPr>
                <w:footnoteReference w:id="6"/>
              </w:r>
              <w:r>
                <w:rPr>
                  <w:rFonts w:eastAsia="Andale Sans UI"/>
                  <w:b/>
                  <w:bCs/>
                  <w:lang w:bidi="en-US"/>
                </w:rPr>
                <w:t xml:space="preserve"> </w:t>
              </w:r>
              <w:r>
                <w:rPr>
                  <w:lang w:eastAsia="lt-LT" w:bidi="en-US"/>
                </w:rPr>
                <w:t>(pažymimas tinkamas variantas)</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Atliktas Projekto numatomo teisinio reguliavimo poveikio vertinimas </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Projekto numatomo teisinio reguliavimo poveikio vertinimas neatliekamas.</w:t>
              </w:r>
            </w:p>
            <w:p>
              <w:pPr>
                <w:widowControl w:val="0"/>
                <w:spacing w:line="23" w:lineRule="atLeast"/>
                <w:ind w:firstLine="567"/>
                <w:jc w:val="both"/>
                <w:rPr>
                  <w:rFonts w:eastAsia="Andale Sans UI"/>
                  <w:color w:val="000000"/>
                  <w:lang w:bidi="en-US"/>
                </w:rPr>
              </w:pPr>
              <w:r>
                <w:rPr>
                  <w:rFonts w:ascii="MS Gothic" w:eastAsia="MS Gothic" w:hAnsi="MS Gothic"/>
                  <w:lang w:bidi="en-US"/>
                </w:rPr>
                <w:t>☒</w:t>
              </w:r>
              <w:r>
                <w:rPr>
                  <w:rFonts w:eastAsia="Andale Sans UI"/>
                  <w:lang w:bidi="en-US"/>
                </w:rPr>
                <w:t xml:space="preserve"> </w:t>
              </w:r>
              <w:r>
                <w:rPr>
                  <w:rFonts w:eastAsia="Andale Sans UI"/>
                  <w:color w:val="000000"/>
                  <w:lang w:bidi="en-US"/>
                </w:rPr>
                <w:t>Ši informacija nurodoma aiškinamajame rašte.</w:t>
              </w:r>
            </w:p>
          </w:sdtContent>
        </w:sdt>
        <w:sdt>
          <w:sdtPr>
            <w:alias w:val="10 p."/>
            <w:tag w:val="part_cabe8659f36d491682d4b73fef3d201f"/>
            <w:lock w:val="sdtLocked"/>
            <w:richText/>
          </w:sdtPr>
          <w:sdtContent>
            <w:p>
              <w:pPr>
                <w:widowControl w:val="0"/>
                <w:spacing w:line="23" w:lineRule="atLeast"/>
                <w:ind w:firstLine="567"/>
                <w:jc w:val="both"/>
                <w:rPr>
                  <w:rFonts w:eastAsia="Andale Sans UI"/>
                  <w:b/>
                  <w:bCs/>
                  <w:lang w:bidi="en-US"/>
                </w:rPr>
              </w:pPr>
              <w:sdt>
                <w:sdtPr>
                  <w:alias w:val="Numeris"/>
                  <w:tag w:val="nr_cabe8659f36d491682d4b73fef3d201f"/>
                  <w:lock w:val="sdtLocked"/>
                  <w:richText/>
                </w:sdtPr>
                <w:sdtContent>
                  <w:r>
                    <w:rPr>
                      <w:rFonts w:eastAsia="Andale Sans UI"/>
                      <w:b/>
                      <w:bCs/>
                      <w:lang w:bidi="en-US"/>
                    </w:rPr>
                    <w:t>10</w:t>
                  </w:r>
                </w:sdtContent>
              </w:sdt>
              <w:r>
                <w:rPr>
                  <w:rFonts w:eastAsia="Andale Sans UI"/>
                  <w:b/>
                  <w:bCs/>
                  <w:lang w:bidi="en-US"/>
                </w:rPr>
                <w:t xml:space="preserve">. Teisės aktai, kuriuos reikės priimti, pakeisti arba pripažinti netekusiais galios </w:t>
              </w:r>
              <w:r>
                <w:rPr>
                  <w:lang w:eastAsia="lt-LT" w:bidi="en-US"/>
                </w:rPr>
                <w:t>(pažymimas tinkamas variantas)</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Projektams įtraukti į teisės sistemą kitų teisės aktų priimti nereikės.</w:t>
              </w:r>
            </w:p>
            <w:p>
              <w:pPr>
                <w:widowControl w:val="0"/>
                <w:spacing w:line="23" w:lineRule="atLeast"/>
                <w:ind w:firstLine="567"/>
                <w:jc w:val="both"/>
                <w:rPr>
                  <w:rFonts w:eastAsia="Andale Sans UI"/>
                  <w:i/>
                  <w:iCs/>
                  <w:lang w:bidi="en-US"/>
                </w:rPr>
              </w:pPr>
              <w:r>
                <w:rPr>
                  <w:rFonts w:ascii="Segoe UI Symbol" w:eastAsia="MS Gothic" w:hAnsi="Segoe UI Symbol" w:cs="Segoe UI Symbol"/>
                  <w:lang w:bidi="en-US"/>
                </w:rPr>
                <w:t>☐</w:t>
              </w:r>
              <w:r>
                <w:rPr>
                  <w:rFonts w:eastAsia="Andale Sans UI"/>
                  <w:lang w:bidi="en-US"/>
                </w:rPr>
                <w:t xml:space="preserve"> Projektams įtraukti į teisės sistemą reikės priimti šiuos teisės aktus: (</w:t>
              </w:r>
              <w:r>
                <w:rPr>
                  <w:rFonts w:eastAsia="Andale Sans UI"/>
                  <w:i/>
                  <w:iCs/>
                  <w:lang w:bidi="en-US"/>
                </w:rPr>
                <w:t>išvardijama</w:t>
              </w:r>
              <w:r>
                <w:rPr>
                  <w:rFonts w:eastAsia="Andale Sans UI"/>
                  <w:lang w:bidi="en-US"/>
                </w:rPr>
                <w:t>)</w:t>
              </w:r>
              <w:r>
                <w:rPr>
                  <w:rFonts w:eastAsia="Andale Sans UI"/>
                  <w:i/>
                  <w:iCs/>
                  <w:lang w:bidi="en-US"/>
                </w:rPr>
                <w:t>.</w:t>
              </w:r>
            </w:p>
            <w:p>
              <w:pPr>
                <w:widowControl w:val="0"/>
                <w:spacing w:line="23" w:lineRule="atLeast"/>
                <w:ind w:firstLine="567"/>
                <w:jc w:val="both"/>
                <w:rPr>
                  <w:rFonts w:eastAsia="Andale Sans UI"/>
                  <w:color w:val="000000"/>
                  <w:lang w:bidi="en-US"/>
                </w:rPr>
              </w:pPr>
              <w:r>
                <w:rPr>
                  <w:rFonts w:ascii="MS Gothic" w:eastAsia="MS Gothic" w:hAnsi="MS Gothic" w:cs="MS Gothic"/>
                  <w:lang w:bidi="en-US"/>
                </w:rPr>
                <w:t>☒</w:t>
              </w:r>
              <w:r>
                <w:rPr>
                  <w:color w:val="000000"/>
                  <w:lang w:eastAsia="lt-LT" w:bidi="en-US"/>
                </w:rPr>
                <w:t xml:space="preserve"> </w:t>
              </w:r>
              <w:r>
                <w:rPr>
                  <w:rFonts w:eastAsia="Andale Sans UI"/>
                  <w:color w:val="000000"/>
                  <w:lang w:bidi="en-US"/>
                </w:rPr>
                <w:t>Ši informacija nurodoma aiškinamajame rašte.</w:t>
              </w:r>
            </w:p>
          </w:sdtContent>
        </w:sdt>
        <w:sdt>
          <w:sdtPr>
            <w:alias w:val="11 p."/>
            <w:tag w:val="part_b2943e0393224422a28a4a35e966222d"/>
            <w:lock w:val="sdtLocked"/>
            <w:richText/>
          </w:sdtPr>
          <w:sdtContent>
            <w:p>
              <w:pPr>
                <w:widowControl w:val="0"/>
                <w:spacing w:line="23" w:lineRule="atLeast"/>
                <w:ind w:firstLine="567"/>
                <w:jc w:val="both"/>
                <w:rPr>
                  <w:rFonts w:eastAsia="Andale Sans UI"/>
                  <w:b/>
                  <w:bCs/>
                  <w:lang w:bidi="en-US"/>
                </w:rPr>
              </w:pPr>
              <w:sdt>
                <w:sdtPr>
                  <w:alias w:val="Numeris"/>
                  <w:tag w:val="nr_b2943e0393224422a28a4a35e966222d"/>
                  <w:lock w:val="sdtLocked"/>
                  <w:richText/>
                </w:sdtPr>
                <w:sdtContent>
                  <w:r>
                    <w:rPr>
                      <w:rFonts w:eastAsia="Andale Sans UI"/>
                      <w:b/>
                      <w:bCs/>
                      <w:lang w:bidi="en-US"/>
                    </w:rPr>
                    <w:t>11</w:t>
                  </w:r>
                </w:sdtContent>
              </w:sdt>
              <w:r>
                <w:rPr>
                  <w:rFonts w:eastAsia="Andale Sans UI"/>
                  <w:b/>
                  <w:bCs/>
                  <w:lang w:bidi="en-US"/>
                </w:rPr>
                <w:t xml:space="preserve">. Informacija apie sąvokų įvertinimą Lietuvos Respublikos terminų banko įstatymo ir jo įgyvendinamųjų teisės aktų nustatyta tvarka </w:t>
              </w:r>
              <w:r>
                <w:rPr>
                  <w:lang w:eastAsia="lt-LT" w:bidi="en-US"/>
                </w:rPr>
                <w:t>(pažymimas tinkamas variantas)</w:t>
              </w:r>
            </w:p>
            <w:p>
              <w:pPr>
                <w:widowControl w:val="0"/>
                <w:spacing w:line="23" w:lineRule="atLeast"/>
                <w:ind w:firstLine="567"/>
                <w:jc w:val="both"/>
                <w:rPr>
                  <w:rFonts w:eastAsia="Andale Sans UI"/>
                  <w:lang w:bidi="en-US"/>
                </w:rPr>
              </w:pPr>
              <w:r>
                <w:rPr>
                  <w:rFonts w:ascii="Segoe UI Symbol" w:eastAsia="MS Gothic" w:hAnsi="Segoe UI Symbol" w:cs="Segoe UI Symbol"/>
                  <w:lang w:bidi="en-US"/>
                </w:rPr>
                <w:t>☐</w:t>
              </w:r>
              <w:r>
                <w:rPr>
                  <w:rFonts w:eastAsia="Andale Sans UI"/>
                  <w:lang w:bidi="en-US"/>
                </w:rPr>
                <w:t xml:space="preserve"> Projektuose naujų sąvokų nėra.</w:t>
              </w:r>
            </w:p>
            <w:p>
              <w:pPr>
                <w:widowControl w:val="0"/>
                <w:spacing w:line="23" w:lineRule="atLeast"/>
                <w:ind w:firstLine="567"/>
                <w:jc w:val="both"/>
                <w:rPr>
                  <w:rFonts w:eastAsia="Andale Sans UI"/>
                  <w:color w:val="000000"/>
                  <w:lang w:bidi="en-US"/>
                </w:rPr>
              </w:pPr>
              <w:r>
                <w:rPr>
                  <w:rFonts w:ascii="Segoe UI Symbol" w:eastAsia="MS Gothic" w:hAnsi="Segoe UI Symbol" w:cs="Segoe UI Symbol"/>
                  <w:lang w:bidi="en-US"/>
                </w:rPr>
                <w:t>☐</w:t>
              </w:r>
              <w:r>
                <w:rPr>
                  <w:rFonts w:eastAsia="Andale Sans UI"/>
                  <w:lang w:bidi="en-US"/>
                </w:rPr>
                <w:t xml:space="preserve"> P</w:t>
              </w:r>
              <w:r>
                <w:rPr>
                  <w:rFonts w:eastAsia="Andale Sans UI"/>
                  <w:color w:val="000000"/>
                  <w:lang w:bidi="en-US"/>
                </w:rPr>
                <w:t xml:space="preserve">rojektuose vartojamos sąvokos aprobuotos Lietuvos Respublikos terminų banko įstatymo ir jo įgyvendinamųjų teisės aktų nustatyta tvarka. </w:t>
              </w:r>
            </w:p>
            <w:p>
              <w:pPr>
                <w:widowControl w:val="0"/>
                <w:spacing w:line="23" w:lineRule="atLeast"/>
                <w:ind w:firstLine="567"/>
                <w:jc w:val="both"/>
                <w:rPr>
                  <w:rFonts w:eastAsia="Andale Sans UI"/>
                  <w:color w:val="000000"/>
                  <w:lang w:bidi="en-US"/>
                </w:rPr>
              </w:pPr>
              <w:r>
                <w:rPr>
                  <w:rFonts w:ascii="MS Gothic" w:eastAsia="MS Gothic" w:hAnsi="MS Gothic" w:cs="MS Gothic"/>
                  <w:lang w:bidi="en-US"/>
                </w:rPr>
                <w:t>☒</w:t>
              </w:r>
              <w:r>
                <w:rPr>
                  <w:color w:val="000000"/>
                  <w:lang w:eastAsia="lt-LT" w:bidi="en-US"/>
                </w:rPr>
                <w:t xml:space="preserve"> </w:t>
              </w:r>
              <w:r>
                <w:rPr>
                  <w:rFonts w:eastAsia="Andale Sans UI"/>
                  <w:color w:val="000000"/>
                  <w:lang w:bidi="en-US"/>
                </w:rPr>
                <w:t>Ši informacija nurodoma aiškinamajame rašte.</w:t>
              </w:r>
            </w:p>
          </w:sdtContent>
        </w:sdt>
        <w:sdt>
          <w:sdtPr>
            <w:alias w:val="12 p."/>
            <w:tag w:val="part_438a3da198f54e91890fff4c27d723d7"/>
            <w:lock w:val="sdtLocked"/>
            <w:richText/>
          </w:sdtPr>
          <w:sdtContent>
            <w:p>
              <w:pPr>
                <w:widowControl w:val="0"/>
                <w:spacing w:line="23" w:lineRule="atLeast"/>
                <w:ind w:firstLine="567"/>
                <w:jc w:val="both"/>
                <w:rPr>
                  <w:rFonts w:eastAsia="Andale Sans UI"/>
                  <w:b/>
                  <w:bCs/>
                  <w:color w:val="000000"/>
                  <w:lang w:bidi="en-US"/>
                </w:rPr>
              </w:pPr>
              <w:sdt>
                <w:sdtPr>
                  <w:alias w:val="Numeris"/>
                  <w:tag w:val="nr_438a3da198f54e91890fff4c27d723d7"/>
                  <w:lock w:val="sdtLocked"/>
                  <w:richText/>
                </w:sdtPr>
                <w:sdtContent>
                  <w:r>
                    <w:rPr>
                      <w:rFonts w:eastAsia="Andale Sans UI"/>
                      <w:b/>
                      <w:bCs/>
                      <w:lang w:bidi="en-US"/>
                    </w:rPr>
                    <w:t>12</w:t>
                  </w:r>
                </w:sdtContent>
              </w:sdt>
              <w:r>
                <w:rPr>
                  <w:rFonts w:eastAsia="Andale Sans UI"/>
                  <w:b/>
                  <w:bCs/>
                  <w:lang w:bidi="en-US"/>
                </w:rPr>
                <w:t>. Kita reikalinga informacija</w:t>
              </w:r>
            </w:p>
            <w:p>
              <w:pPr>
                <w:widowControl w:val="0"/>
                <w:shd w:val="clear" w:color="auto" w:fill="FFFFFF"/>
                <w:spacing w:line="23" w:lineRule="atLeast"/>
                <w:ind w:firstLine="567"/>
                <w:jc w:val="both"/>
                <w:textAlignment w:val="center"/>
                <w:rPr>
                  <w:rFonts w:eastAsia="Andale Sans UI"/>
                  <w:lang w:eastAsia="lt-LT" w:bidi="en-US"/>
                </w:rPr>
              </w:pPr>
              <w:r>
                <w:rPr>
                  <w:rFonts w:eastAsia="Andale Sans UI"/>
                  <w:lang w:bidi="en-US"/>
                </w:rPr>
                <w:t>P</w:t>
              </w:r>
              <w:r>
                <w:rPr>
                  <w:rFonts w:eastAsia="Andale Sans UI"/>
                  <w:color w:val="000000"/>
                  <w:lang w:bidi="en-US"/>
                </w:rPr>
                <w:t>rojekte nereglamentuojamas asmens duomenų naudojimas</w:t>
              </w:r>
              <w:r>
                <w:rPr>
                  <w:rFonts w:eastAsia="Andale Sans UI"/>
                  <w:lang w:eastAsia="lt-LT" w:bidi="en-US"/>
                </w:rPr>
                <w:t>.</w:t>
              </w:r>
            </w:p>
          </w:sdtContent>
        </w:sdt>
        <w:sdt>
          <w:sdtPr>
            <w:alias w:val="13 p."/>
            <w:tag w:val="part_132e5e34e2d0416c9b4237fad5bf94f8"/>
            <w:lock w:val="sdtLocked"/>
            <w:richText/>
          </w:sdtPr>
          <w:sdtContent>
            <w:p>
              <w:pPr>
                <w:widowControl w:val="0"/>
                <w:spacing w:line="23" w:lineRule="atLeast"/>
                <w:ind w:firstLine="567"/>
                <w:jc w:val="both"/>
                <w:rPr>
                  <w:rFonts w:eastAsia="Andale Sans UI"/>
                  <w:b/>
                  <w:bCs/>
                  <w:i/>
                  <w:iCs/>
                  <w:color w:val="000000"/>
                  <w:lang w:bidi="en-US"/>
                </w:rPr>
              </w:pPr>
              <w:sdt>
                <w:sdtPr>
                  <w:alias w:val="Numeris"/>
                  <w:tag w:val="nr_132e5e34e2d0416c9b4237fad5bf94f8"/>
                  <w:lock w:val="sdtLocked"/>
                  <w:richText/>
                </w:sdtPr>
                <w:sdtContent>
                  <w:r>
                    <w:rPr>
                      <w:rFonts w:eastAsia="Andale Sans UI"/>
                      <w:b/>
                      <w:bCs/>
                      <w:lang w:bidi="en-US"/>
                    </w:rPr>
                    <w:t>13</w:t>
                  </w:r>
                </w:sdtContent>
              </w:sdt>
              <w:r>
                <w:rPr>
                  <w:rFonts w:eastAsia="Andale Sans UI"/>
                  <w:b/>
                  <w:bCs/>
                  <w:lang w:bidi="en-US"/>
                </w:rPr>
                <w:t>. Konsultavimasis su visuomene</w:t>
              </w:r>
              <w:r>
                <w:rPr>
                  <w:rFonts w:eastAsia="Andale Sans UI"/>
                  <w:b/>
                  <w:bCs/>
                  <w:vertAlign w:val="superscript"/>
                  <w:lang w:bidi="en-US"/>
                </w:rPr>
                <w:footnoteReference w:id="7"/>
              </w:r>
              <w:r>
                <w:rPr>
                  <w:rFonts w:eastAsia="Andale Sans UI"/>
                  <w:b/>
                  <w:bCs/>
                  <w:lang w:bidi="en-US"/>
                </w:rPr>
                <w:t xml:space="preserve"> </w:t>
              </w:r>
              <w:r>
                <w:rPr>
                  <w:rFonts w:eastAsia="Andale Sans UI"/>
                  <w:b/>
                  <w:bCs/>
                  <w:color w:val="000000"/>
                  <w:lang w:bidi="en-US"/>
                </w:rPr>
                <w:t>interneto svetainėje epilietis.lrv.lt</w:t>
              </w:r>
              <w:r>
                <w:rPr>
                  <w:rFonts w:eastAsia="Andale Sans UI"/>
                  <w:color w:val="000000"/>
                  <w:lang w:bidi="en-US"/>
                </w:rPr>
                <w:t xml:space="preserve"> </w:t>
              </w:r>
              <w:r>
                <w:rPr>
                  <w:lang w:eastAsia="lt-LT" w:bidi="en-US"/>
                </w:rPr>
                <w:t>(pažymimas tinkamas variantas)</w:t>
              </w:r>
            </w:p>
            <w:p>
              <w:pPr>
                <w:widowControl w:val="0"/>
                <w:spacing w:line="23" w:lineRule="atLeast"/>
                <w:ind w:firstLine="567"/>
                <w:jc w:val="both"/>
                <w:rPr>
                  <w:i/>
                  <w:iCs/>
                  <w:color w:val="000000"/>
                  <w:lang w:eastAsia="lt-LT" w:bidi="en-US"/>
                </w:rPr>
              </w:pPr>
              <w:r>
                <w:rPr>
                  <w:rFonts w:ascii="Segoe UI Symbol" w:eastAsia="MS Gothic" w:hAnsi="Segoe UI Symbol" w:cs="Segoe UI Symbol"/>
                  <w:lang w:bidi="en-US"/>
                </w:rPr>
                <w:t>☐</w:t>
              </w:r>
              <w:r>
                <w:rPr>
                  <w:rFonts w:eastAsia="Andale Sans UI"/>
                  <w:lang w:bidi="en-US"/>
                </w:rPr>
                <w:t xml:space="preserve"> P</w:t>
              </w:r>
              <w:r>
                <w:rPr>
                  <w:rFonts w:eastAsia="Andale Sans UI"/>
                  <w:color w:val="000000"/>
                  <w:lang w:bidi="en-US"/>
                </w:rPr>
                <w:t>rojektai viešosioms konsultacijoms skelbtas interneto svetainėje epilietis.lrv.lt , kur pastabas ir pasiūlymus nuo 202.. m. ... ... d. iki 202.. m. ... ... d. galėjo teikti visi suinteresuoti asmenys (</w:t>
              </w:r>
              <w:r>
                <w:rPr>
                  <w:rFonts w:eastAsia="Andale Sans UI"/>
                  <w:i/>
                  <w:iCs/>
                  <w:color w:val="000000"/>
                  <w:lang w:bidi="en-US"/>
                </w:rPr>
                <w:t xml:space="preserve">nurodomas </w:t>
              </w:r>
              <w:r>
                <w:rPr>
                  <w:rFonts w:eastAsia="Andale Sans UI"/>
                  <w:i/>
                  <w:iCs/>
                  <w:lang w:bidi="en-US"/>
                </w:rPr>
                <w:t xml:space="preserve">konsultavimosi tikslas (tikslai), būdas (būdai), </w:t>
              </w:r>
              <w:r>
                <w:rPr>
                  <w:i/>
                  <w:iCs/>
                  <w:color w:val="000000"/>
                  <w:lang w:eastAsia="lt-LT" w:bidi="en-US"/>
                </w:rPr>
                <w:t>suinteresuoti asmenys, su kuriais konsultuotasi, konsultavimosi trukmė</w:t>
              </w:r>
              <w:r>
                <w:rPr>
                  <w:rFonts w:eastAsia="Andale Sans UI"/>
                  <w:i/>
                  <w:iCs/>
                  <w:lang w:bidi="en-US"/>
                </w:rPr>
                <w:t xml:space="preserve"> ir apibendrinti konsultavimosi rezultatai </w:t>
              </w:r>
              <w:r>
                <w:rPr>
                  <w:rFonts w:eastAsia="Andale Sans UI"/>
                  <w:i/>
                  <w:iCs/>
                  <w:color w:val="000000"/>
                  <w:lang w:bidi="en-US"/>
                </w:rPr>
                <w:t xml:space="preserve">– </w:t>
              </w:r>
              <w:r>
                <w:rPr>
                  <w:rFonts w:eastAsia="Andale Sans UI"/>
                  <w:i/>
                  <w:iCs/>
                  <w:lang w:bidi="en-US"/>
                </w:rPr>
                <w:t>pateikiamos bendros (agreguotos) viešųjų konsultacijų dalyvių nuomonių tendencijos, nurodoma, kaip į konsultavimosi su visuomene rezultatus atsižvelgta Projekte</w:t>
              </w:r>
              <w:r>
                <w:rPr>
                  <w:rFonts w:eastAsia="Andale Sans UI"/>
                  <w:lang w:bidi="en-US"/>
                </w:rPr>
                <w:t>)</w:t>
              </w:r>
              <w:r>
                <w:rPr>
                  <w:rFonts w:eastAsia="Andale Sans UI"/>
                  <w:i/>
                  <w:iCs/>
                  <w:lang w:bidi="en-US"/>
                </w:rPr>
                <w:t xml:space="preserve"> </w:t>
              </w:r>
              <w:r>
                <w:rPr>
                  <w:rFonts w:eastAsia="Andale Sans UI"/>
                  <w:lang w:bidi="en-US"/>
                </w:rPr>
                <w:t>(</w:t>
              </w:r>
              <w:r>
                <w:rPr>
                  <w:rFonts w:eastAsia="Andale Sans UI"/>
                  <w:b/>
                  <w:bCs/>
                  <w:lang w:bidi="en-US"/>
                </w:rPr>
                <w:t>arba</w:t>
              </w:r>
              <w:r>
                <w:rPr>
                  <w:rFonts w:eastAsia="Andale Sans UI"/>
                  <w:lang w:bidi="en-US"/>
                </w:rPr>
                <w:t xml:space="preserve"> P</w:t>
              </w:r>
              <w:r>
                <w:rPr>
                  <w:rFonts w:eastAsia="Andale Sans UI"/>
                  <w:color w:val="000000"/>
                  <w:lang w:bidi="en-US"/>
                </w:rPr>
                <w:t>rojektas viešosioms konsultacijoms paskelbtas (</w:t>
              </w:r>
              <w:r>
                <w:rPr>
                  <w:rFonts w:eastAsia="Andale Sans UI"/>
                  <w:b/>
                  <w:bCs/>
                  <w:color w:val="000000"/>
                  <w:lang w:bidi="en-US"/>
                </w:rPr>
                <w:t>arba</w:t>
              </w:r>
              <w:r>
                <w:rPr>
                  <w:rFonts w:eastAsia="Andale Sans UI"/>
                  <w:color w:val="000000"/>
                  <w:lang w:bidi="en-US"/>
                </w:rPr>
                <w:t xml:space="preserve"> bus skelbiamas) interneto svetainėje epilietis.lrv.lt, kur pastabas ir pasiūlymus gali teikti (</w:t>
              </w:r>
              <w:r>
                <w:rPr>
                  <w:rFonts w:eastAsia="Andale Sans UI"/>
                  <w:b/>
                  <w:bCs/>
                  <w:color w:val="000000"/>
                  <w:lang w:bidi="en-US"/>
                </w:rPr>
                <w:t>arba</w:t>
              </w:r>
              <w:r>
                <w:rPr>
                  <w:rFonts w:eastAsia="Andale Sans UI"/>
                  <w:color w:val="000000"/>
                  <w:lang w:bidi="en-US"/>
                </w:rPr>
                <w:t xml:space="preserve"> galės teikti) visi suinteresuoti asmenys (</w:t>
              </w:r>
              <w:r>
                <w:rPr>
                  <w:i/>
                  <w:iCs/>
                  <w:color w:val="000000"/>
                  <w:lang w:eastAsia="lt-LT" w:bidi="en-US"/>
                </w:rPr>
                <w:t>nurodomas konsultavimosi tikslas (tikslai), būdas (būdai), suinteresuoti asmenys ir konsultavimosi trukmė</w:t>
              </w:r>
              <w:r>
                <w:rPr>
                  <w:color w:val="000000"/>
                  <w:lang w:eastAsia="lt-LT" w:bidi="en-US"/>
                </w:rPr>
                <w:t>)</w:t>
              </w:r>
              <w:r>
                <w:rPr>
                  <w:i/>
                  <w:iCs/>
                  <w:color w:val="000000"/>
                  <w:lang w:eastAsia="lt-LT" w:bidi="en-US"/>
                </w:rPr>
                <w:t xml:space="preserve">. </w:t>
              </w:r>
            </w:p>
            <w:p>
              <w:pPr>
                <w:widowControl w:val="0"/>
                <w:spacing w:line="23" w:lineRule="atLeast"/>
                <w:ind w:firstLine="567"/>
                <w:jc w:val="both"/>
                <w:rPr>
                  <w:color w:val="000000"/>
                  <w:lang w:eastAsia="lt-LT" w:bidi="en-US"/>
                </w:rPr>
              </w:pPr>
              <w:r>
                <w:rPr>
                  <w:rFonts w:ascii="MS Gothic" w:eastAsia="MS Gothic" w:hAnsi="MS Gothic"/>
                  <w:lang w:bidi="en-US"/>
                </w:rPr>
                <w:t>☒</w:t>
              </w:r>
              <w:r>
                <w:rPr>
                  <w:rFonts w:eastAsia="Andale Sans UI"/>
                  <w:lang w:bidi="en-US"/>
                </w:rPr>
                <w:t xml:space="preserve"> P</w:t>
              </w:r>
              <w:r>
                <w:rPr>
                  <w:rFonts w:eastAsia="Andale Sans UI"/>
                  <w:color w:val="000000"/>
                  <w:lang w:bidi="en-US"/>
                </w:rPr>
                <w:t xml:space="preserve">rojektų skelbti viešosioms konsultacijoms interneto svetainėje epilietis.lrv.lt </w:t>
              </w:r>
              <w:r>
                <w:rPr>
                  <w:color w:val="000000"/>
                  <w:lang w:eastAsia="lt-LT" w:bidi="en-US"/>
                </w:rPr>
                <w:t xml:space="preserve">neplanuojama. </w:t>
              </w:r>
            </w:p>
          </w:sdtContent>
        </w:sdt>
        <w:sdt>
          <w:sdtPr>
            <w:alias w:val="14 p."/>
            <w:tag w:val="part_6d398f9deae24ac4b71a09416b040849"/>
            <w:lock w:val="sdtLocked"/>
            <w:richText/>
          </w:sdtPr>
          <w:sdtContent>
            <w:p>
              <w:pPr>
                <w:widowControl w:val="0"/>
                <w:spacing w:line="23" w:lineRule="atLeast"/>
                <w:ind w:firstLine="567"/>
                <w:jc w:val="both"/>
                <w:rPr>
                  <w:rFonts w:eastAsia="Andale Sans UI"/>
                  <w:b/>
                  <w:bCs/>
                  <w:color w:val="000000"/>
                  <w:lang w:bidi="en-US"/>
                </w:rPr>
              </w:pPr>
              <w:sdt>
                <w:sdtPr>
                  <w:alias w:val="Numeris"/>
                  <w:tag w:val="nr_6d398f9deae24ac4b71a09416b040849"/>
                  <w:lock w:val="sdtLocked"/>
                  <w:richText/>
                </w:sdtPr>
                <w:sdtContent>
                  <w:r>
                    <w:rPr>
                      <w:rFonts w:eastAsia="Andale Sans UI"/>
                      <w:b/>
                      <w:bCs/>
                      <w:lang w:bidi="en-US"/>
                    </w:rPr>
                    <w:t>14</w:t>
                  </w:r>
                </w:sdtContent>
              </w:sdt>
              <w:r>
                <w:rPr>
                  <w:rFonts w:eastAsia="Andale Sans UI"/>
                  <w:b/>
                  <w:bCs/>
                  <w:lang w:bidi="en-US"/>
                </w:rPr>
                <w:t>. Derinimas su suinteresuotomis institucijomis ir suinteresuotais asmenimis</w:t>
              </w:r>
            </w:p>
            <w:p>
              <w:pPr>
                <w:widowControl w:val="0"/>
                <w:spacing w:line="23" w:lineRule="atLeast"/>
                <w:ind w:firstLine="567"/>
                <w:jc w:val="both"/>
                <w:rPr>
                  <w:rFonts w:eastAsia="Andale Sans UI"/>
                  <w:lang w:bidi="en-US"/>
                </w:rPr>
              </w:pPr>
              <w:r>
                <w:rPr>
                  <w:rFonts w:eastAsia="Andale Sans UI"/>
                  <w:lang w:bidi="en-US"/>
                </w:rPr>
                <w:t>Projektai skelbiami Lietuvos Respublikos Seimo kanceliarijos teisės aktų informacinėje sistemoje (TAIS).</w:t>
              </w:r>
            </w:p>
            <w:p>
              <w:pPr>
                <w:widowControl w:val="0"/>
                <w:spacing w:line="23" w:lineRule="atLeast"/>
                <w:ind w:firstLine="567"/>
                <w:jc w:val="both"/>
                <w:rPr>
                  <w:rFonts w:eastAsia="Andale Sans UI"/>
                  <w:lang w:bidi="en-US"/>
                </w:rPr>
              </w:pPr>
              <w:r>
                <w:rPr>
                  <w:rFonts w:eastAsia="Andale Sans UI"/>
                  <w:lang w:bidi="en-US"/>
                </w:rPr>
                <w:t xml:space="preserve">Derinimo terminas </w:t>
              </w:r>
              <w:r>
                <w:rPr>
                  <w:lang w:eastAsia="lt-LT" w:bidi="en-US"/>
                </w:rPr>
                <w:t>(pažymimas tinkamas variantas)</w:t>
              </w:r>
              <w:r>
                <w:rPr>
                  <w:rFonts w:eastAsia="Andale Sans UI"/>
                  <w:lang w:bidi="en-US"/>
                </w:rPr>
                <w:t>:</w:t>
              </w:r>
            </w:p>
            <w:p>
              <w:pPr>
                <w:widowControl w:val="0"/>
                <w:spacing w:line="23" w:lineRule="atLeast"/>
                <w:ind w:firstLine="567"/>
                <w:jc w:val="both"/>
                <w:rPr>
                  <w:rFonts w:eastAsia="Andale Sans UI"/>
                  <w:lang w:bidi="en-US"/>
                </w:rPr>
              </w:pPr>
              <w:r>
                <w:rPr>
                  <w:rFonts w:ascii="MS Gothic" w:eastAsia="MS Gothic" w:hAnsi="MS Gothic"/>
                  <w:lang w:bidi="en-US"/>
                </w:rPr>
                <w:t>☒</w:t>
              </w:r>
              <w:r>
                <w:rPr>
                  <w:rFonts w:eastAsia="Andale Sans UI"/>
                  <w:lang w:bidi="en-US"/>
                </w:rPr>
                <w:t xml:space="preserve"> 12 darbo dienų.</w:t>
              </w:r>
            </w:p>
            <w:p>
              <w:pPr>
                <w:widowControl w:val="0"/>
                <w:spacing w:line="23" w:lineRule="atLeast"/>
                <w:ind w:firstLine="567"/>
                <w:jc w:val="both"/>
                <w:rPr>
                  <w:rFonts w:eastAsia="Andale Sans UI"/>
                  <w:i/>
                  <w:iCs/>
                  <w:lang w:bidi="en-US"/>
                </w:rPr>
              </w:pPr>
              <w:r>
                <w:rPr>
                  <w:rFonts w:ascii="MS Gothic" w:eastAsia="MS Gothic" w:hAnsi="MS Gothic"/>
                  <w:lang w:bidi="en-US"/>
                </w:rPr>
                <w:t>☐</w:t>
              </w:r>
              <w:r>
                <w:rPr>
                  <w:rFonts w:eastAsia="Andale Sans UI"/>
                  <w:lang w:bidi="en-US"/>
                </w:rPr>
                <w:t xml:space="preserve"> 5 darbo dienos (</w:t>
              </w:r>
              <w:r>
                <w:rPr>
                  <w:rFonts w:eastAsia="Andale Sans UI"/>
                  <w:i/>
                  <w:iCs/>
                  <w:lang w:bidi="en-US"/>
                </w:rPr>
                <w:t xml:space="preserve">dėl Vyriausybės nutarimų projektų, kuriuose teikiamos Vyriausybės išvados dėl Seime svarstomų teisės aktų projektų, arba surašomas motyvuotas prašymas </w:t>
              </w:r>
              <w:r>
                <w:rPr>
                  <w:rFonts w:eastAsia="Andale Sans UI"/>
                  <w:i/>
                  <w:iCs/>
                  <w:color w:val="000000"/>
                  <w:lang w:bidi="en-US"/>
                </w:rPr>
                <w:t xml:space="preserve">pateikti išvadas dėl Projekto skubos tvarka </w:t>
              </w:r>
              <w:r>
                <w:rPr>
                  <w:rFonts w:eastAsia="Andale Sans UI"/>
                  <w:i/>
                  <w:iCs/>
                  <w:lang w:bidi="en-US"/>
                </w:rPr>
                <w:t>Vyriausybės darbo reglamento</w:t>
              </w:r>
              <w:r>
                <w:rPr>
                  <w:rFonts w:eastAsia="Andale Sans UI"/>
                  <w:i/>
                  <w:iCs/>
                  <w:vertAlign w:val="superscript"/>
                  <w:lang w:bidi="en-US"/>
                </w:rPr>
                <w:footnoteReference w:id="8"/>
              </w:r>
              <w:r>
                <w:rPr>
                  <w:rFonts w:eastAsia="Andale Sans UI"/>
                  <w:i/>
                  <w:iCs/>
                  <w:lang w:bidi="en-US"/>
                </w:rPr>
                <w:t xml:space="preserve"> 28 punkte išvardytais išimtiniais atvejais</w:t>
              </w:r>
              <w:r>
                <w:rPr>
                  <w:rFonts w:eastAsia="Andale Sans UI"/>
                  <w:lang w:bidi="en-US"/>
                </w:rPr>
                <w:t>)</w:t>
              </w:r>
              <w:r>
                <w:rPr>
                  <w:rFonts w:eastAsia="Andale Sans UI"/>
                  <w:i/>
                  <w:iCs/>
                  <w:lang w:bidi="en-US"/>
                </w:rPr>
                <w:t>.</w:t>
              </w:r>
            </w:p>
          </w:sdtContent>
        </w:sdt>
        <w:sdt>
          <w:sdtPr>
            <w:alias w:val="15 p."/>
            <w:tag w:val="part_5fff86b9a1144a638de0646fe34e8836"/>
            <w:lock w:val="sdtLocked"/>
            <w:richText/>
          </w:sdtPr>
          <w:sdtContent>
            <w:p>
              <w:pPr>
                <w:widowControl w:val="0"/>
                <w:spacing w:line="23" w:lineRule="atLeast"/>
                <w:ind w:firstLine="567"/>
                <w:jc w:val="both"/>
                <w:rPr>
                  <w:rFonts w:eastAsia="Andale Sans UI"/>
                  <w:lang w:bidi="en-US"/>
                </w:rPr>
              </w:pPr>
              <w:sdt>
                <w:sdtPr>
                  <w:alias w:val="Numeris"/>
                  <w:tag w:val="nr_5fff86b9a1144a638de0646fe34e8836"/>
                  <w:lock w:val="sdtLocked"/>
                  <w:richText/>
                </w:sdtPr>
                <w:sdtContent>
                  <w:r>
                    <w:rPr>
                      <w:rFonts w:eastAsia="Andale Sans UI"/>
                      <w:b/>
                      <w:bCs/>
                      <w:lang w:bidi="en-US"/>
                    </w:rPr>
                    <w:t>15</w:t>
                  </w:r>
                </w:sdtContent>
              </w:sdt>
              <w:r>
                <w:rPr>
                  <w:rFonts w:eastAsia="Andale Sans UI"/>
                  <w:b/>
                  <w:bCs/>
                  <w:lang w:bidi="en-US"/>
                </w:rPr>
                <w:t>. Projektų rengėjai</w:t>
              </w:r>
              <w:r>
                <w:rPr>
                  <w:rFonts w:eastAsia="Andale Sans UI"/>
                  <w:lang w:bidi="en-US"/>
                </w:rPr>
                <w:t xml:space="preserve"> </w:t>
              </w:r>
            </w:p>
            <w:p>
              <w:pPr>
                <w:ind w:firstLine="567"/>
                <w:jc w:val="both"/>
                <w:rPr>
                  <w:lang w:eastAsia="lt-LT"/>
                </w:rPr>
              </w:pPr>
              <w:r>
                <w:rPr>
                  <w:lang w:eastAsia="lt-LT"/>
                </w:rPr>
                <w:t xml:space="preserve">Projektus parengė </w:t>
              </w:r>
              <w:r>
                <w:t xml:space="preserve">Aplinkos ministerijos Atliekų politikos grupės (vadovė – Vilma Slavinskienė, mob. +370 698 75 027, el. p. </w:t>
              </w:r>
              <w:r>
                <w:rPr>
                  <w:color w:val="000080"/>
                  <w:u w:val="single"/>
                </w:rPr>
                <w:t>vilma.slavinskiene@am.lt</w:t>
              </w:r>
              <w:r>
                <w:t xml:space="preserve">) vyriausioji patarėja Greta Česnaitytė (mob. +370 696 85 134, el. p. </w:t>
              </w:r>
              <w:r>
                <w:rPr>
                  <w:color w:val="0000FF"/>
                  <w:u w:val="single"/>
                </w:rPr>
                <w:t>greta.cesnaityte@am.lt</w:t>
              </w:r>
              <w:r>
                <w:t xml:space="preserve">), vyriausioji specialistė Eglė Razbadauskaitė (mob. +370 620 31 528, el. p. </w:t>
              </w:r>
              <w:r>
                <w:rPr>
                  <w:color w:val="0000FF"/>
                  <w:u w:val="single"/>
                </w:rPr>
                <w:t>egle.razbadauskaite@am.lt</w:t>
              </w:r>
              <w:r>
                <w:t>).</w:t>
              </w:r>
            </w:p>
            <w:p>
              <w:pPr>
                <w:widowControl w:val="0"/>
                <w:spacing w:line="23" w:lineRule="atLeast"/>
                <w:ind w:firstLine="567"/>
                <w:jc w:val="both"/>
                <w:rPr>
                  <w:rFonts w:eastAsia="Andale Sans UI"/>
                  <w:lang w:bidi="en-US"/>
                </w:rPr>
              </w:pPr>
              <w:r>
                <w:rPr>
                  <w:rFonts w:eastAsia="Andale Sans UI"/>
                  <w:lang w:bidi="en-US"/>
                </w:rPr>
                <w:t>PRIDEDAMA:</w:t>
              </w:r>
            </w:p>
          </w:sdtContent>
        </w:sdt>
        <w:sdt>
          <w:sdtPr>
            <w:alias w:val="1 p."/>
            <w:tag w:val="part_7da06df9aedc48e996cfdc669a108e69"/>
            <w:lock w:val="sdtLocked"/>
            <w:richText/>
          </w:sdtPr>
          <w:sdtContent>
            <w:p>
              <w:pPr>
                <w:widowControl w:val="0"/>
                <w:spacing w:line="23" w:lineRule="atLeast"/>
                <w:ind w:firstLine="567"/>
                <w:jc w:val="both"/>
                <w:rPr>
                  <w:color w:val="000000"/>
                  <w:lang w:eastAsia="lt-LT" w:bidi="en-US"/>
                </w:rPr>
              </w:pPr>
              <w:sdt>
                <w:sdtPr>
                  <w:alias w:val="Numeris"/>
                  <w:tag w:val="nr_7da06df9aedc48e996cfdc669a108e69"/>
                  <w:lock w:val="sdtLocked"/>
                  <w:richText/>
                </w:sdtPr>
                <w:sdtContent>
                  <w:r>
                    <w:rPr>
                      <w:color w:val="000000"/>
                      <w:lang w:eastAsia="lt-LT" w:bidi="en-US"/>
                    </w:rPr>
                    <w:t>1</w:t>
                  </w:r>
                </w:sdtContent>
              </w:sdt>
              <w:r>
                <w:rPr>
                  <w:color w:val="000000"/>
                  <w:lang w:eastAsia="lt-LT" w:bidi="en-US"/>
                </w:rPr>
                <w:t>. PPATĮ projektas, 25 lapai.</w:t>
              </w:r>
            </w:p>
          </w:sdtContent>
        </w:sdt>
        <w:sdt>
          <w:sdtPr>
            <w:alias w:val="2 p."/>
            <w:tag w:val="part_b7bb529b6cee447d9ca7551b9372db29"/>
            <w:lock w:val="sdtLocked"/>
            <w:richText/>
          </w:sdtPr>
          <w:sdtContent>
            <w:p>
              <w:pPr>
                <w:widowControl w:val="0"/>
                <w:spacing w:line="23" w:lineRule="atLeast"/>
                <w:ind w:firstLine="567"/>
                <w:jc w:val="both"/>
                <w:rPr>
                  <w:color w:val="000000"/>
                  <w:lang w:eastAsia="lt-LT" w:bidi="en-US"/>
                </w:rPr>
              </w:pPr>
              <w:sdt>
                <w:sdtPr>
                  <w:alias w:val="Numeris"/>
                  <w:tag w:val="nr_b7bb529b6cee447d9ca7551b9372db29"/>
                  <w:lock w:val="sdtLocked"/>
                  <w:richText/>
                </w:sdtPr>
                <w:sdtContent>
                  <w:r>
                    <w:rPr>
                      <w:color w:val="000000"/>
                      <w:lang w:eastAsia="lt-LT" w:bidi="en-US"/>
                    </w:rPr>
                    <w:t>2</w:t>
                  </w:r>
                </w:sdtContent>
              </w:sdt>
              <w:r>
                <w:rPr>
                  <w:color w:val="000000"/>
                  <w:lang w:eastAsia="lt-LT" w:bidi="en-US"/>
                </w:rPr>
                <w:t xml:space="preserve">. AAĮ  projektas, 3 lapai</w:t>
              </w:r>
            </w:p>
          </w:sdtContent>
        </w:sdt>
        <w:sdt>
          <w:sdtPr>
            <w:alias w:val="3 p."/>
            <w:tag w:val="part_ed18f17741674c3bb3a5e5e80e6a8cd2"/>
            <w:lock w:val="sdtLocked"/>
            <w:richText/>
          </w:sdtPr>
          <w:sdtContent>
            <w:p>
              <w:pPr>
                <w:widowControl w:val="0"/>
                <w:spacing w:line="23" w:lineRule="atLeast"/>
                <w:ind w:firstLine="567"/>
                <w:jc w:val="both"/>
                <w:rPr>
                  <w:color w:val="000000"/>
                  <w:lang w:eastAsia="lt-LT" w:bidi="en-US"/>
                </w:rPr>
              </w:pPr>
              <w:sdt>
                <w:sdtPr>
                  <w:alias w:val="Numeris"/>
                  <w:tag w:val="nr_ed18f17741674c3bb3a5e5e80e6a8cd2"/>
                  <w:lock w:val="sdtLocked"/>
                  <w:richText/>
                </w:sdtPr>
                <w:sdtContent>
                  <w:r>
                    <w:rPr>
                      <w:color w:val="000000"/>
                      <w:lang w:eastAsia="lt-LT" w:bidi="en-US"/>
                    </w:rPr>
                    <w:t>3</w:t>
                  </w:r>
                </w:sdtContent>
              </w:sdt>
              <w:r>
                <w:rPr>
                  <w:color w:val="000000"/>
                  <w:lang w:eastAsia="lt-LT" w:bidi="en-US"/>
                </w:rPr>
                <w:t>. AAĮ projekto lyginamasis projektas, 3 lapai.</w:t>
              </w:r>
            </w:p>
          </w:sdtContent>
        </w:sdt>
        <w:sdt>
          <w:sdtPr>
            <w:alias w:val="4 p."/>
            <w:tag w:val="part_b775a698e8cf429dba56d602036b34ea"/>
            <w:lock w:val="sdtLocked"/>
            <w:richText/>
          </w:sdtPr>
          <w:sdtContent>
            <w:p>
              <w:pPr>
                <w:widowControl w:val="0"/>
                <w:spacing w:line="23" w:lineRule="atLeast"/>
                <w:ind w:firstLine="567"/>
                <w:jc w:val="both"/>
                <w:rPr>
                  <w:color w:val="000000"/>
                  <w:lang w:eastAsia="lt-LT" w:bidi="en-US"/>
                </w:rPr>
              </w:pPr>
              <w:sdt>
                <w:sdtPr>
                  <w:alias w:val="Numeris"/>
                  <w:tag w:val="nr_b775a698e8cf429dba56d602036b34ea"/>
                  <w:lock w:val="sdtLocked"/>
                  <w:richText/>
                </w:sdtPr>
                <w:sdtContent>
                  <w:r>
                    <w:rPr>
                      <w:color w:val="000000"/>
                      <w:lang w:eastAsia="lt-LT" w:bidi="en-US"/>
                    </w:rPr>
                    <w:t>4</w:t>
                  </w:r>
                </w:sdtContent>
              </w:sdt>
              <w:r>
                <w:rPr>
                  <w:color w:val="000000"/>
                  <w:lang w:eastAsia="lt-LT" w:bidi="en-US"/>
                </w:rPr>
                <w:t>. ANK projektas, 2 lapai.</w:t>
              </w:r>
            </w:p>
          </w:sdtContent>
        </w:sdt>
        <w:sdt>
          <w:sdtPr>
            <w:alias w:val="5 p."/>
            <w:tag w:val="part_7c419b41b4074d09bb8ddbe42774b043"/>
            <w:lock w:val="sdtLocked"/>
            <w:richText/>
          </w:sdtPr>
          <w:sdtContent>
            <w:p>
              <w:pPr>
                <w:widowControl w:val="0"/>
                <w:spacing w:line="23" w:lineRule="atLeast"/>
                <w:ind w:firstLine="567"/>
                <w:jc w:val="both"/>
                <w:rPr>
                  <w:color w:val="000000"/>
                  <w:lang w:eastAsia="lt-LT" w:bidi="en-US"/>
                </w:rPr>
              </w:pPr>
              <w:sdt>
                <w:sdtPr>
                  <w:alias w:val="Numeris"/>
                  <w:tag w:val="nr_7c419b41b4074d09bb8ddbe42774b043"/>
                  <w:lock w:val="sdtLocked"/>
                  <w:richText/>
                </w:sdtPr>
                <w:sdtContent>
                  <w:r>
                    <w:rPr>
                      <w:color w:val="000000"/>
                      <w:lang w:eastAsia="lt-LT" w:bidi="en-US"/>
                    </w:rPr>
                    <w:t>5</w:t>
                  </w:r>
                </w:sdtContent>
              </w:sdt>
              <w:r>
                <w:rPr>
                  <w:color w:val="000000"/>
                  <w:lang w:eastAsia="lt-LT" w:bidi="en-US"/>
                </w:rPr>
                <w:t>. ANK projekto lyginamasis projektas, 2 lapai.</w:t>
              </w:r>
            </w:p>
          </w:sdtContent>
        </w:sdt>
        <w:sdt>
          <w:sdtPr>
            <w:alias w:val="6 p."/>
            <w:tag w:val="part_a1ff11c595e848eab0c2b8c4b8be604d"/>
            <w:lock w:val="sdtLocked"/>
            <w:richText/>
          </w:sdtPr>
          <w:sdtContent>
            <w:p>
              <w:pPr>
                <w:widowControl w:val="0"/>
                <w:spacing w:line="23" w:lineRule="atLeast"/>
                <w:ind w:firstLine="567"/>
                <w:jc w:val="both"/>
                <w:rPr>
                  <w:color w:val="000000"/>
                  <w:lang w:eastAsia="lt-LT" w:bidi="en-US"/>
                </w:rPr>
              </w:pPr>
              <w:sdt>
                <w:sdtPr>
                  <w:alias w:val="Numeris"/>
                  <w:tag w:val="nr_a1ff11c595e848eab0c2b8c4b8be604d"/>
                  <w:lock w:val="sdtLocked"/>
                  <w:richText/>
                </w:sdtPr>
                <w:sdtContent>
                  <w:r>
                    <w:rPr>
                      <w:color w:val="000000"/>
                      <w:lang w:eastAsia="lt-LT" w:bidi="en-US"/>
                    </w:rPr>
                    <w:t>6</w:t>
                  </w:r>
                </w:sdtContent>
              </w:sdt>
              <w:r>
                <w:rPr>
                  <w:color w:val="000000"/>
                  <w:lang w:eastAsia="lt-LT" w:bidi="en-US"/>
                </w:rPr>
                <w:t>. ATĮ projektas, 3 lapai.</w:t>
              </w:r>
            </w:p>
          </w:sdtContent>
        </w:sdt>
        <w:sdt>
          <w:sdtPr>
            <w:alias w:val="7 p."/>
            <w:tag w:val="part_a0e3a593e77941acb755329a1c9b5b5f"/>
            <w:lock w:val="sdtLocked"/>
            <w:richText/>
          </w:sdtPr>
          <w:sdtContent>
            <w:p>
              <w:pPr>
                <w:widowControl w:val="0"/>
                <w:spacing w:line="23" w:lineRule="atLeast"/>
                <w:ind w:firstLine="567"/>
                <w:jc w:val="both"/>
                <w:rPr>
                  <w:color w:val="000000"/>
                  <w:lang w:eastAsia="lt-LT" w:bidi="en-US"/>
                </w:rPr>
              </w:pPr>
              <w:sdt>
                <w:sdtPr>
                  <w:alias w:val="Numeris"/>
                  <w:tag w:val="nr_a0e3a593e77941acb755329a1c9b5b5f"/>
                  <w:lock w:val="sdtLocked"/>
                  <w:richText/>
                </w:sdtPr>
                <w:sdtContent>
                  <w:r>
                    <w:rPr>
                      <w:color w:val="000000"/>
                      <w:lang w:eastAsia="lt-LT" w:bidi="en-US"/>
                    </w:rPr>
                    <w:t>7</w:t>
                  </w:r>
                </w:sdtContent>
              </w:sdt>
              <w:r>
                <w:rPr>
                  <w:color w:val="000000"/>
                  <w:lang w:eastAsia="lt-LT" w:bidi="en-US"/>
                </w:rPr>
                <w:t>. ATĮ projekto lyginamasis projektas, 3 lapai.</w:t>
              </w:r>
            </w:p>
          </w:sdtContent>
        </w:sdt>
        <w:sdt>
          <w:sdtPr>
            <w:alias w:val="8 p."/>
            <w:tag w:val="part_0faddfd577ef44f5a7b5097b83c45389"/>
            <w:lock w:val="sdtLocked"/>
            <w:richText/>
          </w:sdtPr>
          <w:sdtContent>
            <w:p>
              <w:pPr>
                <w:widowControl w:val="0"/>
                <w:spacing w:line="23" w:lineRule="atLeast"/>
                <w:ind w:firstLine="567"/>
                <w:jc w:val="both"/>
                <w:rPr>
                  <w:rFonts w:eastAsia="Andale Sans UI"/>
                  <w:lang w:bidi="en-US"/>
                </w:rPr>
              </w:pPr>
              <w:sdt>
                <w:sdtPr>
                  <w:alias w:val="Numeris"/>
                  <w:tag w:val="nr_0faddfd577ef44f5a7b5097b83c45389"/>
                  <w:lock w:val="sdtLocked"/>
                  <w:richText/>
                </w:sdtPr>
                <w:sdtContent>
                  <w:r>
                    <w:rPr>
                      <w:color w:val="000000"/>
                      <w:lang w:eastAsia="lt-LT" w:bidi="en-US"/>
                    </w:rPr>
                    <w:t>8</w:t>
                  </w:r>
                </w:sdtContent>
              </w:sdt>
              <w:r>
                <w:rPr>
                  <w:color w:val="000000"/>
                  <w:lang w:eastAsia="lt-LT" w:bidi="en-US"/>
                </w:rPr>
                <w:t>. Aiškinamasis raštas</w:t>
              </w:r>
              <w:r>
                <w:rPr>
                  <w:color w:val="000000"/>
                  <w:vertAlign w:val="superscript"/>
                  <w:lang w:eastAsia="lt-LT" w:bidi="en-US"/>
                </w:rPr>
                <w:footnoteReference w:id="9"/>
              </w:r>
              <w:r>
                <w:rPr>
                  <w:color w:val="000000"/>
                  <w:lang w:eastAsia="lt-LT" w:bidi="en-US"/>
                </w:rPr>
                <w:t>, 10 lapai.</w:t>
              </w:r>
            </w:p>
          </w:sdtContent>
        </w:sdt>
        <w:sdt>
          <w:sdtPr>
            <w:alias w:val="9 p."/>
            <w:tag w:val="part_30969b85654b4b7ba91e0d1dcd52abd3"/>
            <w:lock w:val="sdtLocked"/>
            <w:richText/>
          </w:sdtPr>
          <w:sdtContent>
            <w:p>
              <w:pPr>
                <w:widowControl w:val="0"/>
                <w:spacing w:line="23" w:lineRule="atLeast"/>
                <w:ind w:firstLine="567"/>
                <w:jc w:val="both"/>
                <w:rPr>
                  <w:color w:val="000000"/>
                  <w:lang w:eastAsia="lt-LT" w:bidi="en-US"/>
                </w:rPr>
              </w:pPr>
              <w:sdt>
                <w:sdtPr>
                  <w:alias w:val="Numeris"/>
                  <w:tag w:val="nr_30969b85654b4b7ba91e0d1dcd52abd3"/>
                  <w:lock w:val="sdtLocked"/>
                  <w:richText/>
                </w:sdtPr>
                <w:sdtContent>
                  <w:r>
                    <w:rPr>
                      <w:color w:val="000000"/>
                      <w:lang w:eastAsia="lt-LT" w:bidi="en-US"/>
                    </w:rPr>
                    <w:t>9</w:t>
                  </w:r>
                </w:sdtContent>
              </w:sdt>
              <w:r>
                <w:rPr>
                  <w:color w:val="000000"/>
                  <w:lang w:eastAsia="lt-LT" w:bidi="en-US"/>
                </w:rPr>
                <w:t xml:space="preserve">. Antikorupcinio vertinimo pažyma, </w:t>
              </w:r>
              <w:r>
                <w:rPr>
                  <w:color w:val="000000"/>
                  <w:lang w:val="en-US" w:eastAsia="lt-LT" w:bidi="en-US"/>
                </w:rPr>
                <w:t>6</w:t>
              </w:r>
              <w:r>
                <w:rPr>
                  <w:color w:val="000000"/>
                  <w:lang w:eastAsia="lt-LT" w:bidi="en-US"/>
                </w:rPr>
                <w:t xml:space="preserve"> lapai.</w:t>
              </w:r>
            </w:p>
          </w:sdtContent>
        </w:sdt>
        <w:sdt>
          <w:sdtPr>
            <w:alias w:val="10 p."/>
            <w:tag w:val="part_5336038f030e41c9abde096d7b583869"/>
            <w:lock w:val="sdtLocked"/>
            <w:richText/>
          </w:sdtPr>
          <w:sdtContent>
            <w:p>
              <w:pPr>
                <w:widowControl w:val="0"/>
                <w:spacing w:line="23" w:lineRule="atLeast"/>
                <w:ind w:firstLine="567"/>
                <w:jc w:val="both"/>
                <w:rPr>
                  <w:color w:val="000000"/>
                  <w:lang w:val="en-US" w:eastAsia="lt-LT" w:bidi="en-US"/>
                </w:rPr>
              </w:pPr>
              <w:sdt>
                <w:sdtPr>
                  <w:alias w:val="Numeris"/>
                  <w:tag w:val="nr_5336038f030e41c9abde096d7b583869"/>
                  <w:lock w:val="sdtLocked"/>
                  <w:richText/>
                </w:sdtPr>
                <w:sdtContent>
                  <w:r>
                    <w:rPr>
                      <w:color w:val="000000"/>
                      <w:lang w:eastAsia="lt-LT" w:bidi="en-US"/>
                    </w:rPr>
                    <w:t>10</w:t>
                  </w:r>
                </w:sdtContent>
              </w:sdt>
              <w:r>
                <w:rPr>
                  <w:color w:val="000000"/>
                  <w:lang w:eastAsia="lt-LT" w:bidi="en-US"/>
                </w:rPr>
                <w:t xml:space="preserve">. Antikorupcinio vertinimo pažyma ATĮ, </w:t>
              </w:r>
              <w:r>
                <w:rPr>
                  <w:color w:val="000000"/>
                  <w:lang w:val="en-US" w:eastAsia="lt-LT" w:bidi="en-US"/>
                </w:rPr>
                <w:t>6 lapai.</w:t>
              </w:r>
            </w:p>
          </w:sdtContent>
        </w:sdt>
        <w:sdt>
          <w:sdtPr>
            <w:alias w:val="10 p."/>
            <w:tag w:val="part_7899c02b634148459f2a01d8d33bdbec"/>
            <w:lock w:val="sdtLocked"/>
            <w:richText/>
          </w:sdtPr>
          <w:sdtContent>
            <w:p>
              <w:pPr>
                <w:widowControl w:val="0"/>
                <w:spacing w:line="23" w:lineRule="atLeast"/>
                <w:ind w:firstLine="567"/>
                <w:jc w:val="both"/>
                <w:rPr>
                  <w:color w:val="000000"/>
                  <w:lang w:eastAsia="lt-LT" w:bidi="en-US"/>
                </w:rPr>
              </w:pPr>
              <w:sdt>
                <w:sdtPr>
                  <w:alias w:val="Numeris"/>
                  <w:tag w:val="nr_7899c02b634148459f2a01d8d33bdbec"/>
                  <w:lock w:val="sdtLocked"/>
                  <w:richText/>
                </w:sdtPr>
                <w:sdtContent>
                  <w:r>
                    <w:rPr>
                      <w:color w:val="000000"/>
                      <w:lang w:eastAsia="lt-LT" w:bidi="en-US"/>
                    </w:rPr>
                    <w:t>10</w:t>
                  </w:r>
                </w:sdtContent>
              </w:sdt>
              <w:r>
                <w:rPr>
                  <w:color w:val="000000"/>
                  <w:lang w:eastAsia="lt-LT" w:bidi="en-US"/>
                </w:rPr>
                <w:t>. Lietuvos Respublikos Vyriausybės nutarimo projektas, 1 lapas</w:t>
              </w:r>
            </w:p>
          </w:sdtContent>
        </w:sdt>
        <w:sdt>
          <w:sdtPr>
            <w:alias w:val="11 p."/>
            <w:tag w:val="part_34938888f8824d80b906c76dd7a0248d"/>
            <w:lock w:val="sdtLocked"/>
            <w:richText/>
          </w:sdtPr>
          <w:sdtContent>
            <w:p>
              <w:pPr>
                <w:widowControl w:val="0"/>
                <w:spacing w:line="23" w:lineRule="atLeast"/>
                <w:ind w:firstLine="567"/>
                <w:jc w:val="both"/>
                <w:rPr>
                  <w:color w:val="000000"/>
                  <w:lang w:eastAsia="lt-LT" w:bidi="en-US"/>
                </w:rPr>
              </w:pPr>
              <w:sdt>
                <w:sdtPr>
                  <w:alias w:val="Numeris"/>
                  <w:tag w:val="nr_34938888f8824d80b906c76dd7a0248d"/>
                  <w:lock w:val="sdtLocked"/>
                  <w:richText/>
                </w:sdtPr>
                <w:sdtContent>
                  <w:r>
                    <w:rPr>
                      <w:color w:val="000000"/>
                      <w:lang w:eastAsia="lt-LT" w:bidi="en-US"/>
                    </w:rPr>
                    <w:t>11</w:t>
                  </w:r>
                </w:sdtContent>
              </w:sdt>
              <w:r>
                <w:rPr>
                  <w:color w:val="000000"/>
                  <w:lang w:eastAsia="lt-LT" w:bidi="en-US"/>
                </w:rPr>
                <w:t>. Atitikties lentelės, 2</w:t>
              </w:r>
              <w:r>
                <w:rPr>
                  <w:color w:val="000000"/>
                  <w:lang w:val="en-US" w:eastAsia="lt-LT" w:bidi="en-US"/>
                </w:rPr>
                <w:t>4</w:t>
              </w:r>
              <w:r>
                <w:rPr>
                  <w:color w:val="000000"/>
                  <w:lang w:eastAsia="lt-LT" w:bidi="en-US"/>
                </w:rPr>
                <w:t xml:space="preserve"> lapai.</w:t>
              </w:r>
            </w:p>
            <w:p>
              <w:pPr>
                <w:widowControl w:val="0"/>
                <w:suppressLineNumbers/>
                <w:spacing w:line="23" w:lineRule="atLeast"/>
                <w:ind w:firstLine="567"/>
                <w:jc w:val="both"/>
                <w:rPr>
                  <w:color w:val="000000"/>
                  <w:lang w:eastAsia="lt-LT"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pacing w:line="23" w:lineRule="atLeast"/>
                      <w:jc w:val="both"/>
                      <w:rPr>
                        <w:rFonts w:eastAsia="Andale Sans UI"/>
                        <w:lang w:bidi="en-US"/>
                      </w:rPr>
                    </w:pPr>
                    <w:r>
                      <w:rPr>
                        <w:rFonts w:eastAsia="Andale Sans UI"/>
                        <w:lang w:bidi="en-US"/>
                      </w:rPr>
                      <w:t>Aplinkos viceministrė</w:t>
                    </w:r>
                  </w:p>
                </w:tc>
                <w:tc>
                  <w:tcPr>
                    <w:tcW w:w="4826" w:type="dxa"/>
                    <w:vAlign w:val="bottom"/>
                  </w:tcPr>
                  <w:p>
                    <w:pPr>
                      <w:widowControl w:val="0"/>
                      <w:spacing w:line="23" w:lineRule="atLeast"/>
                      <w:ind w:right="34"/>
                      <w:jc w:val="right"/>
                      <w:rPr>
                        <w:rFonts w:eastAsia="Andale Sans UI"/>
                        <w:lang w:bidi="en-US"/>
                      </w:rPr>
                    </w:pPr>
                    <w:r>
                      <w:rPr>
                        <w:rFonts w:eastAsia="Andale Sans UI"/>
                        <w:lang w:bidi="en-US"/>
                      </w:rPr>
                      <w:t>Akvilė Gargasaitė</w:t>
                    </w:r>
                  </w:p>
                </w:tc>
              </w:tr>
              <w:tr>
                <w:trPr>
                  <w:trHeight w:val="340"/>
                </w:trPr>
                <w:tc>
                  <w:tcPr>
                    <w:tcW w:w="4817" w:type="dxa"/>
                    <w:vAlign w:val="bottom"/>
                  </w:tcPr>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p>
                    <w:pPr>
                      <w:widowControl w:val="0"/>
                      <w:suppressLineNumbers/>
                      <w:spacing w:line="23" w:lineRule="atLeast"/>
                      <w:jc w:val="both"/>
                      <w:rPr>
                        <w:rFonts w:eastAsia="Andale Sans UI"/>
                        <w:lang w:bidi="en-US"/>
                      </w:rPr>
                    </w:pPr>
                  </w:p>
                </w:tc>
                <w:tc>
                  <w:tcPr>
                    <w:tcW w:w="4826" w:type="dxa"/>
                    <w:vAlign w:val="bottom"/>
                  </w:tcPr>
                  <w:p>
                    <w:pPr>
                      <w:widowControl w:val="0"/>
                      <w:spacing w:line="23" w:lineRule="atLeast"/>
                      <w:ind w:right="34"/>
                      <w:jc w:val="right"/>
                      <w:rPr>
                        <w:rFonts w:eastAsia="Andale Sans UI"/>
                        <w:lang w:bidi="en-US"/>
                      </w:rPr>
                    </w:pPr>
                  </w:p>
                </w:tc>
              </w:tr>
              <w:tr>
                <w:trPr>
                  <w:cantSplit/>
                  <w:trHeight w:val="340"/>
                </w:trPr>
                <w:tc>
                  <w:tcPr>
                    <w:tcW w:w="9643" w:type="dxa"/>
                    <w:gridSpan w:val="2"/>
                  </w:tcPr>
                  <w:p>
                    <w:pPr>
                      <w:widowControl w:val="0"/>
                      <w:suppressLineNumbers/>
                      <w:spacing w:line="23" w:lineRule="atLeast"/>
                      <w:jc w:val="both"/>
                      <w:rPr>
                        <w:color w:val="0000FF"/>
                        <w:u w:val="single"/>
                      </w:rPr>
                    </w:pPr>
                    <w:r>
                      <w:t xml:space="preserve">E. Razbadauskaitė, tel. +370 6 20 31528, el. p. </w:t>
                    </w:r>
                    <w:r>
                      <w:rPr>
                        <w:color w:val="0000FF"/>
                        <w:u w:val="single"/>
                      </w:rPr>
                      <w:t>egle.razbadauskaite@am.lt</w:t>
                    </w:r>
                  </w:p>
                  <w:p>
                    <w:pPr>
                      <w:widowControl w:val="0"/>
                      <w:suppressLineNumbers/>
                      <w:spacing w:line="23" w:lineRule="atLeast"/>
                      <w:jc w:val="both"/>
                    </w:pPr>
                  </w:p>
                </w:tc>
              </w:tr>
            </w:tbl>
            <w:p>
              <w:pPr>
                <w:widowControl w:val="0"/>
                <w:spacing w:line="23" w:lineRule="atLeast"/>
                <w:jc w:val="center"/>
                <w:rPr>
                  <w:rFonts w:eastAsia="Andale Sans UI"/>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tabs>
                  <w:tab w:val="center" w:pos="4986"/>
                  <w:tab w:val="right" w:pos="9972"/>
                </w:tabs>
                <w:rPr>
                  <w:rFonts w:eastAsia="Andale Sans UI"/>
                </w:rPr>
              </w:pPr>
            </w:p>
            <w:p>
              <w:pPr>
                <w:jc w:val="center"/>
                <w:rPr>
                  <w:rFonts w:eastAsia="Andale Sans UI" w:cs="Tahoma"/>
                  <w:lang w:bidi="en-US"/>
                </w:rPr>
              </w:pPr>
              <w:r>
                <w:rPr>
                  <w:rFonts w:eastAsia="Andale Sans UI" w:cs="Tahoma"/>
                  <w:lang w:bidi="en-US"/>
                </w:rPr>
                <w:t>ADRESATŲ SĄRAŠAS</w:t>
              </w:r>
            </w:p>
            <w:p>
              <w:pPr>
                <w:ind w:firstLine="567"/>
                <w:jc w:val="center"/>
                <w:rPr>
                  <w:rFonts w:eastAsia="Andale Sans UI" w:cs="Tahoma"/>
                  <w:szCs w:val="24"/>
                  <w:lang w:bidi="en-US"/>
                </w:rPr>
              </w:pPr>
            </w:p>
            <w:p>
              <w:pPr>
                <w:jc w:val="both"/>
                <w:textAlignment w:val="baseline"/>
                <w:rPr>
                  <w:color w:val="000000"/>
                  <w:szCs w:val="24"/>
                  <w:lang w:val="lt" w:bidi="en-US"/>
                </w:rPr>
              </w:pPr>
            </w:p>
            <w:p>
              <w:pPr>
                <w:jc w:val="both"/>
                <w:textAlignment w:val="baseline"/>
                <w:rPr>
                  <w:lang w:bidi="en-US"/>
                </w:rPr>
              </w:pPr>
              <w:r>
                <w:rPr>
                  <w:lang w:val="lt" w:bidi="en-US"/>
                </w:rPr>
                <w:t xml:space="preserve">Lietuvos Respublikos ekonomikos ir inovacijų ministerijai </w:t>
              </w:r>
            </w:p>
            <w:p>
              <w:pPr>
                <w:jc w:val="both"/>
                <w:textAlignment w:val="baseline"/>
                <w:rPr>
                  <w:lang w:bidi="en-US"/>
                </w:rPr>
              </w:pPr>
              <w:r>
                <w:rPr>
                  <w:lang w:val="lt" w:bidi="en-US"/>
                </w:rPr>
                <w:t>Lietuvos Respublikos</w:t>
              </w:r>
              <w:r>
                <w:rPr>
                  <w:lang w:bidi="en-US"/>
                </w:rPr>
                <w:t xml:space="preserve"> finansų ministerijai</w:t>
              </w:r>
            </w:p>
            <w:p>
              <w:pPr>
                <w:jc w:val="both"/>
                <w:rPr>
                  <w:lang w:val="lt" w:bidi="en-US"/>
                </w:rPr>
              </w:pPr>
              <w:r>
                <w:rPr>
                  <w:lang w:val="lt" w:bidi="en-US"/>
                </w:rPr>
                <w:t>Lietuvos Respublikos teisingumo ministerijai</w:t>
              </w:r>
            </w:p>
            <w:p>
              <w:pPr>
                <w:jc w:val="both"/>
                <w:rPr>
                  <w:color w:val="000000"/>
                  <w:lang w:bidi="en-US"/>
                </w:rPr>
              </w:pPr>
              <w:r>
                <w:rPr>
                  <w:lang w:val="lt" w:bidi="en-US"/>
                </w:rPr>
                <w:t>Vyriausybės atstovų įstaigai</w:t>
              </w:r>
            </w:p>
            <w:p>
              <w:pPr>
                <w:jc w:val="both"/>
              </w:pPr>
              <w:r>
                <w:t>Aplinkos apsaugos agentūrai</w:t>
                <w:br/>
                <w:t xml:space="preserve">Aplinkos apsaugos departamentui prie Aplinkos ministerijos </w:t>
              </w:r>
            </w:p>
            <w:p>
              <w:pPr>
                <w:jc w:val="both"/>
                <w:rPr>
                  <w:lang w:val="lt" w:bidi="en-US"/>
                </w:rPr>
              </w:pPr>
              <w:r>
                <w:t>Muitinės departamentas prie Finansų ministerijos</w:t>
              </w:r>
            </w:p>
            <w:p>
              <w:pPr>
                <w:jc w:val="both"/>
              </w:pPr>
              <w:r>
                <w:t>Valstybinei mokesčių inspekcijai prie Finansų ministerijos</w:t>
              </w:r>
            </w:p>
            <w:p>
              <w:pPr>
                <w:jc w:val="both"/>
              </w:pPr>
              <w:r>
                <w:t>Lietuvos Respublikos specialiųjų tyrimų tarnybai</w:t>
                <w:br/>
                <w:t>Valstybinei vartotojų teisių apsaugos tarnybai</w:t>
              </w:r>
            </w:p>
            <w:p>
              <w:pPr>
                <w:jc w:val="both"/>
              </w:pPr>
              <w:r>
                <w:t>Viešajai įstaigai Inovacijų agentūrai</w:t>
              </w:r>
            </w:p>
            <w:p>
              <w:pPr>
                <w:jc w:val="both"/>
              </w:pPr>
              <w:r>
                <w:t>Lietuvos savivaldybių asociacijai</w:t>
                <w:br/>
                <w:t>Lietuvos regioninių atliekų tvarkymo centrų asociacijai</w:t>
                <w:br/>
                <w:t>Lietuvos savivaldybių komunalinių įmonių asociacijai</w:t>
                <w:br/>
                <w:t>Lietuvos komunalininkų ir atliekų tvarkytojų asociacijai</w:t>
                <w:br/>
                <w:t>Atliekų tvarkytojų ir turėtojų asociacijai</w:t>
                <w:br/>
                <w:t>Gamintojų ir importuotojų asociacijai</w:t>
                <w:br/>
                <w:t>Lietuvos pramonininkų konfederacijai</w:t>
                <w:br/>
                <w:t>Lietuvos verslo konfederacijai</w:t>
                <w:br/>
                <w:t>Aplinkosaugos koalicijai</w:t>
                <w:br/>
                <w:t>VšĮ „Žiedinė ekonomika“</w:t>
              </w:r>
            </w:p>
            <w:p>
              <w:pPr>
                <w:jc w:val="both"/>
                <w:rPr>
                  <w:color w:val="000000"/>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sz w:val="20"/>
        </w:rPr>
      </w:pPr>
      <w:r>
        <w:rPr>
          <w:rFonts w:eastAsia="Andale Sans UI"/>
          <w:sz w:val="20"/>
          <w:vertAlign w:val="superscript"/>
        </w:rPr>
        <w:footnoteRef/>
      </w:r>
      <w:r>
        <w:rPr>
          <w:color w:val="000080"/>
          <w:sz w:val="20"/>
          <w:u w:val="single"/>
        </w:rPr>
        <w:t xml:space="preserve"> </w:t>
      </w:r>
      <w:hyperlink r:id="rId1">
        <w:r>
          <w:rPr>
            <w:color w:val="0000FF"/>
            <w:sz w:val="20"/>
            <w:u w:val="single"/>
          </w:rPr>
          <w:t>Dvidešimtosios</w:t>
        </w:r>
        <w:r>
          <w:rPr>
            <w:color w:val="000080"/>
            <w:sz w:val="20"/>
            <w:u w:val="single"/>
          </w:rPr>
          <w:t xml:space="preserve"> </w:t>
        </w:r>
        <w:r>
          <w:rPr>
            <w:color w:val="0000FF"/>
            <w:sz w:val="20"/>
            <w:u w:val="single"/>
          </w:rPr>
          <w:t>Lietuvos Respublikos Vyriausybės programa</w:t>
        </w:r>
      </w:hyperlink>
      <w:r>
        <w:rPr>
          <w:color w:val="000000"/>
          <w:sz w:val="20"/>
        </w:rPr>
        <w:t>, kuriai pritarta Lietuvos Respublikos Seimo 2025 m. rugsėjo 25 d. nutarimu Nr. XV-439 „Dėl Dvidešimtosios Lietuvos Respublikos Vyriausybės programos“.</w:t>
      </w:r>
    </w:p>
    <w:p>
      <w:pPr>
        <w:tabs>
          <w:tab w:val="left" w:pos="2127"/>
        </w:tabs>
        <w:jc w:val="both"/>
        <w:rPr>
          <w:rFonts w:eastAsia="Andale Sans UI"/>
          <w:sz w:val="20"/>
        </w:rPr>
      </w:pPr>
    </w:p>
  </w:footnote>
  <w:footnote w:id="3">
    <w:p>
      <w:pPr>
        <w:rPr>
          <w:sz w:val="20"/>
        </w:rPr>
      </w:pPr>
      <w:r>
        <w:rPr>
          <w:sz w:val="20"/>
          <w:vertAlign w:val="superscript"/>
        </w:rPr>
        <w:footnoteRef/>
      </w:r>
      <w:r>
        <w:rPr>
          <w:sz w:val="20"/>
        </w:rPr>
        <w:t xml:space="preserve">  </w:t>
      </w:r>
      <w:hyperlink r:id="rId2" w:tgtFrame="_blank" w:history="1">
        <w:r>
          <w:rPr>
            <w:color w:val="0000FF"/>
            <w:sz w:val="20"/>
            <w:u w:val="single"/>
          </w:rPr>
          <w:t>Europos Sąjungos reikalų koordinavimo taisyklių</w:t>
        </w:r>
      </w:hyperlink>
      <w:r>
        <w:rPr>
          <w:sz w:val="20"/>
        </w:rPr>
        <w:t>, patvirtintų Lietuvos Respublikos Vyriausybės 2004 m. sausio 9 d. nutarimu Nr. 21 „Dėl Europos Sąjungos reikalų koordinavimo“, 7 priedas.</w:t>
      </w:r>
    </w:p>
  </w:footnote>
  <w:footnote w:id="4">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r>
          <w:rPr>
            <w:color w:val="000080"/>
            <w:sz w:val="20"/>
            <w:u w:val="single"/>
            <w:lang w:eastAsia="lt-LT"/>
          </w:rPr>
          <w:t>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8">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Lietuvos Respublikos Vyriausybės darbo reglamentas</w:t>
      </w:r>
      <w:r>
        <w:rPr>
          <w:rFonts w:eastAsia="Andale Sans UI"/>
          <w:sz w:val="20"/>
        </w:rPr>
        <w:t>, patvirtintas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 w:id="9">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Lietuvos Respublikos Seimo statuto</w:t>
      </w:r>
      <w:r>
        <w:rPr>
          <w:rFonts w:eastAsia="Andale Sans UI"/>
          <w:color w:val="000000"/>
          <w:sz w:val="20"/>
          <w:shd w:val="clear" w:color="auto" w:fill="FFFFFF"/>
          <w:lang w:bidi="en-US"/>
        </w:rPr>
        <w:t xml:space="preserve"> 135 straipsnio 3 dalis.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029646C-3C72-4E72-BE49-B1FDFD16B4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0828453">
      <w:bodyDiv w:val="1"/>
      <w:marLeft w:val="0"/>
      <w:marRight w:val="0"/>
      <w:marTop w:val="0"/>
      <w:marBottom w:val="0"/>
      <w:divBdr>
        <w:top w:val="none" w:sz="0" w:space="0" w:color="auto"/>
        <w:left w:val="none" w:sz="0" w:space="0" w:color="auto"/>
        <w:bottom w:val="none" w:sz="0" w:space="0" w:color="auto"/>
        <w:right w:val="none" w:sz="0" w:space="0" w:color="auto"/>
      </w:divBdr>
      <w:divsChild>
        <w:div w:id="1227574701">
          <w:marLeft w:val="0"/>
          <w:marRight w:val="0"/>
          <w:marTop w:val="0"/>
          <w:marBottom w:val="0"/>
          <w:divBdr>
            <w:top w:val="none" w:sz="0" w:space="0" w:color="auto"/>
            <w:left w:val="none" w:sz="0" w:space="0" w:color="auto"/>
            <w:bottom w:val="none" w:sz="0" w:space="0" w:color="auto"/>
            <w:right w:val="none" w:sz="0" w:space="0" w:color="auto"/>
          </w:divBdr>
        </w:div>
        <w:div w:id="1919435652">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61994316">
      <w:bodyDiv w:val="1"/>
      <w:marLeft w:val="0"/>
      <w:marRight w:val="0"/>
      <w:marTop w:val="0"/>
      <w:marBottom w:val="0"/>
      <w:divBdr>
        <w:top w:val="none" w:sz="0" w:space="0" w:color="auto"/>
        <w:left w:val="none" w:sz="0" w:space="0" w:color="auto"/>
        <w:bottom w:val="none" w:sz="0" w:space="0" w:color="auto"/>
        <w:right w:val="none" w:sz="0" w:space="0" w:color="auto"/>
      </w:divBdr>
      <w:divsChild>
        <w:div w:id="402801865">
          <w:marLeft w:val="0"/>
          <w:marRight w:val="0"/>
          <w:marTop w:val="0"/>
          <w:marBottom w:val="0"/>
          <w:divBdr>
            <w:top w:val="none" w:sz="0" w:space="0" w:color="auto"/>
            <w:left w:val="none" w:sz="0" w:space="0" w:color="auto"/>
            <w:bottom w:val="none" w:sz="0" w:space="0" w:color="auto"/>
            <w:right w:val="none" w:sz="0" w:space="0" w:color="auto"/>
          </w:divBdr>
        </w:div>
        <w:div w:id="1635793481">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44625259">
      <w:bodyDiv w:val="1"/>
      <w:marLeft w:val="0"/>
      <w:marRight w:val="0"/>
      <w:marTop w:val="0"/>
      <w:marBottom w:val="0"/>
      <w:divBdr>
        <w:top w:val="none" w:sz="0" w:space="0" w:color="auto"/>
        <w:left w:val="none" w:sz="0" w:space="0" w:color="auto"/>
        <w:bottom w:val="none" w:sz="0" w:space="0" w:color="auto"/>
        <w:right w:val="none" w:sz="0" w:space="0" w:color="auto"/>
      </w:divBdr>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 w:id="1730104382">
      <w:bodyDiv w:val="1"/>
      <w:marLeft w:val="0"/>
      <w:marRight w:val="0"/>
      <w:marTop w:val="0"/>
      <w:marBottom w:val="0"/>
      <w:divBdr>
        <w:top w:val="none" w:sz="0" w:space="0" w:color="auto"/>
        <w:left w:val="none" w:sz="0" w:space="0" w:color="auto"/>
        <w:bottom w:val="none" w:sz="0" w:space="0" w:color="auto"/>
        <w:right w:val="none" w:sz="0" w:space="0" w:color="auto"/>
      </w:divBdr>
    </w:div>
    <w:div w:id="1890649733">
      <w:bodyDiv w:val="1"/>
      <w:marLeft w:val="0"/>
      <w:marRight w:val="0"/>
      <w:marTop w:val="0"/>
      <w:marBottom w:val="0"/>
      <w:divBdr>
        <w:top w:val="none" w:sz="0" w:space="0" w:color="auto"/>
        <w:left w:val="none" w:sz="0" w:space="0" w:color="auto"/>
        <w:bottom w:val="none" w:sz="0" w:space="0" w:color="auto"/>
        <w:right w:val="none" w:sz="0" w:space="0" w:color="auto"/>
      </w:divBdr>
      <w:divsChild>
        <w:div w:id="1033310272">
          <w:marLeft w:val="0"/>
          <w:marRight w:val="0"/>
          <w:marTop w:val="0"/>
          <w:marBottom w:val="0"/>
          <w:divBdr>
            <w:top w:val="none" w:sz="0" w:space="0" w:color="auto"/>
            <w:left w:val="none" w:sz="0" w:space="0" w:color="auto"/>
            <w:bottom w:val="none" w:sz="0" w:space="0" w:color="auto"/>
            <w:right w:val="none" w:sz="0" w:space="0" w:color="auto"/>
          </w:divBdr>
        </w:div>
        <w:div w:id="2033871494">
          <w:marLeft w:val="0"/>
          <w:marRight w:val="0"/>
          <w:marTop w:val="0"/>
          <w:marBottom w:val="0"/>
          <w:divBdr>
            <w:top w:val="none" w:sz="0" w:space="0" w:color="auto"/>
            <w:left w:val="none" w:sz="0" w:space="0" w:color="auto"/>
            <w:bottom w:val="none" w:sz="0" w:space="0" w:color="auto"/>
            <w:right w:val="none" w:sz="0" w:space="0" w:color="auto"/>
          </w:divBdr>
        </w:div>
      </w:divsChild>
    </w:div>
    <w:div w:id="2094542883">
      <w:bodyDiv w:val="1"/>
      <w:marLeft w:val="0"/>
      <w:marRight w:val="0"/>
      <w:marTop w:val="0"/>
      <w:marBottom w:val="0"/>
      <w:divBdr>
        <w:top w:val="none" w:sz="0" w:space="0" w:color="auto"/>
        <w:left w:val="none" w:sz="0" w:space="0" w:color="auto"/>
        <w:bottom w:val="none" w:sz="0" w:space="0" w:color="auto"/>
        <w:right w:val="none" w:sz="0" w:space="0" w:color="auto"/>
      </w:divBdr>
      <w:divsChild>
        <w:div w:id="756171405">
          <w:marLeft w:val="0"/>
          <w:marRight w:val="0"/>
          <w:marTop w:val="0"/>
          <w:marBottom w:val="0"/>
          <w:divBdr>
            <w:top w:val="none" w:sz="0" w:space="0" w:color="auto"/>
            <w:left w:val="none" w:sz="0" w:space="0" w:color="auto"/>
            <w:bottom w:val="none" w:sz="0" w:space="0" w:color="auto"/>
            <w:right w:val="none" w:sz="0" w:space="0" w:color="auto"/>
          </w:divBdr>
        </w:div>
        <w:div w:id="11815031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24" Type="http://schemas.microsoft.com/office/2019/05/relationships/documenttasks" Target="documenttasks/documenttasks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568b271299f611f0a8bbd1e98310677d"/>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s>

</file>

<file path=word/documenttasks/documenttasks1.xml><?xml version="1.0" encoding="utf-8"?>
<t:Tasks xmlns:t="http://schemas.microsoft.com/office/tasks/2019/documenttasks" xmlns:oel="http://schemas.microsoft.com/office/2019/extlst">
  <t:Task id="{FB9A19EF-2AC3-404B-AB28-29562B870B36}">
    <t:Anchor>
      <t:Comment id="401629600"/>
    </t:Anchor>
    <t:History>
      <t:Event id="{EAEF290D-F076-4B31-8EE6-9637571F6321}" time="2026-03-09T09:23:01.295Z">
        <t:Attribution userId="S::greta.cesnaityte@am.lt::4a39d102-2f72-4a87-a7f5-5df777fe2244" userProvider="AD" userName="Greta Česnaitytė"/>
        <t:Anchor>
          <t:Comment id="401629600"/>
        </t:Anchor>
        <t:Create/>
      </t:Event>
      <t:Event id="{6B858497-9407-4770-AFF8-F44E36818EA1}" time="2026-03-09T09:23:01.295Z">
        <t:Attribution userId="S::greta.cesnaityte@am.lt::4a39d102-2f72-4a87-a7f5-5df777fe2244" userProvider="AD" userName="Greta Česnaitytė"/>
        <t:Anchor>
          <t:Comment id="401629600"/>
        </t:Anchor>
        <t:Assign userId="S::egle.razbadauskaite@am.lt::70e06f00-c97d-4616-b1d4-505468183c3c" userProvider="AD" userName="Eglė Razbadauskaitė"/>
      </t:Event>
      <t:Event id="{56F3956C-2B1D-44EA-8A37-38AA48084173}" time="2026-03-09T09:23:01.295Z">
        <t:Attribution userId="S::greta.cesnaityte@am.lt::4a39d102-2f72-4a87-a7f5-5df777fe2244" userProvider="AD" userName="Greta Česnaitytė"/>
        <t:Anchor>
          <t:Comment id="401629600"/>
        </t:Anchor>
        <t:SetTitle title="@Eglė Razbadauskaitė @Gitana Vaikšnoraitė-Petkienė ar nereikia kitais žodžiai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5fbf58d0c4264eb9ad820b7c44297886" PartId="4e36a5b8f8d347f5885a9510b99af13a"/>
  <Part Type="pastraipa" DocPartId="695e48e6ab974920a4dda5ca235f3fc0" PartId="b575abc6eaf6458c9926d79d10dd0fd3">
    <Part Type="punktas" Nr="1" Abbr="1 p." DocPartId="0888fcd4142347cfbd57bf52ef02027e" PartId="e38b490aed864dbcb6ca49dfe5cf9caf"/>
    <Part Type="punktas" Nr="2" Abbr="2 p." DocPartId="af13dfdb84344cd7930aaf4e06e8303c" PartId="aebf2b837749456f9559383fd2a5e38e"/>
    <Part Type="punktas" Nr="3" Abbr="3 p." DocPartId="e51ef4fa96884635b974eefc98e8e5e8" PartId="c10a927a3f164074b2a6c8848d6ce53d"/>
    <Part Type="punktas" Nr="4" Abbr="4 p." DocPartId="a4ef00d634a14acbbb63e5b033063015" PartId="d22f8bb1afa24b5293f022e4286d2c17"/>
    <Part Type="punktas" Nr="5" Abbr="5 p." DocPartId="e02d82b24e264d1abb1c9b58ffa71292" PartId="2c913948e6af421cb20c964e24367f96"/>
    <Part Type="punktas" Nr="6" Abbr="6 p." DocPartId="dece7878326e428495fcd1e531ddb321" PartId="52260830b2d843519c78d5b34093fcb0"/>
    <Part Type="punktas" Nr="7" Abbr="7 p." DocPartId="e737fea8ca96469288654a538c878c8f" PartId="85fea99b5ca346d49d2ca895ba6979f3"/>
    <Part Type="punktas" Nr="8" Abbr="8 p." DocPartId="33bc2339956f4590b186e392130c1038" PartId="f8a2d029004146f692316eb19085c42d"/>
    <Part Type="punktas" Nr="9" Abbr="9 p." DocPartId="b3b407c5846244c0b097c786ca6eecdb" PartId="bb9478f447d64b59a0cf484698b065f5"/>
    <Part Type="punktas" Nr="10" Abbr="10 p." DocPartId="1f974aceae044706ad3431e31bc7f9c6" PartId="cabe8659f36d491682d4b73fef3d201f"/>
    <Part Type="punktas" Nr="11" Abbr="11 p." DocPartId="b61f170b8c8c486c9133507c92348234" PartId="b2943e0393224422a28a4a35e966222d"/>
    <Part Type="punktas" Nr="12" Abbr="12 p." DocPartId="d771f8c20b7d498ca480d1a41fe66e58" PartId="438a3da198f54e91890fff4c27d723d7"/>
    <Part Type="punktas" Nr="13" Abbr="13 p." DocPartId="d7a21a190e524a9d8109d7961a59345c" PartId="132e5e34e2d0416c9b4237fad5bf94f8"/>
    <Part Type="punktas" Nr="14" Abbr="14 p." DocPartId="7f2eac3948ef4044be784a28379d163c" PartId="6d398f9deae24ac4b71a09416b040849"/>
    <Part Type="punktas" Nr="15" Abbr="15 p." DocPartId="a83a2bfceb3e46469674138977808af5" PartId="5fff86b9a1144a638de0646fe34e8836"/>
    <Part Type="punktas" Nr="1" Abbr="1 p." Notes="Numeris ne iš eilės. Trūksta dalių? [DocDalys]" DocPartId="eabfa3c49a514dad96b3ffabfe8966b5" PartId="7da06df9aedc48e996cfdc669a108e69"/>
    <Part Type="punktas" Nr="2" Abbr="2 p." DocPartId="05394e585d494c5d9c2b0e10438d697a" PartId="b7bb529b6cee447d9ca7551b9372db29"/>
    <Part Type="punktas" Nr="3" Abbr="3 p." DocPartId="e25a01c69d294ddd85a7a2644e9eb26e" PartId="ed18f17741674c3bb3a5e5e80e6a8cd2"/>
    <Part Type="punktas" Nr="4" Abbr="4 p." DocPartId="365049fe2a2b43ee95c89de8a776ffc4" PartId="b775a698e8cf429dba56d602036b34ea"/>
    <Part Type="punktas" Nr="5" Abbr="5 p." DocPartId="6c202354f8cf417eba3b9f1950dc4a80" PartId="7c419b41b4074d09bb8ddbe42774b043"/>
    <Part Type="punktas" Nr="6" Abbr="6 p." DocPartId="a5aff50d2208419b9f98e3f209a30044" PartId="a1ff11c595e848eab0c2b8c4b8be604d"/>
    <Part Type="punktas" Nr="7" Abbr="7 p." DocPartId="6a826ec962d8454db5bc27060eabac0e" PartId="a0e3a593e77941acb755329a1c9b5b5f"/>
    <Part Type="punktas" Nr="8" Abbr="8 p." DocPartId="2999d794434d4ee3a9e61b7f45a66a8c" PartId="0faddfd577ef44f5a7b5097b83c45389"/>
    <Part Type="punktas" Nr="9" Abbr="9 p." DocPartId="27e6cefb928a424d9db160ac7649e59e" PartId="30969b85654b4b7ba91e0d1dcd52abd3"/>
    <Part Type="punktas" Nr="10" Abbr="10 p." DocPartId="31b98ec3b725426b9fca0ec2def6b36e" PartId="5336038f030e41c9abde096d7b583869"/>
    <Part Type="punktas" Nr="10" Abbr="10 p." Notes="Numeris ne iš eilės. Trūksta dalių? [DocDalys]" DocPartId="e0b4985b41aa4a3f8308c865ccb3eac3" PartId="7899c02b634148459f2a01d8d33bdbec"/>
    <Part Type="punktas" Nr="11" Abbr="11 p." DocPartId="ca26f13dd68d4f9c9232c42fd4252394" PartId="34938888f8824d80b906c76dd7a0248d"/>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BC3FF3FE-9DFA-49DB-8733-DDF54D39E3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5A5E74A0-A28E-4274-8D3A-D1B46BA1D890}">
  <ds:schemaRefs>
    <ds:schemaRef ds:uri="http://schemas.openxmlformats.org/officeDocument/2006/bibliography"/>
  </ds:schemaRefs>
</ds:datastoreItem>
</file>

<file path=customXml/itemProps5.xml><?xml version="1.0" encoding="utf-8"?>
<ds:datastoreItem xmlns:ds="http://schemas.openxmlformats.org/officeDocument/2006/customXml" ds:itemID="{A164ACE7-212A-4199-835F-05E0C8D5AF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1546</Words>
  <Characters>11459</Characters>
  <Application>Microsoft Office Word</Application>
  <DocSecurity>4</DocSecurity>
  <Lines>229</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2026-03-23T06:24:00Z</dcterms:created>
  <dc:creator>Neringa Paškauskaitė</dc:creator>
  <lastModifiedBy>adlibuser</lastModifiedBy>
  <dcterms:modified xsi:type="dcterms:W3CDTF">2026-03-23T06:24:00Z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