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423d5c256f34548b074352153f68c5f"/>
        <w:lock w:val="sdtLocked"/>
        <w:richText/>
      </w:sdtPr>
      <w:sdtContent>
        <w:p w14:paraId="1D0E03C9" w14:textId="77777777">
          <w:pPr>
            <w:tabs>
              <w:tab w:val="center" w:pos="4320"/>
              <w:tab w:val="right" w:pos="8640"/>
            </w:tabs>
            <w:rPr>
              <w:lang w:val="x-none" w:eastAsia="x-none"/>
            </w:rPr>
          </w:pPr>
        </w:p>
        <w:p w14:paraId="7D552AE8" w14:textId="77777777">
          <w:pPr>
            <w:jc w:val="center"/>
            <w:rPr>
              <w:szCs w:val="24"/>
            </w:rPr>
          </w:pPr>
          <w:r>
            <w:rPr>
              <w:b/>
              <w:szCs w:val="24"/>
            </w:rPr>
            <w:t>ŠIAULIŲ MIESTO SAVIVALDYBĖS ADMINISTRACIJOS</w:t>
          </w:r>
        </w:p>
        <w:sdt>
          <w:sdtPr>
            <w:alias w:val="skyrius"/>
            <w:tag w:val="part_79e4e2eb5efe4a8baba951119cc871d1"/>
            <w:lock w:val="sdtLocked"/>
            <w:richText/>
          </w:sdtPr>
          <w:sdtContent>
            <w:p w14:paraId="76B9982C" w14:textId="5E73C798">
              <w:pPr>
                <w:jc w:val="center"/>
                <w:rPr>
                  <w:b/>
                  <w:szCs w:val="24"/>
                </w:rPr>
              </w:pPr>
              <w:r>
                <w:rPr>
                  <w:b/>
                  <w:szCs w:val="24"/>
                </w:rPr>
                <w:t>ŠVIETIMO SKYRIUS</w:t>
              </w:r>
            </w:p>
            <w:p w14:paraId="7D552AEA" w14:textId="77777777">
              <w:pPr>
                <w:rPr>
                  <w:b/>
                  <w:szCs w:val="24"/>
                </w:rPr>
              </w:pPr>
            </w:p>
            <w:p w14:paraId="7D552AEC" w14:textId="6349DB91">
              <w:pPr>
                <w:jc w:val="center"/>
                <w:rPr>
                  <w:b/>
                  <w:szCs w:val="24"/>
                  <w:lang w:eastAsia="x-none"/>
                </w:rPr>
              </w:pPr>
              <w:sdt>
                <w:sdtPr>
                  <w:alias w:val="Pavadinimas"/>
                  <w:tag w:val="title_79e4e2eb5efe4a8baba951119cc871d1"/>
                  <w:lock w:val="sdtLocked"/>
                  <w:richText/>
                </w:sdtPr>
                <w:sdtContent>
                  <w:r>
                    <w:rPr>
                      <w:b/>
                      <w:szCs w:val="24"/>
                      <w:lang w:eastAsia="x-none"/>
                    </w:rPr>
                    <w:t>SPRENDIMO „DĖL PRITARIMO ĮGYVENDINTI PROJEKTĄ „</w:t>
                  </w:r>
                  <w:r>
                    <w:rPr>
                      <w:b/>
                      <w:szCs w:val="24"/>
                      <w:lang w:val="x-none" w:eastAsia="x-none"/>
                    </w:rPr>
                    <w:t>ŠVIETIMO ĮSTAIGŲ VADOVŲ MENTORIŲ RENGIMAS</w:t>
                  </w:r>
                  <w:r>
                    <w:rPr>
                      <w:b/>
                      <w:szCs w:val="24"/>
                      <w:lang w:eastAsia="x-none"/>
                    </w:rPr>
                    <w:t>“ PROJEKTO AIŠKINAMASIS RAŠTAS</w:t>
                  </w:r>
                </w:sdtContent>
              </w:sdt>
            </w:p>
            <w:p w14:paraId="7D552AED" w14:textId="77777777">
              <w:pPr>
                <w:jc w:val="center"/>
                <w:rPr>
                  <w:szCs w:val="24"/>
                </w:rPr>
              </w:pPr>
            </w:p>
            <w:p w14:paraId="7D552AEE" w14:textId="79518394">
              <w:pPr>
                <w:jc w:val="center"/>
                <w:rPr>
                  <w:szCs w:val="24"/>
                </w:rPr>
              </w:pPr>
              <w:r>
                <w:rPr>
                  <w:szCs w:val="24"/>
                </w:rPr>
                <w:t>2024-05-03</w:t>
              </w:r>
            </w:p>
            <w:p w14:paraId="7D552AEF" w14:textId="77777777">
              <w:pPr>
                <w:jc w:val="center"/>
                <w:rPr>
                  <w:szCs w:val="24"/>
                </w:rPr>
              </w:pPr>
              <w:r>
                <w:rPr>
                  <w:szCs w:val="24"/>
                </w:rPr>
                <w:t>Šiauliai</w:t>
              </w:r>
            </w:p>
            <w:p w14:paraId="7D552AF0" w14:textId="77777777">
              <w:pPr>
                <w:rPr>
                  <w:szCs w:val="24"/>
                </w:rPr>
              </w:pPr>
            </w:p>
            <w:sdt>
              <w:sdtPr>
                <w:alias w:val="poskyris"/>
                <w:tag w:val="part_f0b6cfe065264434800feb57695ab5d7"/>
                <w:lock w:val="sdtLocked"/>
                <w:richText/>
              </w:sdtPr>
              <w:sdtContent>
                <w:p w14:paraId="7D552AF1" w14:textId="77777777">
                  <w:pPr>
                    <w:tabs>
                      <w:tab w:val="left" w:pos="855"/>
                    </w:tabs>
                    <w:ind w:firstLine="855"/>
                    <w:jc w:val="both"/>
                    <w:rPr>
                      <w:szCs w:val="24"/>
                      <w:shd w:val="clear" w:color="auto" w:fill="FFFFFF"/>
                    </w:rPr>
                  </w:pPr>
                  <w:sdt>
                    <w:sdtPr>
                      <w:alias w:val="Pavadinimas"/>
                      <w:tag w:val="title_f0b6cfe065264434800feb57695ab5d7"/>
                      <w:lock w:val="sdtLocked"/>
                      <w:richText/>
                    </w:sdtPr>
                    <w:sdtContent>
                      <w:r>
                        <w:rPr>
                          <w:b/>
                          <w:szCs w:val="24"/>
                          <w:shd w:val="clear" w:color="auto" w:fill="FFFFFF"/>
                        </w:rPr>
                        <w:t>Parengto sprendimo projekto tikslai ir uždaviniai</w:t>
                      </w:r>
                      <w:r>
                        <w:rPr>
                          <w:b/>
                          <w:szCs w:val="24"/>
                        </w:rPr>
                        <w:t>.</w:t>
                      </w:r>
                      <w:r>
                        <w:rPr>
                          <w:szCs w:val="24"/>
                        </w:rPr>
                        <w:t xml:space="preserve"> </w:t>
                      </w:r>
                    </w:sdtContent>
                  </w:sdt>
                </w:p>
                <w:p w14:paraId="7D552AF2" w14:textId="5BF4ED47">
                  <w:pPr>
                    <w:widowControl w:val="0"/>
                    <w:ind w:firstLine="851"/>
                    <w:jc w:val="both"/>
                    <w:rPr>
                      <w:szCs w:val="24"/>
                    </w:rPr>
                  </w:pPr>
                  <w:r>
                    <w:rPr>
                      <w:szCs w:val="24"/>
                    </w:rPr>
                    <w:t>Pritarti, kad Šiaulių miesto savivaldybės (toliau – Savivaldybė) administracija įgyvendintų Erasmus+ programos 1 pagrindinio veiksmo (KA1) „Pavienių asmenų judumas mokymosi tikslais“ projektą „Švietimo įstaigų vadovų mentorių rengimas“ (toliau – Projektas) ir, jei būtų skirtas finansavimas, numatyti Projektui įgyvendinti apyvartinių lėšų – 20 procentų patvirtintų Projekto biudžeto lėšų, o taip pat nenumatytų ar netinkamų finansuoti, tačiau Projektui įgyvendinti būtinų išlaidų dalį.</w:t>
                  </w:r>
                </w:p>
                <w:p w14:paraId="7D552AF3" w14:textId="77777777">
                  <w:pPr>
                    <w:suppressAutoHyphens/>
                    <w:ind w:left="851"/>
                    <w:jc w:val="both"/>
                    <w:rPr>
                      <w:szCs w:val="24"/>
                    </w:rPr>
                  </w:pPr>
                </w:p>
              </w:sdtContent>
            </w:sdt>
            <w:sdt>
              <w:sdtPr>
                <w:alias w:val="poskyris"/>
                <w:tag w:val="part_2b5c3e0852e141e09c66e5ec2b54177d"/>
                <w:lock w:val="sdtLocked"/>
                <w:richText/>
              </w:sdtPr>
              <w:sdtContent>
                <w:p w14:paraId="7D552AF4" w14:textId="77777777">
                  <w:pPr>
                    <w:tabs>
                      <w:tab w:val="left" w:pos="855"/>
                    </w:tabs>
                    <w:ind w:firstLine="855"/>
                    <w:jc w:val="both"/>
                    <w:rPr>
                      <w:b/>
                      <w:szCs w:val="24"/>
                      <w:shd w:val="clear" w:color="auto" w:fill="FFFFFF"/>
                    </w:rPr>
                  </w:pPr>
                  <w:sdt>
                    <w:sdtPr>
                      <w:alias w:val="Pavadinimas"/>
                      <w:tag w:val="title_2b5c3e0852e141e09c66e5ec2b54177d"/>
                      <w:lock w:val="sdtLocked"/>
                      <w:richText/>
                    </w:sdtPr>
                    <w:sdtContent>
                      <w:r>
                        <w:rPr>
                          <w:b/>
                          <w:szCs w:val="24"/>
                          <w:shd w:val="clear" w:color="auto" w:fill="FFFFFF"/>
                        </w:rPr>
                        <w:t xml:space="preserve">Dabartinis sprendimo projekte aptariamų klausimų reguliavimas. </w:t>
                      </w:r>
                    </w:sdtContent>
                  </w:sdt>
                </w:p>
                <w:p w14:paraId="3C1A4789" w14:textId="77777777">
                  <w:pPr>
                    <w:ind w:firstLine="856"/>
                    <w:jc w:val="both"/>
                    <w:rPr>
                      <w:rFonts w:eastAsia="Calibri"/>
                      <w:szCs w:val="24"/>
                      <w:lang w:eastAsia="lt-LT"/>
                    </w:rPr>
                  </w:pPr>
                  <w:r>
                    <w:rPr>
                      <w:rFonts w:eastAsia="Calibri"/>
                      <w:szCs w:val="24"/>
                      <w:lang w:eastAsia="lt-LT"/>
                    </w:rPr>
                    <w:t xml:space="preserve">Savivaldybės administracijos Švietimo skyrius (toliau – Švietimo skyrius), įgyvendindamas Savivaldybės strateginio veiklos plano 2022–2024 m. Švietimo prieinamumo ir kokybės užtikrinimo programos (08) priemonę „Švietimo lyderystė“, inicijavo programą „Švietimo įstaigų vadovų mentorių rengimas“. Šios programos tikslas – paskatinti patyrusius Savivaldybės bendrojo ugdymo mokyklų vadovus (direktorius, direktorių pavaduotojus ugdymui, ugdymą organizuojančių skyrių vedėjus) tapti pradedančiųjų vadovų mentoriais. Savivaldybės Švietimo centras organizavo mentorystės mokymus. Parengti mentoriai konsultavo mažiau patyrusius kolegas ugdymo įstaigos veiklos organizavimo klausimais, padėjo spręsti kylančias problemas.  </w:t>
                  </w:r>
                </w:p>
                <w:p w14:paraId="46457839" w14:textId="1F5D2F93">
                  <w:pPr>
                    <w:ind w:firstLine="856"/>
                    <w:jc w:val="both"/>
                    <w:rPr>
                      <w:rFonts w:eastAsia="Calibri"/>
                      <w:color w:val="ED0000"/>
                      <w:szCs w:val="24"/>
                      <w:lang w:eastAsia="lt-LT"/>
                    </w:rPr>
                  </w:pPr>
                  <w:r>
                    <w:rPr>
                      <w:rFonts w:eastAsia="Calibri"/>
                      <w:szCs w:val="24"/>
                      <w:lang w:eastAsia="lt-LT"/>
                    </w:rPr>
                    <w:t>Siekiant plėtoti „Švietimo lyderystės“ priemonės veiklas ir užtikrinti mentorystės idėjos tvarumą, Švietimo skyriaus specialistai ir Savivaldybės Švietimo centro darbuotojai parengė ir Švietimo mainų paramos fondui (toliau – ŠMPF) pateikė paraišką „Erasmus“ akreditacijai gauti. Šiaulių miesto savivaldybės administracijai ŠMPF suteikė „Erasmus“ akreditaciją bendrojo ugdymo srityje 2024-02-01 – 2027-12-31 (pridedama). Pagal Europos Komisijos 2023 m. lapkričio 28 d. paskelbtą kvietimą EAC/A07/2023 teikti paraiškas 2024 m. Erasmus+ programos veikloms (C/2023/1262) finansuoti Švietimo skyrius 2024 m. vasario 14 d. pateikė paraišką ŠMPF vienerių metų trukmės mobilumo mokymosi tikslais Projekto finansavimui gauti. Projekto tikslas – stiprinant vadovų mentorystės kompetencijas plėtoti mentorystės sistemą Savivaldybės bendrojo ugdymo mokyklose taip padedant mažesnę patirtį turintiems vadovams užtikrinti ugdymo kokybę. Planuojama, kad tarptautiniuose mobilumuose (kursuose ir mokymosi veiklose, kurių bendra trukmė 60 dienų) dalyvaus po 2 asmenis iš 4 bendrojo ugdymo mokyklų (Šiaulių Simono Daukanto inžinerijos gimnazija, Šiaulių Gegužių progimnazija, Šiaulių Lieporių gimnazija, Šiaulių Vinco Kudirkos progimnazija) ir Švietimo skyriaus (iš viso 10 asmenų). ŠMPF paraiškas įvertins ir sprendimą dėl dotacijos dydžio priims birželio mėnesį.</w:t>
                    <w:tab/>
                  </w:r>
                  <w:r>
                    <w:rPr>
                      <w:rFonts w:eastAsia="Calibri"/>
                      <w:color w:val="ED0000"/>
                      <w:szCs w:val="24"/>
                      <w:lang w:eastAsia="lt-LT"/>
                    </w:rPr>
                    <w:t xml:space="preserve"> </w:t>
                  </w:r>
                </w:p>
              </w:sdtContent>
            </w:sdt>
            <w:sdt>
              <w:sdtPr>
                <w:alias w:val="poskyris"/>
                <w:tag w:val="part_3744d23d4c61427f9380cf8c4b3f1953"/>
                <w:lock w:val="sdtLocked"/>
                <w:richText/>
              </w:sdtPr>
              <w:sdtContent>
                <w:p w14:paraId="7D552AFB" w14:textId="77777777">
                  <w:pPr>
                    <w:tabs>
                      <w:tab w:val="left" w:pos="855"/>
                    </w:tabs>
                    <w:ind w:firstLine="855"/>
                    <w:jc w:val="both"/>
                    <w:rPr>
                      <w:szCs w:val="24"/>
                    </w:rPr>
                  </w:pPr>
                  <w:sdt>
                    <w:sdtPr>
                      <w:alias w:val="Pavadinimas"/>
                      <w:tag w:val="title_3744d23d4c61427f9380cf8c4b3f1953"/>
                      <w:lock w:val="sdtLocked"/>
                      <w:richText/>
                    </w:sdtPr>
                    <w:sdtContent>
                      <w:r>
                        <w:rPr>
                          <w:b/>
                          <w:szCs w:val="24"/>
                          <w:shd w:val="clear" w:color="auto" w:fill="FFFFFF"/>
                        </w:rPr>
                        <w:t>Sprendimo projekte numatytos naujos teisinio reglamentavimo nuostatos</w:t>
                      </w:r>
                      <w:r>
                        <w:rPr>
                          <w:b/>
                          <w:szCs w:val="24"/>
                        </w:rPr>
                        <w:t>.</w:t>
                      </w:r>
                    </w:sdtContent>
                  </w:sdt>
                </w:p>
                <w:p w14:paraId="7D552AFC" w14:textId="5FFD2E86">
                  <w:pPr>
                    <w:tabs>
                      <w:tab w:val="left" w:pos="855"/>
                    </w:tabs>
                    <w:ind w:firstLine="855"/>
                    <w:jc w:val="both"/>
                    <w:rPr>
                      <w:szCs w:val="24"/>
                      <w:shd w:val="clear" w:color="auto" w:fill="FFFFFF"/>
                    </w:rPr>
                  </w:pPr>
                  <w:r>
                    <w:rPr>
                      <w:szCs w:val="24"/>
                      <w:shd w:val="clear" w:color="auto" w:fill="FFFFFF"/>
                    </w:rPr>
                    <w:t xml:space="preserve">Jei bus gautas finansavimas, reikės koreguoti Savivaldybės 2024–2026 metų strateginį veiklos planą papildant nauja priemone ir numatyti lėšas biudžete. </w:t>
                  </w:r>
                </w:p>
              </w:sdtContent>
            </w:sdt>
            <w:sdt>
              <w:sdtPr>
                <w:alias w:val="poskyris"/>
                <w:tag w:val="part_1e6b73beff8c4af4b2497fe85a6e218d"/>
                <w:lock w:val="sdtLocked"/>
                <w:richText/>
              </w:sdtPr>
              <w:sdtContent>
                <w:p w14:paraId="7D552AFE" w14:textId="77777777">
                  <w:pPr>
                    <w:tabs>
                      <w:tab w:val="left" w:pos="855"/>
                    </w:tabs>
                    <w:ind w:firstLine="855"/>
                    <w:jc w:val="both"/>
                    <w:rPr>
                      <w:b/>
                      <w:szCs w:val="24"/>
                      <w:shd w:val="clear" w:color="auto" w:fill="FFFFFF"/>
                    </w:rPr>
                  </w:pPr>
                  <w:sdt>
                    <w:sdtPr>
                      <w:alias w:val="Pavadinimas"/>
                      <w:tag w:val="title_1e6b73beff8c4af4b2497fe85a6e218d"/>
                      <w:lock w:val="sdtLocked"/>
                      <w:richText/>
                    </w:sdtPr>
                    <w:sdtContent>
                      <w:r>
                        <w:rPr>
                          <w:b/>
                          <w:szCs w:val="24"/>
                          <w:shd w:val="clear" w:color="auto" w:fill="FFFFFF"/>
                        </w:rPr>
                        <w:t>Priėmus sprendimą, galimos pasekmės.</w:t>
                      </w:r>
                    </w:sdtContent>
                  </w:sdt>
                </w:p>
                <w:p w14:paraId="7D552AFF" w14:textId="32256369">
                  <w:pPr>
                    <w:tabs>
                      <w:tab w:val="left" w:pos="855"/>
                    </w:tabs>
                    <w:ind w:firstLine="856"/>
                    <w:jc w:val="both"/>
                    <w:rPr>
                      <w:szCs w:val="24"/>
                      <w:shd w:val="clear" w:color="auto" w:fill="FFFFFF"/>
                    </w:rPr>
                  </w:pPr>
                  <w:r>
                    <w:rPr>
                      <w:szCs w:val="24"/>
                      <w:shd w:val="clear" w:color="auto" w:fill="FFFFFF"/>
                    </w:rPr>
                    <w:t>Priėmus sprendimą Savivaldybės administracija galės naudotis „Erasmus“ akreditacijos bendrojo ugdymo srityje teikiamomis galimybėmis 2024–2027 m. ir kasmet pagal ŠMPF kvietimus teikti mobilumo paraiškas finansavimui gauti.</w:t>
                  </w:r>
                </w:p>
                <w:p w14:paraId="50D78EF8" w14:textId="6B3D4EF9">
                  <w:pPr>
                    <w:suppressAutoHyphens/>
                    <w:ind w:firstLine="856"/>
                    <w:jc w:val="both"/>
                    <w:rPr>
                      <w:bCs/>
                      <w:szCs w:val="24"/>
                      <w:lang w:eastAsia="lt-LT"/>
                    </w:rPr>
                  </w:pPr>
                  <w:r>
                    <w:rPr>
                      <w:bCs/>
                      <w:szCs w:val="24"/>
                      <w:lang w:eastAsia="lt-LT"/>
                    </w:rPr>
                    <w:t xml:space="preserve">Projekto įgyvendinimo metu planuojama tobulinti Savivaldybės bendrojo ugdymo mokyklų vadovų ir Švietimo skyriaus specialistų kvalifikaciją, stiprinti mentorystės kompetencijas, kurti mentorystės sistemą Savivaldybės bendrojo ugdymo mokyklose. </w:t>
                  </w:r>
                </w:p>
                <w:p w14:paraId="7D552B02" w14:textId="10AD5528">
                  <w:pPr>
                    <w:suppressAutoHyphens/>
                    <w:ind w:firstLine="856"/>
                    <w:jc w:val="both"/>
                    <w:rPr>
                      <w:bCs/>
                      <w:szCs w:val="24"/>
                      <w:lang w:eastAsia="lt-LT"/>
                    </w:rPr>
                  </w:pPr>
                  <w:r>
                    <w:rPr>
                      <w:szCs w:val="24"/>
                      <w:shd w:val="clear" w:color="auto" w:fill="FFFFFF"/>
                    </w:rPr>
                    <w:t>Nepriėmus sprendimo Projekto mobilumo sutartys nebus pasirašomos ir mobilumai nebus įgyvendinami.</w:t>
                  </w:r>
                </w:p>
              </w:sdtContent>
            </w:sdt>
            <w:sdt>
              <w:sdtPr>
                <w:alias w:val="poskyris"/>
                <w:tag w:val="part_25688d5fa3f94d9ab03825088dddba83"/>
                <w:lock w:val="sdtLocked"/>
                <w:richText/>
              </w:sdtPr>
              <w:sdtContent>
                <w:p w14:paraId="7D552B04" w14:textId="176C74DA">
                  <w:pPr>
                    <w:tabs>
                      <w:tab w:val="left" w:pos="855"/>
                    </w:tabs>
                    <w:ind w:firstLine="855"/>
                    <w:jc w:val="both"/>
                    <w:rPr>
                      <w:szCs w:val="24"/>
                    </w:rPr>
                  </w:pPr>
                  <w:sdt>
                    <w:sdtPr>
                      <w:alias w:val="Pavadinimas"/>
                      <w:tag w:val="title_25688d5fa3f94d9ab03825088dddba83"/>
                      <w:lock w:val="sdtLocked"/>
                      <w:richText/>
                    </w:sdtPr>
                    <w:sdtContent>
                      <w:r>
                        <w:rPr>
                          <w:b/>
                          <w:szCs w:val="24"/>
                          <w:shd w:val="clear" w:color="auto" w:fill="FFFFFF"/>
                        </w:rPr>
                        <w:t>Priėmus sprendimą, keičiami ar pripažįstami negaliojančiais teisės aktai</w:t>
                      </w:r>
                      <w:r>
                        <w:rPr>
                          <w:b/>
                          <w:szCs w:val="24"/>
                        </w:rPr>
                        <w:t>.</w:t>
                      </w:r>
                    </w:sdtContent>
                  </w:sdt>
                </w:p>
                <w:p w14:paraId="7D552B05" w14:textId="77777777">
                  <w:pPr>
                    <w:ind w:firstLine="856"/>
                    <w:jc w:val="both"/>
                    <w:rPr>
                      <w:szCs w:val="24"/>
                    </w:rPr>
                  </w:pPr>
                  <w:r>
                    <w:rPr>
                      <w:szCs w:val="24"/>
                      <w:shd w:val="clear" w:color="auto" w:fill="FFFFFF"/>
                    </w:rPr>
                    <w:t>Nėra.</w:t>
                  </w:r>
                </w:p>
              </w:sdtContent>
            </w:sdt>
            <w:sdt>
              <w:sdtPr>
                <w:alias w:val="poskyris"/>
                <w:tag w:val="part_ea1e357b876744faad5f23016c778e3c"/>
                <w:lock w:val="sdtLocked"/>
                <w:richText/>
              </w:sdtPr>
              <w:sdtContent>
                <w:p w14:paraId="7D552B07" w14:textId="3A99F88D">
                  <w:pPr>
                    <w:tabs>
                      <w:tab w:val="left" w:pos="855"/>
                    </w:tabs>
                    <w:ind w:firstLine="855"/>
                    <w:jc w:val="both"/>
                    <w:rPr>
                      <w:szCs w:val="24"/>
                      <w:shd w:val="clear" w:color="auto" w:fill="FFFFFF"/>
                    </w:rPr>
                  </w:pPr>
                  <w:sdt>
                    <w:sdtPr>
                      <w:alias w:val="Pavadinimas"/>
                      <w:tag w:val="title_ea1e357b876744faad5f23016c778e3c"/>
                      <w:lock w:val="sdtLocked"/>
                      <w:richText/>
                    </w:sdtPr>
                    <w:sdtContent>
                      <w:r>
                        <w:rPr>
                          <w:b/>
                          <w:szCs w:val="24"/>
                          <w:shd w:val="clear" w:color="auto" w:fill="FFFFFF"/>
                        </w:rPr>
                        <w:t>Sprendimui įgyvendinti reikalingi priimti papildomi teisės aktai.</w:t>
                      </w:r>
                      <w:r>
                        <w:rPr>
                          <w:szCs w:val="24"/>
                          <w:shd w:val="clear" w:color="auto" w:fill="FFFFFF"/>
                        </w:rPr>
                        <w:t xml:space="preserve"> </w:t>
                      </w:r>
                    </w:sdtContent>
                  </w:sdt>
                </w:p>
                <w:p w14:paraId="7D552B08" w14:textId="77777777">
                  <w:pPr>
                    <w:ind w:firstLine="856"/>
                    <w:jc w:val="both"/>
                    <w:rPr>
                      <w:color w:val="000000"/>
                      <w:szCs w:val="24"/>
                    </w:rPr>
                  </w:pPr>
                  <w:r>
                    <w:rPr>
                      <w:szCs w:val="24"/>
                    </w:rPr>
                    <w:t>Nenumatoma.</w:t>
                  </w:r>
                </w:p>
                <w:p w14:paraId="7D552B0A" w14:textId="3707311C">
                  <w:pPr>
                    <w:tabs>
                      <w:tab w:val="left" w:pos="855"/>
                    </w:tabs>
                    <w:ind w:firstLine="855"/>
                    <w:jc w:val="both"/>
                    <w:rPr>
                      <w:i/>
                      <w:szCs w:val="24"/>
                      <w:shd w:val="clear" w:color="auto" w:fill="FFFFFF"/>
                    </w:rPr>
                  </w:pPr>
                  <w:r>
                    <w:rPr>
                      <w:b/>
                      <w:szCs w:val="24"/>
                      <w:shd w:val="clear" w:color="auto" w:fill="FFFFFF"/>
                    </w:rPr>
                    <w:t>Sprendimui įgyvendinti reikalingos lėšos</w:t>
                  </w:r>
                  <w:r>
                    <w:rPr>
                      <w:i/>
                      <w:szCs w:val="24"/>
                      <w:shd w:val="clear" w:color="auto" w:fill="FFFFFF"/>
                    </w:rPr>
                    <w:t>.</w:t>
                  </w:r>
                </w:p>
                <w:p w14:paraId="7D552B0B" w14:textId="57B68C02">
                  <w:pPr>
                    <w:tabs>
                      <w:tab w:val="left" w:pos="855"/>
                    </w:tabs>
                    <w:ind w:firstLine="856"/>
                    <w:jc w:val="both"/>
                    <w:rPr>
                      <w:szCs w:val="24"/>
                      <w:shd w:val="clear" w:color="auto" w:fill="FFFFFF"/>
                    </w:rPr>
                  </w:pPr>
                  <w:r>
                    <w:rPr>
                      <w:szCs w:val="24"/>
                      <w:shd w:val="clear" w:color="auto" w:fill="FFFFFF"/>
                    </w:rPr>
                    <w:t xml:space="preserve">Erasmus+ programos vadove (1 versija (2024): 2023/11/28) numatyti Projekto gyvavimo ciklui taikomi terminai ir mokėjimo sąlygos. Jomis apibrėžta, kad Projekto finansavimui skirtina dotacija apima 100 proc. visų Projekto įgyvendinimo išlaidų. Dotacija išmokama dalimis (80 proc. mokėjimas atliekamas per 1 mėnesį nuo Projekto finansavimo sutarties pasirašymo, o likęs 20 proc. mokėjimas – per 1 mėnesį nuo galutinės Projekto įgyvendinimo ataskaitos patvirtinimo), todėl Projekto įgyvendinimui būtina numatyti 20 proc. pavirtintų Projekto biudžeto lėšų apyvartiniam naudojimui. Kadangi numatoma Projekto pabaiga 2025-08-31, apyvartinių lėšų prireiks 2025 m. I–II ketvirtį. ŠMPF Projekto dotacijos sumą nustatys remiantis Erasmus+ programos vadove apibrėžtais finansavimo kriterijais, mobilumo mokymosi tikslais dalyvių pragyvenimo normomis, Erasmus+ programos skaičiuokle. Savivaldybės tarybos sprendimu prašoma numatyti lėšų apyvartiniam naudojimui ir </w:t>
                  </w:r>
                  <w:r>
                    <w:rPr>
                      <w:szCs w:val="24"/>
                    </w:rPr>
                    <w:t xml:space="preserve">nenumatytų ar netinkamų finansuoti, tačiau Projektui įgyvendinti būtinų išlaidų dalies finansavimą. Savivaldybės tarybos sprendimo rengimo metu planuojama, kad nenumatytų ar netinkamų finansuoti, tačiau Projektui įgyvendinti būtinų išlaidų Projekto įgyvendinimo metu nebus patirta. </w:t>
                  </w:r>
                </w:p>
              </w:sdtContent>
            </w:sdt>
            <w:sdt>
              <w:sdtPr>
                <w:alias w:val="poskyris"/>
                <w:tag w:val="part_fb5c5c82cd924de19553027b7d0b1091"/>
                <w:lock w:val="sdtLocked"/>
                <w:richText/>
              </w:sdtPr>
              <w:sdtContent>
                <w:p w14:paraId="7D552B0D" w14:textId="77777777">
                  <w:pPr>
                    <w:ind w:firstLine="851"/>
                    <w:jc w:val="both"/>
                    <w:rPr>
                      <w:szCs w:val="24"/>
                      <w:shd w:val="clear" w:color="auto" w:fill="FFFFFF"/>
                    </w:rPr>
                  </w:pPr>
                  <w:sdt>
                    <w:sdtPr>
                      <w:alias w:val="Pavadinimas"/>
                      <w:tag w:val="title_fb5c5c82cd924de19553027b7d0b1091"/>
                      <w:lock w:val="sdtLocked"/>
                      <w:richText/>
                    </w:sdtPr>
                    <w:sdtContent>
                      <w:r>
                        <w:rPr>
                          <w:b/>
                          <w:szCs w:val="24"/>
                          <w:shd w:val="clear" w:color="auto" w:fill="FFFFFF"/>
                        </w:rPr>
                        <w:t>Sprendimo projekto antikorupcinis vertinimas.</w:t>
                      </w:r>
                    </w:sdtContent>
                  </w:sdt>
                </w:p>
                <w:p w14:paraId="7D552B0E" w14:textId="3C38B58D">
                  <w:pPr>
                    <w:ind w:firstLine="856"/>
                    <w:jc w:val="both"/>
                    <w:rPr>
                      <w:szCs w:val="24"/>
                      <w:shd w:val="clear" w:color="auto" w:fill="FFFFFF"/>
                    </w:rPr>
                  </w:pPr>
                  <w:r>
                    <w:rPr>
                      <w:szCs w:val="24"/>
                      <w:shd w:val="clear" w:color="auto" w:fill="FFFFFF"/>
                    </w:rPr>
                    <w:t xml:space="preserve">Lietuvos Respublikos korupcijos prevencijos įstatymo 8 str. 1 d. 4 p. nustato, kad teisės akto rengėjas atlieka teisės akto projekto antikorupcinį vertinimą, jeigu rengiamame teisės akte numatoma reguliuoti visuomeninius santykius, susijusius su Europos Sąjungos struktūrinių fondų paramos teikimu. </w:t>
                  </w:r>
                </w:p>
                <w:p w14:paraId="7D552B0F" w14:textId="64269BDC">
                  <w:pPr>
                    <w:ind w:firstLine="856"/>
                    <w:jc w:val="both"/>
                    <w:rPr>
                      <w:szCs w:val="24"/>
                      <w:shd w:val="clear" w:color="auto" w:fill="FFFFFF"/>
                    </w:rPr>
                  </w:pPr>
                  <w:r>
                    <w:rPr>
                      <w:szCs w:val="24"/>
                      <w:shd w:val="clear" w:color="auto" w:fill="FFFFFF"/>
                    </w:rPr>
                    <w:t>Projekto veiklos ir rezultatai nereguliuos visuomeninių santykių, taip pat Savivaldybės administracija nėra Europos Sąjungos struktūrinių fondų paramos teikėja, todėl sprendimo projekto antikorupcinis vertinimas nėra taikytinas.</w:t>
                  </w:r>
                </w:p>
                <w:p w14:paraId="7D552B11" w14:textId="07B9FDB8">
                  <w:pPr>
                    <w:tabs>
                      <w:tab w:val="left" w:pos="855"/>
                    </w:tabs>
                    <w:ind w:firstLine="855"/>
                    <w:jc w:val="both"/>
                    <w:rPr>
                      <w:b/>
                      <w:szCs w:val="24"/>
                      <w:shd w:val="clear" w:color="auto" w:fill="FFFFFF"/>
                    </w:rPr>
                  </w:pPr>
                  <w:r>
                    <w:rPr>
                      <w:b/>
                      <w:szCs w:val="24"/>
                      <w:shd w:val="clear" w:color="auto" w:fill="FFFFFF"/>
                    </w:rPr>
                    <w:t>Sprendimo projektą parengė</w:t>
                  </w:r>
                  <w:r>
                    <w:rPr>
                      <w:szCs w:val="24"/>
                      <w:shd w:val="clear" w:color="auto" w:fill="FFFFFF"/>
                    </w:rPr>
                    <w:t xml:space="preserve"> Švietimo skyrius. Tiesioginis rengėjas – patarėja Živilė Nakčiūnienė, tel. (+370 41) 386 473. </w:t>
                  </w:r>
                  <w:r>
                    <w:rPr>
                      <w:b/>
                      <w:szCs w:val="24"/>
                      <w:shd w:val="clear" w:color="auto" w:fill="FFFFFF"/>
                    </w:rPr>
                    <w:tab/>
                  </w:r>
                </w:p>
                <w:p w14:paraId="7D552B15" w14:textId="77777777">
                  <w:pPr>
                    <w:tabs>
                      <w:tab w:val="left" w:pos="855"/>
                    </w:tabs>
                    <w:ind w:firstLine="124"/>
                    <w:jc w:val="both"/>
                    <w:rPr>
                      <w:szCs w:val="24"/>
                      <w:shd w:val="clear" w:color="auto" w:fill="FFFFFF"/>
                    </w:rPr>
                  </w:pPr>
                </w:p>
                <w:p w14:paraId="7D552B16" w14:textId="77777777">
                  <w:pPr>
                    <w:rPr>
                      <w:szCs w:val="24"/>
                    </w:rPr>
                  </w:pPr>
                </w:p>
                <w:p w14:paraId="7147D250" w14:textId="24CAFAD0">
                  <w:pPr>
                    <w:widowControl w:val="0"/>
                    <w:tabs>
                      <w:tab w:val="right" w:pos="9638"/>
                    </w:tabs>
                    <w:suppressAutoHyphens/>
                    <w:ind w:right="-1"/>
                    <w:jc w:val="both"/>
                    <w:rPr>
                      <w:rFonts w:eastAsia="Lucida Sans Unicode"/>
                      <w:szCs w:val="24"/>
                    </w:rPr>
                  </w:pPr>
                </w:p>
                <w:p w14:paraId="1A04BE61" w14:textId="77777777">
                  <w:pPr>
                    <w:widowControl w:val="0"/>
                    <w:tabs>
                      <w:tab w:val="right" w:pos="9638"/>
                    </w:tabs>
                    <w:suppressAutoHyphens/>
                    <w:ind w:right="-1"/>
                    <w:jc w:val="both"/>
                    <w:rPr>
                      <w:rFonts w:eastAsia="Lucida Sans Unicode"/>
                      <w:szCs w:val="24"/>
                    </w:rPr>
                  </w:pPr>
                </w:p>
              </w:sdtContent>
            </w:sdt>
          </w:sdtContent>
        </w:sdt>
        <w:sdt>
          <w:sdtPr>
            <w:alias w:val="signatura"/>
            <w:tag w:val="part_0d3758f8c1a746d7a57a3bf43e8ed17f"/>
            <w:lock w:val="sdtLocked"/>
            <w:richText/>
          </w:sdtPr>
          <w:sdtContent>
            <w:p w14:paraId="7D552B18" w14:textId="18CD5947">
              <w:pPr>
                <w:widowControl w:val="0"/>
                <w:tabs>
                  <w:tab w:val="right" w:pos="9638"/>
                </w:tabs>
                <w:suppressAutoHyphens/>
                <w:ind w:right="-1"/>
                <w:jc w:val="both"/>
                <w:rPr>
                  <w:rFonts w:eastAsia="Lucida Sans Unicode"/>
                  <w:szCs w:val="24"/>
                </w:rPr>
              </w:pPr>
              <w:r>
                <w:rPr>
                  <w:rFonts w:eastAsia="Lucida Sans Unicode"/>
                  <w:szCs w:val="24"/>
                </w:rPr>
                <w:t>Švietimo skyriaus vedėja</w:t>
                <w:tab/>
                <w:t>Edita Minkuvienė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7" w:h="16840" w:code="9"/>
      <w:pgMar w:top="1134" w:right="567" w:bottom="1134" w:left="1701" w:header="380" w:footer="856" w:gutter="0"/>
      <w:cols w:space="720"/>
      <w:titlePg/>
      <w:docGrid w:linePitch="2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FE041A6" w14:textId="77777777">
      <w:pPr>
        <w:rPr>
          <w:szCs w:val="24"/>
          <w:lang w:val="en-GB"/>
        </w:rPr>
      </w:pPr>
      <w:r>
        <w:rPr>
          <w:szCs w:val="24"/>
          <w:lang w:val="en-GB"/>
        </w:rPr>
        <w:separator/>
      </w:r>
    </w:p>
  </w:endnote>
  <w:endnote w:type="continuationSeparator" w:id="0">
    <w:p w14:paraId="0F3B1592" w14:textId="77777777">
      <w:pPr>
        <w:rPr>
          <w:szCs w:val="24"/>
          <w:lang w:val="en-GB"/>
        </w:rPr>
      </w:pPr>
      <w:r>
        <w:rPr>
          <w:szCs w:val="24"/>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Lucida Sans Unicode">
    <w:panose1 w:val="020B0602030504020204"/>
    <w:charset w:val="BA"/>
    <w:family w:val="swiss"/>
    <w:pitch w:val="variable"/>
    <w:sig w:usb0="80000AFF" w:usb1="0000396B" w:usb2="00000000" w:usb3="00000000" w:csb0="000000B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EAF8E1" w14:textId="77777777">
    <w:pPr>
      <w:tabs>
        <w:tab w:val="center" w:pos="4986"/>
        <w:tab w:val="right" w:pos="9972"/>
      </w:tabs>
      <w:rPr>
        <w:szCs w:val="24"/>
        <w:lang w:val="en-GB"/>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9B083E" w14:textId="77777777">
    <w:pPr>
      <w:tabs>
        <w:tab w:val="center" w:pos="4986"/>
        <w:tab w:val="right" w:pos="9972"/>
      </w:tabs>
      <w:rPr>
        <w:szCs w:val="24"/>
        <w:lang w:val="en-GB"/>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809C9F" w14:textId="77777777">
    <w:pPr>
      <w:tabs>
        <w:tab w:val="center" w:pos="4986"/>
        <w:tab w:val="right" w:pos="9972"/>
      </w:tabs>
      <w:rPr>
        <w:szCs w:val="24"/>
        <w:lang w:val="en-GB"/>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E3E13BD" w14:textId="77777777">
      <w:pPr>
        <w:rPr>
          <w:szCs w:val="24"/>
          <w:lang w:val="en-GB"/>
        </w:rPr>
      </w:pPr>
      <w:r>
        <w:rPr>
          <w:szCs w:val="24"/>
          <w:lang w:val="en-GB"/>
        </w:rPr>
        <w:separator/>
      </w:r>
    </w:p>
  </w:footnote>
  <w:footnote w:type="continuationSeparator" w:id="0">
    <w:p w14:paraId="3A0F913E" w14:textId="77777777">
      <w:pPr>
        <w:rPr>
          <w:szCs w:val="24"/>
          <w:lang w:val="en-GB"/>
        </w:rPr>
      </w:pPr>
      <w:r>
        <w:rPr>
          <w:szCs w:val="24"/>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552B1D" w14:textId="77777777">
    <w:pPr>
      <w:framePr w:wrap="auto" w:vAnchor="text" w:hAnchor="margin" w:xAlign="center" w:y="1"/>
      <w:tabs>
        <w:tab w:val="center" w:pos="4320"/>
        <w:tab w:val="right" w:pos="8640"/>
      </w:tabs>
      <w:rPr>
        <w:lang w:val="x-none" w:eastAsia="x-none"/>
      </w:rPr>
    </w:pPr>
    <w:r>
      <w:rPr>
        <w:lang w:val="x-none" w:eastAsia="x-none"/>
      </w:rPr>
      <w:fldChar w:fldCharType="begin"/>
    </w:r>
    <w:r>
      <w:rPr>
        <w:lang w:val="x-none" w:eastAsia="x-none"/>
      </w:rPr>
      <w:instrText xml:space="preserve">PAGE  </w:instrText>
    </w:r>
    <w:r>
      <w:rPr>
        <w:lang w:val="x-none" w:eastAsia="x-none"/>
      </w:rPr>
      <w:fldChar w:fldCharType="end"/>
    </w:r>
  </w:p>
  <w:p w14:paraId="7D552B1E" w14:textId="77777777">
    <w:pPr>
      <w:tabs>
        <w:tab w:val="center" w:pos="4320"/>
        <w:tab w:val="right" w:pos="8640"/>
      </w:tabs>
      <w:rPr>
        <w:lang w:val="x-none" w:eastAsia="x-none"/>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552B1F" w14:textId="77777777">
    <w:pPr>
      <w:tabs>
        <w:tab w:val="center" w:pos="4320"/>
        <w:tab w:val="right" w:pos="8640"/>
      </w:tabs>
      <w:jc w:val="center"/>
      <w:rPr>
        <w:lang w:val="x-none" w:eastAsia="x-none"/>
      </w:rPr>
    </w:pPr>
    <w:r>
      <w:rPr>
        <w:lang w:val="x-none" w:eastAsia="x-none"/>
      </w:rPr>
      <w:fldChar w:fldCharType="begin"/>
    </w:r>
    <w:r>
      <w:rPr>
        <w:lang w:val="x-none" w:eastAsia="x-none"/>
      </w:rPr>
      <w:instrText>PAGE   \* MERGEFORMAT</w:instrText>
    </w:r>
    <w:r>
      <w:rPr>
        <w:lang w:val="x-none" w:eastAsia="x-none"/>
      </w:rPr>
      <w:fldChar w:fldCharType="separate"/>
    </w:r>
    <w:r>
      <w:rPr>
        <w:lang w:val="x-none" w:eastAsia="x-none"/>
      </w:rPr>
      <w:t>2</w:t>
    </w:r>
    <w:r>
      <w:rPr>
        <w:lang w:val="x-none" w:eastAsia="x-none"/>
      </w:rPr>
      <w:fldChar w:fldCharType="end"/>
    </w:r>
  </w:p>
  <w:p w14:paraId="7D552B20" w14:textId="77777777">
    <w:pPr>
      <w:tabs>
        <w:tab w:val="center" w:pos="4320"/>
        <w:tab w:val="right" w:pos="8640"/>
      </w:tabs>
      <w:rPr>
        <w:lang w:val="x-none" w:eastAsia="x-none"/>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6677B3" w14:textId="77777777">
    <w:pPr>
      <w:tabs>
        <w:tab w:val="center" w:pos="4320"/>
        <w:tab w:val="right" w:pos="8640"/>
      </w:tabs>
      <w:rPr>
        <w:lang w:val="x-none" w:eastAsia="x-none"/>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780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552AE8"/>
  <w15:docId w15:val="{7CD442B5-AE2A-4D3D-BA6A-43A47BB0DAB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6035697">
      <w:bodyDiv w:val="1"/>
      <w:marLeft w:val="0"/>
      <w:marRight w:val="0"/>
      <w:marTop w:val="0"/>
      <w:marBottom w:val="0"/>
      <w:divBdr>
        <w:top w:val="none" w:sz="0" w:space="0" w:color="auto"/>
        <w:left w:val="none" w:sz="0" w:space="0" w:color="auto"/>
        <w:bottom w:val="none" w:sz="0" w:space="0" w:color="auto"/>
        <w:right w:val="none" w:sz="0" w:space="0" w:color="auto"/>
      </w:divBdr>
      <w:divsChild>
        <w:div w:id="255286046">
          <w:marLeft w:val="0"/>
          <w:marRight w:val="0"/>
          <w:marTop w:val="0"/>
          <w:marBottom w:val="0"/>
          <w:divBdr>
            <w:top w:val="none" w:sz="0" w:space="0" w:color="auto"/>
            <w:left w:val="none" w:sz="0" w:space="0" w:color="auto"/>
            <w:bottom w:val="none" w:sz="0" w:space="0" w:color="auto"/>
            <w:right w:val="none" w:sz="0" w:space="0" w:color="auto"/>
          </w:divBdr>
        </w:div>
        <w:div w:id="711416468">
          <w:marLeft w:val="0"/>
          <w:marRight w:val="0"/>
          <w:marTop w:val="0"/>
          <w:marBottom w:val="0"/>
          <w:divBdr>
            <w:top w:val="none" w:sz="0" w:space="0" w:color="auto"/>
            <w:left w:val="none" w:sz="0" w:space="0" w:color="auto"/>
            <w:bottom w:val="none" w:sz="0" w:space="0" w:color="auto"/>
            <w:right w:val="none" w:sz="0" w:space="0" w:color="auto"/>
          </w:divBdr>
        </w:div>
        <w:div w:id="721640492">
          <w:marLeft w:val="0"/>
          <w:marRight w:val="0"/>
          <w:marTop w:val="0"/>
          <w:marBottom w:val="0"/>
          <w:divBdr>
            <w:top w:val="none" w:sz="0" w:space="0" w:color="auto"/>
            <w:left w:val="none" w:sz="0" w:space="0" w:color="auto"/>
            <w:bottom w:val="none" w:sz="0" w:space="0" w:color="auto"/>
            <w:right w:val="none" w:sz="0" w:space="0" w:color="auto"/>
          </w:divBdr>
        </w:div>
      </w:divsChild>
    </w:div>
    <w:div w:id="228930573">
      <w:bodyDiv w:val="1"/>
      <w:marLeft w:val="0"/>
      <w:marRight w:val="0"/>
      <w:marTop w:val="0"/>
      <w:marBottom w:val="0"/>
      <w:divBdr>
        <w:top w:val="none" w:sz="0" w:space="0" w:color="auto"/>
        <w:left w:val="none" w:sz="0" w:space="0" w:color="auto"/>
        <w:bottom w:val="none" w:sz="0" w:space="0" w:color="auto"/>
        <w:right w:val="none" w:sz="0" w:space="0" w:color="auto"/>
      </w:divBdr>
    </w:div>
    <w:div w:id="441151134">
      <w:bodyDiv w:val="1"/>
      <w:marLeft w:val="0"/>
      <w:marRight w:val="0"/>
      <w:marTop w:val="0"/>
      <w:marBottom w:val="0"/>
      <w:divBdr>
        <w:top w:val="none" w:sz="0" w:space="0" w:color="auto"/>
        <w:left w:val="none" w:sz="0" w:space="0" w:color="auto"/>
        <w:bottom w:val="none" w:sz="0" w:space="0" w:color="auto"/>
        <w:right w:val="none" w:sz="0" w:space="0" w:color="auto"/>
      </w:divBdr>
      <w:divsChild>
        <w:div w:id="84769143">
          <w:marLeft w:val="0"/>
          <w:marRight w:val="0"/>
          <w:marTop w:val="0"/>
          <w:marBottom w:val="0"/>
          <w:divBdr>
            <w:top w:val="none" w:sz="0" w:space="0" w:color="auto"/>
            <w:left w:val="none" w:sz="0" w:space="0" w:color="auto"/>
            <w:bottom w:val="none" w:sz="0" w:space="0" w:color="auto"/>
            <w:right w:val="none" w:sz="0" w:space="0" w:color="auto"/>
          </w:divBdr>
        </w:div>
        <w:div w:id="497498137">
          <w:marLeft w:val="0"/>
          <w:marRight w:val="0"/>
          <w:marTop w:val="0"/>
          <w:marBottom w:val="0"/>
          <w:divBdr>
            <w:top w:val="none" w:sz="0" w:space="0" w:color="auto"/>
            <w:left w:val="none" w:sz="0" w:space="0" w:color="auto"/>
            <w:bottom w:val="none" w:sz="0" w:space="0" w:color="auto"/>
            <w:right w:val="none" w:sz="0" w:space="0" w:color="auto"/>
          </w:divBdr>
        </w:div>
        <w:div w:id="852065343">
          <w:marLeft w:val="0"/>
          <w:marRight w:val="0"/>
          <w:marTop w:val="0"/>
          <w:marBottom w:val="0"/>
          <w:divBdr>
            <w:top w:val="none" w:sz="0" w:space="0" w:color="auto"/>
            <w:left w:val="none" w:sz="0" w:space="0" w:color="auto"/>
            <w:bottom w:val="none" w:sz="0" w:space="0" w:color="auto"/>
            <w:right w:val="none" w:sz="0" w:space="0" w:color="auto"/>
          </w:divBdr>
        </w:div>
        <w:div w:id="1092432716">
          <w:marLeft w:val="0"/>
          <w:marRight w:val="0"/>
          <w:marTop w:val="0"/>
          <w:marBottom w:val="0"/>
          <w:divBdr>
            <w:top w:val="none" w:sz="0" w:space="0" w:color="auto"/>
            <w:left w:val="none" w:sz="0" w:space="0" w:color="auto"/>
            <w:bottom w:val="none" w:sz="0" w:space="0" w:color="auto"/>
            <w:right w:val="none" w:sz="0" w:space="0" w:color="auto"/>
          </w:divBdr>
        </w:div>
        <w:div w:id="2048069838">
          <w:marLeft w:val="0"/>
          <w:marRight w:val="0"/>
          <w:marTop w:val="0"/>
          <w:marBottom w:val="0"/>
          <w:divBdr>
            <w:top w:val="none" w:sz="0" w:space="0" w:color="auto"/>
            <w:left w:val="none" w:sz="0" w:space="0" w:color="auto"/>
            <w:bottom w:val="none" w:sz="0" w:space="0" w:color="auto"/>
            <w:right w:val="none" w:sz="0" w:space="0" w:color="auto"/>
          </w:divBdr>
        </w:div>
      </w:divsChild>
    </w:div>
    <w:div w:id="650333169">
      <w:bodyDiv w:val="1"/>
      <w:marLeft w:val="0"/>
      <w:marRight w:val="0"/>
      <w:marTop w:val="0"/>
      <w:marBottom w:val="0"/>
      <w:divBdr>
        <w:top w:val="none" w:sz="0" w:space="0" w:color="auto"/>
        <w:left w:val="none" w:sz="0" w:space="0" w:color="auto"/>
        <w:bottom w:val="none" w:sz="0" w:space="0" w:color="auto"/>
        <w:right w:val="none" w:sz="0" w:space="0" w:color="auto"/>
      </w:divBdr>
    </w:div>
    <w:div w:id="817769964">
      <w:bodyDiv w:val="1"/>
      <w:marLeft w:val="0"/>
      <w:marRight w:val="0"/>
      <w:marTop w:val="0"/>
      <w:marBottom w:val="0"/>
      <w:divBdr>
        <w:top w:val="none" w:sz="0" w:space="0" w:color="auto"/>
        <w:left w:val="none" w:sz="0" w:space="0" w:color="auto"/>
        <w:bottom w:val="none" w:sz="0" w:space="0" w:color="auto"/>
        <w:right w:val="none" w:sz="0" w:space="0" w:color="auto"/>
      </w:divBdr>
    </w:div>
    <w:div w:id="864293608">
      <w:bodyDiv w:val="1"/>
      <w:marLeft w:val="0"/>
      <w:marRight w:val="0"/>
      <w:marTop w:val="0"/>
      <w:marBottom w:val="0"/>
      <w:divBdr>
        <w:top w:val="none" w:sz="0" w:space="0" w:color="auto"/>
        <w:left w:val="none" w:sz="0" w:space="0" w:color="auto"/>
        <w:bottom w:val="none" w:sz="0" w:space="0" w:color="auto"/>
        <w:right w:val="none" w:sz="0" w:space="0" w:color="auto"/>
      </w:divBdr>
      <w:divsChild>
        <w:div w:id="231232065">
          <w:marLeft w:val="0"/>
          <w:marRight w:val="0"/>
          <w:marTop w:val="0"/>
          <w:marBottom w:val="0"/>
          <w:divBdr>
            <w:top w:val="none" w:sz="0" w:space="0" w:color="auto"/>
            <w:left w:val="none" w:sz="0" w:space="0" w:color="auto"/>
            <w:bottom w:val="none" w:sz="0" w:space="0" w:color="auto"/>
            <w:right w:val="none" w:sz="0" w:space="0" w:color="auto"/>
          </w:divBdr>
        </w:div>
        <w:div w:id="1442797550">
          <w:marLeft w:val="0"/>
          <w:marRight w:val="0"/>
          <w:marTop w:val="0"/>
          <w:marBottom w:val="0"/>
          <w:divBdr>
            <w:top w:val="none" w:sz="0" w:space="0" w:color="auto"/>
            <w:left w:val="none" w:sz="0" w:space="0" w:color="auto"/>
            <w:bottom w:val="none" w:sz="0" w:space="0" w:color="auto"/>
            <w:right w:val="none" w:sz="0" w:space="0" w:color="auto"/>
          </w:divBdr>
        </w:div>
        <w:div w:id="1978146582">
          <w:marLeft w:val="0"/>
          <w:marRight w:val="0"/>
          <w:marTop w:val="0"/>
          <w:marBottom w:val="0"/>
          <w:divBdr>
            <w:top w:val="none" w:sz="0" w:space="0" w:color="auto"/>
            <w:left w:val="none" w:sz="0" w:space="0" w:color="auto"/>
            <w:bottom w:val="none" w:sz="0" w:space="0" w:color="auto"/>
            <w:right w:val="none" w:sz="0" w:space="0" w:color="auto"/>
          </w:divBdr>
        </w:div>
      </w:divsChild>
    </w:div>
    <w:div w:id="1179080435">
      <w:bodyDiv w:val="1"/>
      <w:marLeft w:val="0"/>
      <w:marRight w:val="0"/>
      <w:marTop w:val="0"/>
      <w:marBottom w:val="0"/>
      <w:divBdr>
        <w:top w:val="none" w:sz="0" w:space="0" w:color="auto"/>
        <w:left w:val="none" w:sz="0" w:space="0" w:color="auto"/>
        <w:bottom w:val="none" w:sz="0" w:space="0" w:color="auto"/>
        <w:right w:val="none" w:sz="0" w:space="0" w:color="auto"/>
      </w:divBdr>
    </w:div>
    <w:div w:id="132404436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0d19e7c3eb0b4ffe8a9906dc45bbf17c" PartId="2423d5c256f34548b074352153f68c5f">
    <Part Type="skyrius" Nr="999" Title="SPRENDIMO „DĖL PRITARIMO ĮGYVENDINTI PROJEKTĄ „ŠVIETIMO ĮSTAIGŲ VADOVŲ MENTORIŲ RENGIMAS“ PROJEKTO AIŠKINAMASIS RAŠTAS" DocPartId="d9e7f5124c3146cfa4a2599e6d1863d9" PartId="79e4e2eb5efe4a8baba951119cc871d1">
      <Part Type="poskyris" Title="Parengto sprendimo projekto tikslai ir uždaviniai." DocPartId="cf7b77b9e6054a92a759ea36993c8c77" PartId="f0b6cfe065264434800feb57695ab5d7"/>
      <Part Type="poskyris" Title="Dabartinis sprendimo projekte aptariamų klausimų reguliavimas." DocPartId="b59bcb0463ee4741a6435abcba0a1e00" PartId="2b5c3e0852e141e09c66e5ec2b54177d"/>
      <Part Type="poskyris" Title="Sprendimo projekte numatytos naujos teisinio reglamentavimo nuostatos." DocPartId="f3ffc49bb47c45bda042dbb4391ab6d8" PartId="3744d23d4c61427f9380cf8c4b3f1953"/>
      <Part Type="poskyris" Title="Priėmus sprendimą, galimos pasekmės." DocPartId="1758c53346494739b517ac830d355178" PartId="1e6b73beff8c4af4b2497fe85a6e218d"/>
      <Part Type="poskyris" Title="Priėmus sprendimą, keičiami ar pripažįstami negaliojančiais teisės aktai." DocPartId="1e3bc5fcd22c4c37b0977fad0046dc47" PartId="25688d5fa3f94d9ab03825088dddba83"/>
      <Part Type="poskyris" Title="Sprendimui įgyvendinti reikalingi priimti papildomi teisės aktai." DocPartId="f47317ba380545ef98f52aea5591d107" PartId="ea1e357b876744faad5f23016c778e3c"/>
      <Part Type="poskyris" Title="Sprendimo projekto antikorupcinis vertinimas." DocPartId="96f1042c632f4551b5b5804df716b2ca" PartId="fb5c5c82cd924de19553027b7d0b1091"/>
    </Part>
    <Part Type="signatura" DocPartId="440bde99289c442088d38c9b221c1d5a" PartId="0d3758f8c1a746d7a57a3bf43e8ed17f"/>
  </Part>
</Parts>
</file>

<file path=customXml/itemProps1.xml><?xml version="1.0" encoding="utf-8"?>
<ds:datastoreItem xmlns:ds="http://schemas.openxmlformats.org/officeDocument/2006/customXml" ds:itemID="{747BB6F3-6DFF-40BE-A709-F56E8970C8FE}">
  <ds:schemaRefs>
    <ds:schemaRef ds:uri="http://schemas.openxmlformats.org/officeDocument/2006/bibliography"/>
  </ds:schemaRefs>
</ds:datastoreItem>
</file>

<file path=customXml/itemProps2.xml><?xml version="1.0" encoding="utf-8"?>
<ds:datastoreItem xmlns:ds="http://schemas.openxmlformats.org/officeDocument/2006/customXml" ds:itemID="{CDAB8FBB-0717-4611-ACDE-A1E81869288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678</Words>
  <Characters>5202</Characters>
  <Application>Microsoft Office Word</Application>
  <DocSecurity>4</DocSecurity>
  <Lines>88</Lines>
  <Paragraphs>30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5850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2024-05-08T10:33:00Z</dcterms:created>
  <dc:creator>Dovilė Žukauskienė</dc:creator>
  <lastModifiedBy>adlibuser</lastModifiedBy>
  <lastPrinted>2019-01-14T09:37:00Z</lastPrinted>
  <dcterms:modified xsi:type="dcterms:W3CDTF">2024-05-08T10:33:00Z</dcterms:modified>
  <revision>2</revision>
</coreProperties>
</file>