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956BB0C" w14:textId="77777777">
      <w:pPr>
        <w:widowControl w:val="0"/>
        <w:tabs>
          <w:tab w:val="center" w:pos="4819"/>
          <w:tab w:val="right" w:pos="9638"/>
        </w:tabs>
        <w:suppressAutoHyphens/>
        <w:ind w:left="7230"/>
        <w:rPr>
          <w:rFonts w:eastAsia="Andale Sans UI"/>
          <w:b/>
          <w:bCs/>
          <w:kern w:val="2"/>
          <w:szCs w:val="24"/>
          <w:lang w:eastAsia="ar-SA"/>
        </w:rPr>
      </w:pPr>
      <w:r>
        <w:rPr>
          <w:rFonts w:eastAsia="Andale Sans UI"/>
          <w:b/>
          <w:bCs/>
          <w:kern w:val="2"/>
          <w:szCs w:val="24"/>
          <w:lang w:eastAsia="ar-SA"/>
        </w:rPr>
        <w:t xml:space="preserve">Projekto </w:t>
      </w:r>
    </w:p>
    <w:p w14:paraId="4F528384" w14:textId="77777777">
      <w:pPr>
        <w:widowControl w:val="0"/>
        <w:tabs>
          <w:tab w:val="center" w:pos="4819"/>
          <w:tab w:val="right" w:pos="9638"/>
        </w:tabs>
        <w:suppressAutoHyphens/>
        <w:ind w:left="7230"/>
        <w:rPr>
          <w:rFonts w:eastAsia="Andale Sans UI"/>
          <w:b/>
          <w:bCs/>
          <w:kern w:val="2"/>
          <w:szCs w:val="24"/>
          <w:lang w:eastAsia="ar-SA"/>
        </w:rPr>
      </w:pPr>
      <w:r>
        <w:rPr>
          <w:rFonts w:eastAsia="Andale Sans UI"/>
          <w:b/>
          <w:bCs/>
          <w:kern w:val="2"/>
          <w:szCs w:val="24"/>
          <w:lang w:eastAsia="ar-SA"/>
        </w:rPr>
        <w:t>lyginamasis variantas</w:t>
      </w:r>
    </w:p>
    <w:p w14:paraId="6F7ACAC8" w14:textId="77777777">
      <w:pPr>
        <w:widowControl w:val="0"/>
        <w:suppressAutoHyphens/>
        <w:jc w:val="both"/>
        <w:rPr>
          <w:rFonts w:eastAsia="Andale Sans UI"/>
          <w:b/>
          <w:kern w:val="2"/>
          <w:szCs w:val="24"/>
          <w:lang w:eastAsia="ar-SA"/>
        </w:rPr>
      </w:pPr>
    </w:p>
    <w:p w14:paraId="7BE3C7AD" w14:textId="34886440">
      <w:pPr>
        <w:widowControl w:val="0"/>
        <w:suppressAutoHyphens/>
        <w:jc w:val="center"/>
        <w:rPr>
          <w:rFonts w:eastAsia="Andale Sans UI"/>
          <w:b/>
          <w:kern w:val="2"/>
          <w:szCs w:val="24"/>
          <w:lang w:eastAsia="ar-SA"/>
        </w:rPr>
      </w:pPr>
      <w:r>
        <w:rPr>
          <w:rFonts w:eastAsia="Andale Sans UI"/>
          <w:b/>
          <w:kern w:val="2"/>
          <w:szCs w:val="24"/>
          <w:lang w:eastAsia="ar-SA"/>
        </w:rPr>
        <w:t>ŠIAULIŲ MIESTO SAVIVALDYBĖS TARYBA</w:t>
      </w:r>
    </w:p>
    <w:p w14:paraId="6C703892" w14:textId="77777777">
      <w:pPr>
        <w:widowControl w:val="0"/>
        <w:suppressAutoHyphens/>
        <w:jc w:val="center"/>
        <w:rPr>
          <w:rFonts w:eastAsia="Andale Sans UI"/>
          <w:b/>
          <w:kern w:val="2"/>
          <w:szCs w:val="24"/>
          <w:lang w:eastAsia="ar-SA"/>
        </w:rPr>
      </w:pPr>
    </w:p>
    <w:p w14:paraId="28373BA4" w14:textId="77777777">
      <w:pPr>
        <w:widowControl w:val="0"/>
        <w:suppressAutoHyphens/>
        <w:jc w:val="center"/>
        <w:rPr>
          <w:rFonts w:eastAsia="Andale Sans UI"/>
          <w:b/>
          <w:kern w:val="2"/>
          <w:szCs w:val="24"/>
          <w:lang w:eastAsia="ar-SA"/>
        </w:rPr>
      </w:pPr>
      <w:r>
        <w:rPr>
          <w:rFonts w:eastAsia="Andale Sans UI"/>
          <w:b/>
          <w:kern w:val="2"/>
          <w:szCs w:val="24"/>
          <w:lang w:eastAsia="ar-SA"/>
        </w:rPr>
        <w:t>SPRENDIMAS</w:t>
      </w:r>
    </w:p>
    <w:p w14:paraId="69F7CD21" w14:textId="4D1D9514">
      <w:pPr>
        <w:widowControl w:val="0"/>
        <w:suppressAutoHyphens/>
        <w:jc w:val="center"/>
        <w:rPr>
          <w:rFonts w:eastAsia="Andale Sans UI"/>
          <w:b/>
          <w:kern w:val="2"/>
          <w:szCs w:val="24"/>
          <w:lang w:eastAsia="ar-SA"/>
        </w:rPr>
      </w:pPr>
      <w:r>
        <w:rPr>
          <w:rFonts w:eastAsia="Andale Sans UI"/>
          <w:b/>
          <w:kern w:val="2"/>
          <w:szCs w:val="24"/>
          <w:lang w:eastAsia="ar-SA"/>
        </w:rPr>
        <w:t>DĖL ŠIAULIŲ MIESTO SAVIVALDYBĖS TARYBOS 2019 M. BIRŽELIO 6 D. SPRENDIMO NR. T-270„DĖL ŠIAULIŲ MIESTO SAVIVALDYBĖS TARYBOS VEIKLOS REGLAMENTO PATVIRTINIMO“ PAKEITIMO</w:t>
      </w:r>
    </w:p>
    <w:p w14:paraId="628560EC" w14:textId="77777777">
      <w:pPr>
        <w:jc w:val="center"/>
        <w:rPr>
          <w:rFonts w:eastAsia="Arial Unicode MS"/>
          <w:szCs w:val="24"/>
        </w:rPr>
      </w:pPr>
    </w:p>
    <w:p w14:paraId="31E43A31" w14:textId="38AC7E8A">
      <w:pPr>
        <w:widowControl w:val="0"/>
        <w:suppressAutoHyphens/>
        <w:jc w:val="center"/>
        <w:rPr>
          <w:rFonts w:eastAsia="Andale Sans UI"/>
          <w:kern w:val="2"/>
          <w:szCs w:val="24"/>
          <w:lang w:eastAsia="ar-SA"/>
        </w:rPr>
      </w:pPr>
      <w:r>
        <w:rPr>
          <w:rFonts w:eastAsia="Andale Sans UI"/>
          <w:kern w:val="2"/>
          <w:szCs w:val="24"/>
          <w:lang w:eastAsia="ar-SA"/>
        </w:rPr>
        <w:t xml:space="preserve">2022 m.           d. Nr. T-</w:t>
      </w:r>
    </w:p>
    <w:p w14:paraId="1B993854" w14:textId="77777777">
      <w:pPr>
        <w:widowControl w:val="0"/>
        <w:suppressAutoHyphens/>
        <w:jc w:val="center"/>
        <w:rPr>
          <w:rFonts w:eastAsia="Andale Sans UI"/>
          <w:kern w:val="2"/>
          <w:szCs w:val="24"/>
          <w:lang w:eastAsia="ar-SA"/>
        </w:rPr>
      </w:pPr>
      <w:r>
        <w:rPr>
          <w:rFonts w:eastAsia="Andale Sans UI"/>
          <w:kern w:val="2"/>
          <w:szCs w:val="24"/>
          <w:lang w:eastAsia="ar-SA"/>
        </w:rPr>
        <w:t>Šiauliai</w:t>
      </w:r>
    </w:p>
    <w:p w14:paraId="47EE4726" w14:textId="77777777">
      <w:pPr>
        <w:widowControl w:val="0"/>
        <w:suppressAutoHyphens/>
        <w:ind w:firstLine="709"/>
        <w:jc w:val="both"/>
        <w:rPr>
          <w:rFonts w:eastAsia="Andale Sans UI"/>
          <w:kern w:val="2"/>
          <w:szCs w:val="24"/>
          <w:lang w:eastAsia="ar-SA"/>
        </w:rPr>
      </w:pPr>
    </w:p>
    <w:p w14:paraId="1B2C5F30" w14:textId="67F78B04">
      <w:pPr>
        <w:widowControl w:val="0"/>
        <w:suppressAutoHyphens/>
        <w:ind w:firstLine="851"/>
        <w:jc w:val="both"/>
        <w:rPr>
          <w:rFonts w:eastAsia="Andale Sans UI"/>
          <w:kern w:val="2"/>
          <w:szCs w:val="24"/>
          <w:shd w:val="clear" w:color="auto" w:fill="FFFFFF"/>
          <w:lang w:eastAsia="ar-SA"/>
        </w:rPr>
      </w:pPr>
      <w:r>
        <w:rPr>
          <w:rFonts w:eastAsia="Andale Sans UI"/>
          <w:kern w:val="2"/>
          <w:szCs w:val="24"/>
          <w:lang w:eastAsia="ar-SA"/>
        </w:rPr>
        <w:t xml:space="preserve">Vadovaudamasi Lietuvos Respublikos vietos savivaldos įstatymo 16 straipsnio 2 dalies 1 punktu, 18 straipsnio 1 dalimi, Šiaulių miesto savivaldybės taryba  </w:t>
      </w:r>
      <w:r>
        <w:rPr>
          <w:rFonts w:eastAsia="Andale Sans UI"/>
          <w:spacing w:val="80"/>
          <w:kern w:val="2"/>
          <w:szCs w:val="24"/>
          <w:shd w:val="clear" w:color="auto" w:fill="FFFFFF"/>
          <w:lang w:eastAsia="ar-SA"/>
        </w:rPr>
        <w:t>nusprendži</w:t>
      </w:r>
      <w:r>
        <w:rPr>
          <w:rFonts w:eastAsia="Andale Sans UI"/>
          <w:kern w:val="2"/>
          <w:szCs w:val="24"/>
          <w:shd w:val="clear" w:color="auto" w:fill="FFFFFF"/>
          <w:lang w:eastAsia="ar-SA"/>
        </w:rPr>
        <w:t>a:</w:t>
      </w:r>
    </w:p>
    <w:p w14:paraId="3DF3C385" w14:textId="644AA6BF">
      <w:pPr>
        <w:widowControl w:val="0"/>
        <w:suppressAutoHyphens/>
        <w:ind w:firstLine="709"/>
        <w:jc w:val="both"/>
        <w:rPr>
          <w:rFonts w:eastAsia="Andale Sans UI"/>
          <w:kern w:val="2"/>
          <w:szCs w:val="24"/>
          <w:shd w:val="clear" w:color="auto" w:fill="FFFFFF"/>
          <w:lang w:eastAsia="ar-SA"/>
        </w:rPr>
      </w:pPr>
      <w:r>
        <w:rPr>
          <w:rFonts w:eastAsia="Andale Sans UI"/>
          <w:kern w:val="2"/>
          <w:szCs w:val="24"/>
          <w:shd w:val="clear" w:color="auto" w:fill="FFFFFF"/>
          <w:lang w:eastAsia="ar-SA"/>
        </w:rPr>
        <w:t>1</w:t>
      </w:r>
      <w:r>
        <w:rPr>
          <w:rFonts w:eastAsia="Andale Sans UI"/>
          <w:kern w:val="2"/>
          <w:szCs w:val="24"/>
          <w:shd w:val="clear" w:color="auto" w:fill="FFFFFF"/>
          <w:lang w:eastAsia="ar-SA"/>
        </w:rPr>
        <w:t>. Pakeisti Šiaulių miesto savivaldybės tarybos veiklos reglamentą, patvirtintą Šiaulių miesto savivaldybės tarybos 2019 m. birželio 6 d. sprendimu Nr. T-270 „Dėl Šiaulių miesto savivaldybės tarybos veiklos reglamento patvirtinimo“:</w:t>
      </w:r>
    </w:p>
    <w:p w14:paraId="60C2E028" w14:textId="0D78658C">
      <w:pPr>
        <w:widowControl w:val="0"/>
        <w:suppressAutoHyphens/>
        <w:ind w:firstLine="709"/>
        <w:jc w:val="both"/>
        <w:rPr>
          <w:rFonts w:eastAsia="Andale Sans UI"/>
          <w:kern w:val="2"/>
          <w:szCs w:val="24"/>
          <w:vertAlign w:val="superscript"/>
          <w:lang w:eastAsia="ar-SA"/>
        </w:rPr>
      </w:pPr>
      <w:r>
        <w:rPr>
          <w:rFonts w:eastAsia="Andale Sans UI"/>
          <w:kern w:val="2"/>
          <w:szCs w:val="24"/>
          <w:lang w:eastAsia="ar-SA"/>
        </w:rPr>
        <w:t>1.1</w:t>
      </w:r>
      <w:r>
        <w:rPr>
          <w:rFonts w:eastAsia="Andale Sans UI"/>
          <w:kern w:val="2"/>
          <w:szCs w:val="24"/>
          <w:lang w:eastAsia="ar-SA"/>
        </w:rPr>
        <w:t>. Pakeisti 111</w:t>
      </w:r>
      <w:r>
        <w:rPr>
          <w:rFonts w:eastAsia="Andale Sans UI"/>
          <w:kern w:val="2"/>
          <w:szCs w:val="24"/>
          <w:vertAlign w:val="superscript"/>
          <w:lang w:eastAsia="ar-SA"/>
        </w:rPr>
        <w:t>1</w:t>
      </w:r>
      <w:r>
        <w:rPr>
          <w:rFonts w:eastAsia="Andale Sans UI"/>
          <w:kern w:val="2"/>
          <w:szCs w:val="24"/>
          <w:lang w:eastAsia="ar-SA"/>
        </w:rPr>
        <w:t xml:space="preserve"> punktą ir jį išdėstyti taip:</w:t>
      </w:r>
    </w:p>
    <w:p w14:paraId="7C88FD7D" w14:textId="1B3337AB">
      <w:pPr>
        <w:widowControl w:val="0"/>
        <w:suppressAutoHyphens/>
        <w:ind w:firstLine="771"/>
        <w:jc w:val="both"/>
        <w:rPr>
          <w:rFonts w:eastAsia="Andale Sans UI"/>
          <w:b/>
          <w:kern w:val="2"/>
          <w:szCs w:val="24"/>
          <w:lang w:eastAsia="lt-LT"/>
        </w:rPr>
      </w:pPr>
      <w:r>
        <w:rPr>
          <w:rFonts w:eastAsia="Andale Sans UI"/>
          <w:kern w:val="2"/>
          <w:szCs w:val="24"/>
          <w:lang w:eastAsia="ar-SA"/>
        </w:rPr>
        <w:t>„</w:t>
      </w:r>
      <w:r>
        <w:rPr>
          <w:rFonts w:eastAsia="Andale Sans UI"/>
          <w:kern w:val="2"/>
          <w:szCs w:val="24"/>
          <w:lang w:eastAsia="ar-SA"/>
        </w:rPr>
        <w:t>111</w:t>
      </w:r>
      <w:r>
        <w:rPr>
          <w:rFonts w:eastAsia="Andale Sans UI"/>
          <w:kern w:val="2"/>
          <w:szCs w:val="24"/>
          <w:vertAlign w:val="superscript"/>
          <w:lang w:eastAsia="ar-SA"/>
        </w:rPr>
        <w:t>1</w:t>
      </w:r>
      <w:r>
        <w:rPr>
          <w:rFonts w:eastAsia="Andale Sans UI"/>
          <w:kern w:val="2"/>
          <w:szCs w:val="24"/>
          <w:lang w:eastAsia="ar-SA"/>
        </w:rPr>
        <w:t xml:space="preserve">. </w:t>
      </w:r>
      <w:r>
        <w:rPr>
          <w:rFonts w:eastAsia="Andale Sans UI"/>
          <w:strike/>
          <w:kern w:val="2"/>
          <w:szCs w:val="24"/>
          <w:lang w:eastAsia="ar-SA"/>
        </w:rPr>
        <w:t>Vietos savivaldos įstatyme nurodytais atvejais Tarybos,</w:t>
      </w:r>
      <w:r>
        <w:rPr>
          <w:rFonts w:eastAsia="Andale Sans UI"/>
          <w:kern w:val="2"/>
          <w:szCs w:val="24"/>
          <w:lang w:eastAsia="ar-SA"/>
        </w:rPr>
        <w:t xml:space="preserve"> </w:t>
      </w:r>
      <w:r>
        <w:rPr>
          <w:rFonts w:eastAsia="Andale Sans UI"/>
          <w:b/>
          <w:kern w:val="2"/>
          <w:szCs w:val="24"/>
          <w:lang w:eastAsia="ar-SA"/>
        </w:rPr>
        <w:t>K</w:t>
      </w:r>
      <w:r>
        <w:rPr>
          <w:rFonts w:eastAsia="Andale Sans UI"/>
          <w:strike/>
          <w:kern w:val="2"/>
          <w:szCs w:val="24"/>
          <w:lang w:eastAsia="ar-SA"/>
        </w:rPr>
        <w:t>k</w:t>
      </w:r>
      <w:r>
        <w:rPr>
          <w:rFonts w:eastAsia="Andale Sans UI"/>
          <w:kern w:val="2"/>
          <w:szCs w:val="24"/>
          <w:lang w:eastAsia="ar-SA"/>
        </w:rPr>
        <w:t xml:space="preserve">omitetų ir komisijų posėdžiai </w:t>
      </w:r>
      <w:r>
        <w:rPr>
          <w:rFonts w:eastAsia="Andale Sans UI"/>
          <w:strike/>
          <w:kern w:val="2"/>
          <w:szCs w:val="24"/>
          <w:lang w:eastAsia="ar-SA"/>
        </w:rPr>
        <w:t>vysta</w:t>
      </w:r>
      <w:r>
        <w:rPr>
          <w:rFonts w:eastAsia="Andale Sans UI"/>
          <w:kern w:val="2"/>
          <w:szCs w:val="24"/>
          <w:lang w:eastAsia="ar-SA"/>
        </w:rPr>
        <w:t xml:space="preserve"> </w:t>
      </w:r>
      <w:r>
        <w:rPr>
          <w:rFonts w:eastAsia="Andale Sans UI"/>
          <w:b/>
          <w:kern w:val="2"/>
          <w:szCs w:val="24"/>
          <w:lang w:eastAsia="ar-SA"/>
        </w:rPr>
        <w:t>gali</w:t>
      </w:r>
      <w:r>
        <w:rPr>
          <w:rFonts w:eastAsia="Andale Sans UI"/>
          <w:kern w:val="2"/>
          <w:szCs w:val="24"/>
          <w:lang w:eastAsia="ar-SA"/>
        </w:rPr>
        <w:t xml:space="preserve"> </w:t>
      </w:r>
      <w:r>
        <w:rPr>
          <w:rFonts w:eastAsia="Andale Sans UI"/>
          <w:b/>
          <w:kern w:val="2"/>
          <w:szCs w:val="24"/>
          <w:lang w:eastAsia="ar-SA"/>
        </w:rPr>
        <w:t>vykti</w:t>
      </w:r>
      <w:r>
        <w:rPr>
          <w:rFonts w:eastAsia="Andale Sans UI"/>
          <w:kern w:val="2"/>
          <w:szCs w:val="24"/>
          <w:lang w:eastAsia="ar-SA"/>
        </w:rPr>
        <w:t xml:space="preserve"> nuotoliniu būdu</w:t>
      </w:r>
      <w:r>
        <w:rPr>
          <w:rFonts w:eastAsia="Andale Sans UI"/>
          <w:b/>
          <w:kern w:val="2"/>
          <w:szCs w:val="24"/>
          <w:lang w:eastAsia="lt-LT"/>
        </w:rPr>
        <w:t xml:space="preserve"> arba daliai Tarybos narių fiziškai susirenkant į komitetų ir komisijos posėdžius, o kitai daliai Tarybos narių dalyvaujant nuotoliniu būdu (toliau – mišrusis būdas)</w:t>
      </w:r>
      <w:r>
        <w:rPr>
          <w:rFonts w:eastAsia="Andale Sans UI"/>
          <w:kern w:val="2"/>
          <w:szCs w:val="24"/>
          <w:lang w:eastAsia="ar-SA"/>
        </w:rPr>
        <w:t xml:space="preserve">, laikantis visų Vietos savivaldos įstatyme ir Reglamente nustatytų reikalavimų. Nuotoliniu </w:t>
      </w:r>
      <w:r>
        <w:rPr>
          <w:rFonts w:eastAsia="Andale Sans UI"/>
          <w:b/>
          <w:kern w:val="2"/>
          <w:szCs w:val="24"/>
          <w:lang w:eastAsia="ar-SA"/>
        </w:rPr>
        <w:t>ir mišriuoju</w:t>
      </w:r>
      <w:r>
        <w:rPr>
          <w:rFonts w:eastAsia="Andale Sans UI"/>
          <w:kern w:val="2"/>
          <w:szCs w:val="24"/>
          <w:lang w:eastAsia="ar-SA"/>
        </w:rPr>
        <w:t xml:space="preserve"> būdu vykstant </w:t>
      </w:r>
      <w:r>
        <w:rPr>
          <w:rFonts w:eastAsia="Andale Sans UI"/>
          <w:strike/>
          <w:kern w:val="2"/>
          <w:szCs w:val="24"/>
          <w:lang w:eastAsia="ar-SA"/>
        </w:rPr>
        <w:t>Tarybos,</w:t>
      </w:r>
      <w:r>
        <w:rPr>
          <w:rFonts w:eastAsia="Andale Sans UI"/>
          <w:kern w:val="2"/>
          <w:szCs w:val="24"/>
          <w:lang w:eastAsia="ar-SA"/>
        </w:rPr>
        <w:t xml:space="preserve"> komitetų ir komisijų posėdžiams, turi būti užtikrintas jų narių tapatybės ir balsavimo rezultatų nustatymas.</w:t>
      </w:r>
      <w:r>
        <w:rPr>
          <w:rFonts w:eastAsia="Andale Sans UI"/>
          <w:kern w:val="2"/>
          <w:szCs w:val="24"/>
          <w:lang w:eastAsia="lt-LT"/>
        </w:rPr>
        <w:t>“</w:t>
      </w:r>
    </w:p>
    <w:p w14:paraId="7E6255C7" w14:textId="496FDED3">
      <w:pPr>
        <w:widowControl w:val="0"/>
        <w:suppressAutoHyphens/>
        <w:ind w:firstLine="709"/>
        <w:jc w:val="both"/>
        <w:rPr>
          <w:rFonts w:eastAsia="Andale Sans UI"/>
          <w:kern w:val="2"/>
          <w:szCs w:val="24"/>
          <w:vertAlign w:val="superscript"/>
          <w:lang w:eastAsia="ar-SA"/>
        </w:rPr>
      </w:pPr>
      <w:r>
        <w:rPr>
          <w:rFonts w:eastAsia="Andale Sans UI"/>
          <w:kern w:val="2"/>
          <w:szCs w:val="24"/>
          <w:lang w:eastAsia="ar-SA"/>
        </w:rPr>
        <w:t>1.2</w:t>
      </w:r>
      <w:r>
        <w:rPr>
          <w:rFonts w:eastAsia="Andale Sans UI"/>
          <w:kern w:val="2"/>
          <w:szCs w:val="24"/>
          <w:lang w:eastAsia="ar-SA"/>
        </w:rPr>
        <w:t>. Pakeisti 131 punktą ir jį išdėstyti taip:</w:t>
      </w:r>
    </w:p>
    <w:p w14:paraId="233B52E5" w14:textId="20E30922">
      <w:pPr>
        <w:widowControl w:val="0"/>
        <w:suppressAutoHyphens/>
        <w:ind w:firstLine="709"/>
        <w:jc w:val="both"/>
        <w:rPr>
          <w:strike/>
          <w:kern w:val="2"/>
          <w:szCs w:val="24"/>
          <w:lang w:eastAsia="lt-LT"/>
        </w:rPr>
      </w:pPr>
      <w:r>
        <w:rPr>
          <w:kern w:val="2"/>
          <w:szCs w:val="24"/>
          <w:lang w:eastAsia="lt-LT"/>
        </w:rPr>
        <w:t>„</w:t>
      </w:r>
      <w:r>
        <w:rPr>
          <w:kern w:val="2"/>
          <w:szCs w:val="24"/>
          <w:lang w:eastAsia="lt-LT"/>
        </w:rPr>
        <w:t>131</w:t>
      </w:r>
      <w:r>
        <w:rPr>
          <w:kern w:val="2"/>
          <w:szCs w:val="24"/>
          <w:lang w:eastAsia="lt-LT"/>
        </w:rPr>
        <w:t xml:space="preserve">. Tarybos nariui su jo, kaip Tarybos nario, veikla susijusioms kanceliarijos, pašto, telefono, interneto ryšio, transporto, biuro patalpų nuomos </w:t>
      </w:r>
      <w:r>
        <w:rPr>
          <w:b/>
          <w:bCs/>
          <w:kern w:val="2"/>
          <w:szCs w:val="24"/>
          <w:lang w:eastAsia="lt-LT"/>
        </w:rPr>
        <w:t>patirtoms</w:t>
      </w:r>
      <w:r>
        <w:rPr>
          <w:kern w:val="2"/>
          <w:szCs w:val="24"/>
          <w:lang w:eastAsia="lt-LT"/>
        </w:rPr>
        <w:t xml:space="preserve"> išlaidoms apmokėti, kiek jų nesuteikia ar neapmoka tiesiogiai Savivaldybės administracija, kas mėnesį skiriama </w:t>
      </w:r>
      <w:r>
        <w:rPr>
          <w:b/>
          <w:bCs/>
          <w:kern w:val="2"/>
          <w:szCs w:val="24"/>
          <w:lang w:eastAsia="lt-LT"/>
        </w:rPr>
        <w:t>iki</w:t>
      </w:r>
      <w:r>
        <w:rPr>
          <w:kern w:val="2"/>
          <w:szCs w:val="24"/>
          <w:lang w:eastAsia="lt-LT"/>
        </w:rPr>
        <w:t xml:space="preserve"> 0,25 VMDU dydžio išmoka (toliau – išmoka) </w:t>
      </w:r>
      <w:r>
        <w:rPr>
          <w:strike/>
          <w:kern w:val="2"/>
          <w:szCs w:val="24"/>
          <w:lang w:eastAsia="lt-LT"/>
        </w:rPr>
        <w:t>už kurią atsiskaitoma ne rečiau kaip vieną kartą per ketvirtį</w:t>
      </w:r>
      <w:r>
        <w:rPr>
          <w:rFonts w:eastAsia="Andale Sans UI"/>
          <w:kern w:val="2"/>
          <w:szCs w:val="24"/>
          <w:lang w:eastAsia="ar-SA"/>
        </w:rPr>
        <w:t>.“</w:t>
      </w:r>
    </w:p>
    <w:p w14:paraId="53C33503" w14:textId="76AD0F9D">
      <w:pPr>
        <w:widowControl w:val="0"/>
        <w:suppressAutoHyphens/>
        <w:ind w:firstLine="709"/>
        <w:jc w:val="both"/>
        <w:rPr>
          <w:rFonts w:eastAsia="Andale Sans UI"/>
          <w:kern w:val="2"/>
          <w:szCs w:val="24"/>
          <w:vertAlign w:val="superscript"/>
          <w:lang w:eastAsia="ar-SA"/>
        </w:rPr>
      </w:pPr>
      <w:r>
        <w:rPr>
          <w:rFonts w:eastAsia="Andale Sans UI"/>
          <w:kern w:val="2"/>
          <w:szCs w:val="24"/>
          <w:lang w:eastAsia="ar-SA"/>
        </w:rPr>
        <w:t>1.3</w:t>
      </w:r>
      <w:r>
        <w:rPr>
          <w:rFonts w:eastAsia="Andale Sans UI"/>
          <w:kern w:val="2"/>
          <w:szCs w:val="24"/>
          <w:lang w:eastAsia="ar-SA"/>
        </w:rPr>
        <w:t>. Pakeisti 132 punktą ir jį išdėstyti taip:</w:t>
      </w:r>
    </w:p>
    <w:p w14:paraId="19D91D52" w14:textId="13F41C07">
      <w:pPr>
        <w:widowControl w:val="0"/>
        <w:suppressAutoHyphens/>
        <w:ind w:firstLine="720"/>
        <w:jc w:val="both"/>
        <w:rPr>
          <w:b/>
          <w:bCs/>
          <w:kern w:val="2"/>
          <w:szCs w:val="24"/>
          <w:lang w:eastAsia="lt-LT"/>
        </w:rPr>
      </w:pPr>
      <w:r>
        <w:rPr>
          <w:kern w:val="2"/>
          <w:szCs w:val="24"/>
          <w:lang w:eastAsia="lt-LT"/>
        </w:rPr>
        <w:t>„</w:t>
      </w:r>
      <w:r>
        <w:rPr>
          <w:kern w:val="2"/>
          <w:szCs w:val="24"/>
          <w:lang w:eastAsia="lt-LT"/>
        </w:rPr>
        <w:t>132</w:t>
      </w:r>
      <w:r>
        <w:rPr>
          <w:kern w:val="2"/>
          <w:szCs w:val="24"/>
          <w:lang w:eastAsia="lt-LT"/>
        </w:rPr>
        <w:t xml:space="preserve">. </w:t>
      </w:r>
      <w:r>
        <w:rPr>
          <w:strike/>
          <w:kern w:val="2"/>
          <w:szCs w:val="24"/>
          <w:lang w:eastAsia="lt-LT"/>
        </w:rPr>
        <w:t xml:space="preserve">Išmokai gauti </w:t>
      </w:r>
      <w:r>
        <w:rPr>
          <w:kern w:val="2"/>
          <w:szCs w:val="24"/>
          <w:lang w:eastAsia="lt-LT"/>
        </w:rPr>
        <w:t>Tarybos nariai</w:t>
      </w:r>
      <w:r>
        <w:rPr>
          <w:strike/>
          <w:kern w:val="2"/>
          <w:szCs w:val="24"/>
          <w:lang w:eastAsia="lt-LT"/>
        </w:rPr>
        <w:t xml:space="preserve"> pateikia Savivaldybės administracijos Strateginės plėtros ir ekonomikos departamento  Apskaitos skyriui (toliau – Apskaitos skyrius) savo banko sąskaitos rekvizitus. Išmokos dydžio suma</w:t>
      </w:r>
      <w:r>
        <w:rPr>
          <w:kern w:val="2"/>
          <w:szCs w:val="24"/>
          <w:lang w:eastAsia="lt-LT"/>
        </w:rPr>
        <w:t xml:space="preserve"> kiekvieną mėnesį iki einamo mėnesio</w:t>
      </w:r>
      <w:r>
        <w:rPr>
          <w:strike/>
          <w:kern w:val="2"/>
          <w:szCs w:val="24"/>
          <w:lang w:eastAsia="lt-LT"/>
        </w:rPr>
        <w:t xml:space="preserve"> 15 dienos avansu pervedama visiems Tarybos nariams į jų nurodytas sąskaitas banke. Pasibaigus ketvirčiui, išmoka pervedama tik už gautų lėšų panaudojimą atsiskaičiusiems Tarybos nariams. Pervedamos išmokos suma mažinama tokia išmokos dalimi, už kurią Tarybos narys per praėjusį ketvirtį nėra atsiskaitęs. </w:t>
      </w:r>
      <w:r>
        <w:rPr>
          <w:b/>
          <w:bCs/>
          <w:kern w:val="2"/>
          <w:szCs w:val="24"/>
          <w:lang w:eastAsia="lt-LT"/>
        </w:rPr>
        <w:t>10 dienos</w:t>
      </w:r>
      <w:r>
        <w:rPr>
          <w:b/>
          <w:kern w:val="2"/>
          <w:szCs w:val="24"/>
          <w:lang w:eastAsia="lt-LT"/>
        </w:rPr>
        <w:t xml:space="preserve"> pateikia Apskaitos skyriui praėjusio mėnesio išlaidų ataskaitą su apmokėjimą įrodančiais dokumentais (ataskaitinio mėnesio laikotarpio PVM sąskaitomis faktūromis, sąskaitomis faktūromis, kasos aparato kvitais, čekiais ir kt.). Dėl pateisinamų priežasčių m</w:t>
      </w:r>
      <w:r>
        <w:rPr>
          <w:b/>
          <w:bCs/>
          <w:kern w:val="2"/>
          <w:szCs w:val="24"/>
          <w:lang w:eastAsia="lt-LT"/>
        </w:rPr>
        <w:t xml:space="preserve">ero sutikimu ataskaita gali būti pateikiama ir vėliau, bet ne vėliau, kaip per 3 mėnesius nuo ataskaitinio laikotarpio pabaigos. Vėliau nei šiame punkte nurodytais terminais pateiktos ataskaitos nepriimamos ir patirtos išlaidos nekompensuojamos. </w:t>
      </w:r>
      <w:r>
        <w:rPr>
          <w:b/>
          <w:kern w:val="2"/>
          <w:szCs w:val="24"/>
          <w:lang w:eastAsia="lt-LT"/>
        </w:rPr>
        <w:t xml:space="preserve">Išlaidas pateisinantys dokumentai turi būti išrašyti Tarybos nario vardu. </w:t>
      </w:r>
    </w:p>
    <w:p w14:paraId="39469148" w14:textId="2EFAAD4C">
      <w:pPr>
        <w:widowControl w:val="0"/>
        <w:suppressAutoHyphens/>
        <w:ind w:firstLine="567"/>
        <w:jc w:val="both"/>
        <w:rPr>
          <w:kern w:val="2"/>
          <w:szCs w:val="24"/>
          <w:lang w:eastAsia="lt-LT"/>
        </w:rPr>
      </w:pPr>
      <w:r>
        <w:rPr>
          <w:b/>
          <w:kern w:val="2"/>
          <w:szCs w:val="24"/>
          <w:lang w:eastAsia="lt-LT"/>
        </w:rPr>
        <w:t>Ataskaitos pateikiamos elektroniniu būdu per DVS „Avilys“ (toliau – „Avilys“). Jei nėra galimybės ataskaitos pateikti per „Avilį“, ji gali būti pateikta tiesiogiai atvykus į Savivaldybę, atsiuntus paštu ar elektroniniu paštu. Teikiant ataskaitą elektroniniu būdu, ji turi būti pasirašyta kvalifikuotu elektroniniu parašu</w:t>
      </w:r>
      <w:r>
        <w:rPr>
          <w:kern w:val="2"/>
          <w:szCs w:val="24"/>
          <w:lang w:eastAsia="lt-LT"/>
        </w:rPr>
        <w:t>.“</w:t>
      </w:r>
    </w:p>
    <w:p w14:paraId="0C1D1232" w14:textId="0556138D">
      <w:pPr>
        <w:widowControl w:val="0"/>
        <w:suppressAutoHyphens/>
        <w:ind w:firstLine="709"/>
        <w:jc w:val="both"/>
        <w:rPr>
          <w:rFonts w:eastAsia="Andale Sans UI"/>
          <w:kern w:val="2"/>
          <w:szCs w:val="24"/>
          <w:vertAlign w:val="superscript"/>
          <w:lang w:eastAsia="ar-SA"/>
        </w:rPr>
      </w:pPr>
      <w:r>
        <w:rPr>
          <w:rFonts w:eastAsia="Andale Sans UI"/>
          <w:kern w:val="2"/>
          <w:szCs w:val="24"/>
          <w:lang w:eastAsia="ar-SA"/>
        </w:rPr>
        <w:t>1.4</w:t>
      </w:r>
      <w:r>
        <w:rPr>
          <w:rFonts w:eastAsia="Andale Sans UI"/>
          <w:kern w:val="2"/>
          <w:szCs w:val="24"/>
          <w:lang w:eastAsia="ar-SA"/>
        </w:rPr>
        <w:t>. Pakeisti 133 punktą ir jį išdėstyti taip:</w:t>
      </w:r>
    </w:p>
    <w:p w14:paraId="271FCE4E" w14:textId="128CDA2A">
      <w:pPr>
        <w:widowControl w:val="0"/>
        <w:suppressAutoHyphens/>
        <w:ind w:firstLine="720"/>
        <w:jc w:val="both"/>
        <w:rPr>
          <w:kern w:val="2"/>
          <w:szCs w:val="24"/>
          <w:lang w:eastAsia="lt-LT"/>
        </w:rPr>
      </w:pPr>
      <w:r>
        <w:rPr>
          <w:kern w:val="2"/>
          <w:szCs w:val="24"/>
          <w:shd w:val="clear" w:color="auto" w:fill="FFFFFF"/>
          <w:lang w:eastAsia="lt-LT"/>
        </w:rPr>
        <w:t>„</w:t>
      </w:r>
      <w:r>
        <w:rPr>
          <w:kern w:val="2"/>
          <w:szCs w:val="24"/>
          <w:shd w:val="clear" w:color="auto" w:fill="FFFFFF"/>
          <w:lang w:eastAsia="lt-LT"/>
        </w:rPr>
        <w:t>133</w:t>
      </w:r>
      <w:r>
        <w:rPr>
          <w:kern w:val="2"/>
          <w:szCs w:val="24"/>
          <w:shd w:val="clear" w:color="auto" w:fill="FFFFFF"/>
          <w:lang w:eastAsia="lt-LT"/>
        </w:rPr>
        <w:t xml:space="preserve">. </w:t>
      </w:r>
      <w:r>
        <w:rPr>
          <w:strike/>
          <w:kern w:val="2"/>
          <w:szCs w:val="24"/>
          <w:shd w:val="clear" w:color="auto" w:fill="FFFFFF"/>
          <w:lang w:eastAsia="lt-LT"/>
        </w:rPr>
        <w:t>Per praėjusį ketvirtį išmokėta avanso suma, už kurią Tarybos narys laiku neatsiskaitė, laikoma einamojo ketvirčio avansu, o einamąjį ketvirtį pateikta atsiskaityti apyskaitos išlaidų suma įskaitoma į einamojo ketvirčio išlaidas.</w:t>
      </w:r>
      <w:r>
        <w:rPr>
          <w:strike/>
          <w:kern w:val="2"/>
          <w:szCs w:val="24"/>
          <w:lang w:eastAsia="lt-LT"/>
        </w:rPr>
        <w:t xml:space="preserve"> </w:t>
      </w:r>
      <w:r>
        <w:rPr>
          <w:b/>
          <w:bCs/>
          <w:kern w:val="2"/>
          <w:szCs w:val="24"/>
          <w:lang w:eastAsia="lt-LT"/>
        </w:rPr>
        <w:t>Ataskaitos išlaidų suma negali būti didesnė už skiriamos išmokos dydį. Tarybos nariams, pateikusiems ataskaitą su išlaidas pateisinančiais dokumentais, ataskaitoje nurodyta suma išmokama to paties mėnesio 20 dienos, pervedant nurodytą sumą į Tarybos nario nurodytą sąskaitą banke.</w:t>
      </w:r>
      <w:r>
        <w:rPr>
          <w:kern w:val="2"/>
          <w:szCs w:val="24"/>
          <w:lang w:eastAsia="lt-LT"/>
        </w:rPr>
        <w:t>“</w:t>
      </w:r>
    </w:p>
    <w:p w14:paraId="0A41A490" w14:textId="6496FE6E">
      <w:pPr>
        <w:widowControl w:val="0"/>
        <w:suppressAutoHyphens/>
        <w:ind w:firstLine="709"/>
        <w:jc w:val="both"/>
        <w:rPr>
          <w:rFonts w:eastAsia="Andale Sans UI"/>
          <w:kern w:val="2"/>
          <w:szCs w:val="24"/>
          <w:vertAlign w:val="superscript"/>
          <w:lang w:eastAsia="ar-SA"/>
        </w:rPr>
      </w:pPr>
      <w:r>
        <w:rPr>
          <w:rFonts w:eastAsia="Andale Sans UI"/>
          <w:kern w:val="2"/>
          <w:szCs w:val="24"/>
          <w:lang w:eastAsia="ar-SA"/>
        </w:rPr>
        <w:t>1.5</w:t>
      </w:r>
      <w:r>
        <w:rPr>
          <w:rFonts w:eastAsia="Andale Sans UI"/>
          <w:kern w:val="2"/>
          <w:szCs w:val="24"/>
          <w:lang w:eastAsia="ar-SA"/>
        </w:rPr>
        <w:t>. Pakeisti 135 punktą ir jį išdėstyti taip:</w:t>
      </w:r>
    </w:p>
    <w:p w14:paraId="3D4E4C99" w14:textId="5D1AC0F3">
      <w:pPr>
        <w:widowControl w:val="0"/>
        <w:suppressAutoHyphens/>
        <w:ind w:firstLine="709"/>
        <w:jc w:val="both"/>
        <w:rPr>
          <w:b/>
          <w:bCs/>
          <w:strike/>
          <w:kern w:val="2"/>
          <w:szCs w:val="24"/>
          <w:lang w:eastAsia="lt-LT"/>
        </w:rPr>
      </w:pPr>
      <w:r>
        <w:rPr>
          <w:kern w:val="2"/>
          <w:szCs w:val="24"/>
          <w:lang w:eastAsia="lt-LT"/>
        </w:rPr>
        <w:t>„</w:t>
      </w:r>
      <w:r>
        <w:rPr>
          <w:kern w:val="2"/>
          <w:szCs w:val="24"/>
          <w:lang w:eastAsia="lt-LT"/>
        </w:rPr>
        <w:t>135</w:t>
      </w:r>
      <w:r>
        <w:rPr>
          <w:kern w:val="2"/>
          <w:szCs w:val="24"/>
          <w:lang w:eastAsia="lt-LT"/>
        </w:rPr>
        <w:t xml:space="preserve">. </w:t>
      </w:r>
      <w:r>
        <w:rPr>
          <w:strike/>
          <w:kern w:val="2"/>
          <w:szCs w:val="24"/>
          <w:lang w:eastAsia="lt-LT"/>
        </w:rPr>
        <w:t xml:space="preserve">Tarybos narys už išmokų panaudojimą atsiskaito Apskaitos skyriui pateikdamas kiekvieno mėnesio išmokų avanso apyskaitą iki kito mėnesio 10 dienos. Pasibaigus ketvirčiui, Tarybos narys, nepateikęs mėnesio avanso apyskaitos, parengia praėjusio ketvirčio avanso apyskaitą ir iki kito ketvirčio pirmojo mėnesio 10 dienos perduoda Apskaitos skyriui. Išmokų avanso apyskaitos </w:t>
      </w:r>
      <w:r>
        <w:rPr>
          <w:b/>
          <w:bCs/>
          <w:kern w:val="2"/>
          <w:szCs w:val="24"/>
          <w:lang w:eastAsia="lt-LT"/>
        </w:rPr>
        <w:t>Išlaidų, susijusių su Tarybos nario veikla, ataskaitos</w:t>
      </w:r>
      <w:r>
        <w:rPr>
          <w:kern w:val="2"/>
          <w:szCs w:val="24"/>
          <w:lang w:eastAsia="lt-LT"/>
        </w:rPr>
        <w:t xml:space="preserve"> formą tvirtina direktorius</w:t>
      </w:r>
      <w:r>
        <w:rPr>
          <w:strike/>
          <w:kern w:val="2"/>
          <w:szCs w:val="24"/>
          <w:lang w:eastAsia="lt-LT"/>
        </w:rPr>
        <w:t xml:space="preserve">. Kartu su išmokų  avanso apyskaita Apskaitos skyriui pateikiami išlaidas patvirtinantys dokumentai, atitinkantys Lietuvos Respublikos buhalterinės apskaitos įstatymo nustatytus reikalavimus, taikomus apskaitos dokumentams</w:t>
      </w:r>
      <w:r>
        <w:rPr>
          <w:i/>
          <w:iCs/>
          <w:kern w:val="2"/>
          <w:szCs w:val="24"/>
          <w:lang w:eastAsia="lt-LT"/>
        </w:rPr>
        <w:t xml:space="preserve">. </w:t>
      </w:r>
      <w:r>
        <w:rPr>
          <w:b/>
          <w:bCs/>
          <w:kern w:val="2"/>
          <w:szCs w:val="24"/>
          <w:lang w:eastAsia="lt-LT"/>
        </w:rPr>
        <w:t>Informacija apie Tarybos narių išmokų panaudojimą yra vieša ir skelbiama Savivaldybės interneto svetainėje ne vėliau kaip iki kito ketvirčio pirmojo mėnesio 20 dienos.</w:t>
      </w:r>
      <w:r>
        <w:rPr>
          <w:kern w:val="2"/>
          <w:szCs w:val="24"/>
          <w:lang w:eastAsia="lt-LT"/>
        </w:rPr>
        <w:t>“</w:t>
      </w:r>
    </w:p>
    <w:p w14:paraId="0E9F5F26" w14:textId="4AB7BD44">
      <w:pPr>
        <w:widowControl w:val="0"/>
        <w:suppressAutoHyphens/>
        <w:ind w:firstLine="709"/>
        <w:jc w:val="both"/>
        <w:rPr>
          <w:rFonts w:eastAsia="Andale Sans UI"/>
          <w:kern w:val="2"/>
          <w:szCs w:val="24"/>
          <w:vertAlign w:val="superscript"/>
          <w:lang w:eastAsia="ar-SA"/>
        </w:rPr>
      </w:pPr>
      <w:r>
        <w:rPr>
          <w:rFonts w:eastAsia="Andale Sans UI"/>
          <w:kern w:val="2"/>
          <w:szCs w:val="24"/>
          <w:lang w:eastAsia="ar-SA"/>
        </w:rPr>
        <w:t>1.6</w:t>
      </w:r>
      <w:r>
        <w:rPr>
          <w:rFonts w:eastAsia="Andale Sans UI"/>
          <w:kern w:val="2"/>
          <w:szCs w:val="24"/>
          <w:lang w:eastAsia="ar-SA"/>
        </w:rPr>
        <w:t>. Pakeisti 136 punktą ir jį išdėstyti taip:</w:t>
      </w:r>
    </w:p>
    <w:p w14:paraId="6C97C841" w14:textId="3BE65DCC">
      <w:pPr>
        <w:widowControl w:val="0"/>
        <w:suppressAutoHyphens/>
        <w:ind w:firstLine="709"/>
        <w:jc w:val="both"/>
        <w:rPr>
          <w:kern w:val="2"/>
          <w:szCs w:val="24"/>
          <w:lang w:eastAsia="lt-LT"/>
        </w:rPr>
      </w:pPr>
      <w:r>
        <w:rPr>
          <w:kern w:val="2"/>
          <w:szCs w:val="24"/>
          <w:lang w:eastAsia="lt-LT"/>
        </w:rPr>
        <w:t>„</w:t>
      </w:r>
      <w:r>
        <w:rPr>
          <w:kern w:val="2"/>
          <w:szCs w:val="24"/>
          <w:lang w:eastAsia="lt-LT"/>
        </w:rPr>
        <w:t>136</w:t>
      </w:r>
      <w:r>
        <w:rPr>
          <w:kern w:val="2"/>
          <w:szCs w:val="24"/>
          <w:lang w:eastAsia="lt-LT"/>
        </w:rPr>
        <w:t>.</w:t>
      </w:r>
      <w:r>
        <w:rPr>
          <w:strike/>
          <w:kern w:val="2"/>
          <w:szCs w:val="24"/>
          <w:lang w:eastAsia="lt-LT"/>
        </w:rPr>
        <w:t xml:space="preserve"> Nepanaudotas biudžetinių metų avanso likutis turi būti grąžinamas į Savivaldybės administracijos sąskaitą iki einamųjų metų gruodžio 31 d.</w:t>
      </w:r>
      <w:r>
        <w:rPr>
          <w:kern w:val="2"/>
          <w:szCs w:val="24"/>
          <w:lang w:eastAsia="lt-LT"/>
        </w:rPr>
        <w:t xml:space="preserve">    Kai Tarybos nario įgaliojimai pasibaigė ar nutrūko prieš terminą, nepasibaigus kalendoriniam mėnesiui, išmokos dydis apskaičiuojamas proporcingai to mėnesio dienų skaičiui. </w:t>
      </w:r>
      <w:r>
        <w:rPr>
          <w:strike/>
          <w:kern w:val="2"/>
          <w:szCs w:val="24"/>
          <w:lang w:eastAsia="lt-LT"/>
        </w:rPr>
        <w:t>Tarybos narys, kurio įgaliojimai pasibaigė ar nutrūko prieš terminą, jam išmokėtą ir jo nepanaudotą lėšų sumą turi grąžinti į nurodytą Savivaldybės administracijos sąskaitą per vieną mėnesį nuo jo įgaliojimų pasibaigimo ar nutrūkimo prieš terminą dienos.</w:t>
      </w:r>
      <w:r>
        <w:rPr>
          <w:kern w:val="2"/>
          <w:szCs w:val="24"/>
          <w:lang w:eastAsia="lt-LT"/>
        </w:rPr>
        <w:t xml:space="preserve"> „</w:t>
      </w:r>
    </w:p>
    <w:p w14:paraId="7229D0EA" w14:textId="333B7C7C">
      <w:pPr>
        <w:widowControl w:val="0"/>
        <w:suppressAutoHyphens/>
        <w:ind w:firstLine="709"/>
        <w:jc w:val="both"/>
        <w:rPr>
          <w:rFonts w:eastAsia="Andale Sans UI"/>
          <w:kern w:val="2"/>
          <w:szCs w:val="24"/>
          <w:vertAlign w:val="superscript"/>
          <w:lang w:eastAsia="ar-SA"/>
        </w:rPr>
      </w:pPr>
      <w:r>
        <w:rPr>
          <w:rFonts w:eastAsia="Andale Sans UI"/>
          <w:kern w:val="2"/>
          <w:szCs w:val="24"/>
          <w:lang w:eastAsia="ar-SA"/>
        </w:rPr>
        <w:t>1.7</w:t>
      </w:r>
      <w:r>
        <w:rPr>
          <w:rFonts w:eastAsia="Andale Sans UI"/>
          <w:kern w:val="2"/>
          <w:szCs w:val="24"/>
          <w:lang w:eastAsia="ar-SA"/>
        </w:rPr>
        <w:t>. Pakeisti 137 punktą ir jį išdėstyti taip:</w:t>
      </w:r>
    </w:p>
    <w:p w14:paraId="4A1FD35A" w14:textId="33A97FC3">
      <w:pPr>
        <w:widowControl w:val="0"/>
        <w:suppressAutoHyphens/>
        <w:ind w:firstLine="620"/>
        <w:jc w:val="both"/>
        <w:rPr>
          <w:b/>
          <w:kern w:val="2"/>
          <w:szCs w:val="24"/>
          <w:lang w:eastAsia="lt-LT"/>
        </w:rPr>
      </w:pPr>
      <w:r>
        <w:rPr>
          <w:kern w:val="2"/>
          <w:szCs w:val="24"/>
          <w:lang w:eastAsia="lt-LT"/>
        </w:rPr>
        <w:t xml:space="preserve">„137. </w:t>
      </w:r>
      <w:r>
        <w:rPr>
          <w:strike/>
          <w:kern w:val="2"/>
          <w:szCs w:val="24"/>
          <w:lang w:eastAsia="lt-LT"/>
        </w:rPr>
        <w:t xml:space="preserve">Jeigu nustatoma, kad Tarybos narys išmokas panaudojo ne pagal Reglamente nurodytą paskirtį, Tarybos narys, pasibaigus ataskaitiniam laikotarpiui, šią sumą turi sumokėti iš asmeninių lėšų. Jeigu per du mėnesius pasibaigus ataskaitiniam laikotarpiui Tarybos narys ne pagal nurodytą paskirtį panaudotos išmokos dalies nesumoka, Apskaitos skyrius ne ginčo tvarka išskaičiuoja jas iš Tarybos nariui mokėtinų artimiausio mėnesio išmokų. </w:t>
      </w:r>
      <w:r>
        <w:rPr>
          <w:b/>
          <w:kern w:val="2"/>
          <w:szCs w:val="24"/>
          <w:lang w:eastAsia="lt-LT"/>
        </w:rPr>
        <w:t>Tarybos narys asmeniškai atsako už ataskaitoje pateiktų duomenų teisingumą. Taryba gali priimti sprendimą pavesti Etikos komisijai patikrinti Tarybos nario ataskaitoje nurodytų išlaidų pagrįstumą ir pateikti išvadą Tarybai. Jei nustatoma, kad išlaidos arba jų dalis nepagrįsta, atitinkama suma mažinama kito mėnesio išmoka arba tarybos nario grąžinama į Savivaldybės administracijos sąskaitą.</w:t>
      </w:r>
      <w:r>
        <w:rPr>
          <w:bCs/>
          <w:kern w:val="2"/>
          <w:szCs w:val="24"/>
          <w:lang w:eastAsia="lt-LT"/>
        </w:rPr>
        <w:t xml:space="preserve">“ </w:t>
      </w:r>
      <w:r>
        <w:rPr>
          <w:bCs/>
          <w:strike/>
          <w:kern w:val="2"/>
          <w:szCs w:val="24"/>
          <w:lang w:eastAsia="lt-LT"/>
        </w:rPr>
        <w:t xml:space="preserve"> </w:t>
      </w:r>
    </w:p>
    <w:p w14:paraId="4424E07F" w14:textId="78D1A996">
      <w:pPr>
        <w:widowControl w:val="0"/>
        <w:suppressAutoHyphens/>
        <w:ind w:firstLine="709"/>
        <w:rPr>
          <w:kern w:val="2"/>
          <w:szCs w:val="24"/>
          <w:lang w:eastAsia="lt-LT"/>
        </w:rPr>
      </w:pPr>
      <w:r>
        <w:rPr>
          <w:rFonts w:eastAsia="Andale Sans UI"/>
          <w:kern w:val="2"/>
          <w:szCs w:val="24"/>
          <w:lang w:eastAsia="lt-LT"/>
        </w:rPr>
        <w:t>3</w:t>
      </w:r>
      <w:r>
        <w:rPr>
          <w:rFonts w:eastAsia="Andale Sans UI"/>
          <w:kern w:val="2"/>
          <w:szCs w:val="24"/>
          <w:lang w:eastAsia="lt-LT"/>
        </w:rPr>
        <w:t xml:space="preserve">. Nustatyti, kad šio sprendimo 1.2-1.7 papunkčiai </w:t>
      </w:r>
      <w:r>
        <w:rPr>
          <w:rFonts w:eastAsia="Andale Sans UI"/>
          <w:kern w:val="2"/>
          <w:szCs w:val="24"/>
          <w:lang w:eastAsia="ar-SA"/>
        </w:rPr>
        <w:t xml:space="preserve">įsigalioja nuo 2023 m. sausio </w:t>
      </w:r>
      <w:r>
        <w:rPr>
          <w:rFonts w:eastAsia="Andale Sans UI"/>
          <w:kern w:val="2"/>
          <w:szCs w:val="24"/>
          <w:lang w:eastAsia="lt-LT"/>
        </w:rPr>
        <w:t xml:space="preserve">2 d. </w:t>
      </w:r>
    </w:p>
    <w:p w14:paraId="66B7D0C4" w14:textId="77777777">
      <w:pPr>
        <w:widowControl w:val="0"/>
        <w:suppressAutoHyphens/>
        <w:ind w:firstLine="709"/>
        <w:jc w:val="both"/>
        <w:rPr>
          <w:kern w:val="2"/>
          <w:szCs w:val="24"/>
          <w:lang w:eastAsia="lt-LT"/>
        </w:rPr>
      </w:pPr>
    </w:p>
    <w:p w14:paraId="34D0EEA8" w14:textId="77777777">
      <w:pPr>
        <w:widowControl w:val="0"/>
        <w:suppressAutoHyphens/>
        <w:ind w:firstLine="709"/>
        <w:jc w:val="both"/>
        <w:rPr>
          <w:kern w:val="2"/>
          <w:szCs w:val="24"/>
          <w:lang w:eastAsia="lt-LT"/>
        </w:rPr>
      </w:pPr>
    </w:p>
    <w:p w14:paraId="7BE85B4A" w14:textId="6207E414">
      <w:pPr>
        <w:widowControl w:val="0"/>
        <w:suppressAutoHyphens/>
        <w:jc w:val="both"/>
        <w:rPr>
          <w:rFonts w:eastAsia="Andale Sans UI"/>
          <w:kern w:val="2"/>
          <w:szCs w:val="24"/>
          <w:lang w:eastAsia="ar-SA"/>
        </w:rPr>
      </w:pPr>
      <w:r>
        <w:rPr>
          <w:rFonts w:eastAsia="Andale Sans UI"/>
          <w:kern w:val="2"/>
          <w:szCs w:val="24"/>
          <w:lang w:eastAsia="ar-SA"/>
        </w:rPr>
        <w:t>Savivaldybės meras</w:t>
      </w:r>
    </w:p>
    <w:p w14:paraId="2D97BA65" w14:textId="30D6840B">
      <w:pPr>
        <w:widowControl w:val="0"/>
        <w:suppressAutoHyphens/>
        <w:jc w:val="both"/>
        <w:rPr>
          <w:rFonts w:eastAsia="Andale Sans UI"/>
          <w:kern w:val="2"/>
          <w:szCs w:val="24"/>
          <w:lang w:eastAsia="ar-SA"/>
        </w:rPr>
      </w:pPr>
    </w:p>
    <w:p w14:paraId="1A42534D" w14:textId="3173D8AD">
      <w:pPr>
        <w:widowControl w:val="0"/>
        <w:suppressAutoHyphens/>
        <w:jc w:val="both"/>
        <w:rPr>
          <w:rFonts w:eastAsia="Andale Sans UI"/>
          <w:kern w:val="2"/>
          <w:szCs w:val="24"/>
          <w:lang w:eastAsia="ar-SA"/>
        </w:rPr>
      </w:pPr>
    </w:p>
    <w:sectPr>
      <w:headerReference w:type="even" r:id="rId6"/>
      <w:headerReference w:type="default" r:id="rId7"/>
      <w:footerReference w:type="even" r:id="rId8"/>
      <w:footerReference w:type="default" r:id="rId9"/>
      <w:headerReference w:type="first" r:id="rId10"/>
      <w:footerReference w:type="first" r:id="rId11"/>
      <w:pgSz w:w="11906" w:h="16838"/>
      <w:pgMar w:top="1134" w:right="567" w:bottom="851" w:left="1701" w:header="708" w:footer="708"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DEDC" w14:textId="77777777">
      <w:pPr>
        <w:widowControl w:val="0"/>
        <w:suppressAutoHyphens/>
        <w:rPr>
          <w:rFonts w:eastAsia="Andale Sans UI"/>
          <w:kern w:val="2"/>
          <w:szCs w:val="24"/>
          <w:lang w:eastAsia="ar-SA"/>
        </w:rPr>
      </w:pPr>
      <w:r>
        <w:rPr>
          <w:rFonts w:eastAsia="Andale Sans UI"/>
          <w:kern w:val="2"/>
          <w:szCs w:val="24"/>
          <w:lang w:eastAsia="ar-SA"/>
        </w:rPr>
        <w:separator/>
      </w:r>
    </w:p>
  </w:endnote>
  <w:endnote w:type="continuationSeparator" w:id="0">
    <w:p w14:paraId="5D0151FB" w14:textId="77777777">
      <w:pPr>
        <w:widowControl w:val="0"/>
        <w:suppressAutoHyphens/>
        <w:rPr>
          <w:rFonts w:eastAsia="Andale Sans UI"/>
          <w:kern w:val="2"/>
          <w:szCs w:val="24"/>
          <w:lang w:eastAsia="ar-SA"/>
        </w:rPr>
      </w:pPr>
      <w:r>
        <w:rPr>
          <w:rFonts w:eastAsia="Andale Sans UI"/>
          <w:kern w:val="2"/>
          <w:szCs w:val="24"/>
          <w:lang w:eastAsia="ar-SA"/>
        </w:rPr>
        <w:continuationSeparator/>
      </w:r>
    </w:p>
  </w:endnote>
  <w:endnote w:type="continuationNotice" w:id="1">
    <w:p w14:paraId="6C4C3906" w14:textId="77777777"/>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ndale Sans UI">
    <w:altName w:val="Cambri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588B" w14:textId="77777777">
    <w:pPr>
      <w:widowControl w:val="0"/>
      <w:tabs>
        <w:tab w:val="center" w:pos="4819"/>
        <w:tab w:val="right" w:pos="9638"/>
      </w:tabs>
      <w:suppressAutoHyphens/>
      <w:rPr>
        <w:rFonts w:eastAsia="Andale Sans UI"/>
        <w:kern w:val="2"/>
        <w:szCs w:val="24"/>
        <w:lang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7C64" w14:textId="77777777">
    <w:pPr>
      <w:widowControl w:val="0"/>
      <w:tabs>
        <w:tab w:val="center" w:pos="4819"/>
        <w:tab w:val="right" w:pos="9638"/>
      </w:tabs>
      <w:suppressAutoHyphens/>
      <w:rPr>
        <w:rFonts w:eastAsia="Andale Sans UI"/>
        <w:kern w:val="2"/>
        <w:szCs w:val="24"/>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2BD6" w14:textId="77777777">
    <w:pPr>
      <w:widowControl w:val="0"/>
      <w:tabs>
        <w:tab w:val="center" w:pos="4819"/>
        <w:tab w:val="right" w:pos="9638"/>
      </w:tabs>
      <w:suppressAutoHyphens/>
      <w:rPr>
        <w:rFonts w:eastAsia="Andale Sans UI"/>
        <w:kern w:val="2"/>
        <w:szCs w:val="24"/>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F20C" w14:textId="77777777">
      <w:pPr>
        <w:widowControl w:val="0"/>
        <w:suppressAutoHyphens/>
        <w:rPr>
          <w:rFonts w:eastAsia="Andale Sans UI"/>
          <w:kern w:val="2"/>
          <w:szCs w:val="24"/>
          <w:lang w:eastAsia="ar-SA"/>
        </w:rPr>
      </w:pPr>
      <w:r>
        <w:rPr>
          <w:rFonts w:eastAsia="Andale Sans UI"/>
          <w:kern w:val="2"/>
          <w:szCs w:val="24"/>
          <w:lang w:eastAsia="ar-SA"/>
        </w:rPr>
        <w:separator/>
      </w:r>
    </w:p>
  </w:footnote>
  <w:footnote w:type="continuationSeparator" w:id="0">
    <w:p w14:paraId="449FBE21" w14:textId="77777777">
      <w:pPr>
        <w:widowControl w:val="0"/>
        <w:suppressAutoHyphens/>
        <w:rPr>
          <w:rFonts w:eastAsia="Andale Sans UI"/>
          <w:kern w:val="2"/>
          <w:szCs w:val="24"/>
          <w:lang w:eastAsia="ar-SA"/>
        </w:rPr>
      </w:pPr>
      <w:r>
        <w:rPr>
          <w:rFonts w:eastAsia="Andale Sans UI"/>
          <w:kern w:val="2"/>
          <w:szCs w:val="24"/>
          <w:lang w:eastAsia="ar-SA"/>
        </w:rPr>
        <w:continuationSeparator/>
      </w:r>
    </w:p>
  </w:footnote>
  <w:footnote w:type="continuationNotice" w:id="1">
    <w:p w14:paraId="27242771" w14:textId="77777777"/>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C782" w14:textId="77777777">
    <w:pPr>
      <w:widowControl w:val="0"/>
      <w:tabs>
        <w:tab w:val="center" w:pos="4819"/>
        <w:tab w:val="right" w:pos="9638"/>
      </w:tabs>
      <w:suppressAutoHyphens/>
      <w:rPr>
        <w:rFonts w:eastAsia="Andale Sans UI"/>
        <w:kern w:val="2"/>
        <w:szCs w:val="24"/>
        <w:lang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40AC" w14:textId="77777777">
    <w:pPr>
      <w:widowControl w:val="0"/>
      <w:tabs>
        <w:tab w:val="center" w:pos="4819"/>
        <w:tab w:val="right" w:pos="9638"/>
      </w:tabs>
      <w:suppressAutoHyphens/>
      <w:jc w:val="center"/>
      <w:rPr>
        <w:rFonts w:eastAsia="Andale Sans UI"/>
        <w:kern w:val="2"/>
        <w:szCs w:val="24"/>
        <w:lang w:eastAsia="ar-SA"/>
      </w:rPr>
    </w:pPr>
    <w:r>
      <w:rPr>
        <w:rFonts w:eastAsia="Andale Sans UI"/>
        <w:kern w:val="2"/>
        <w:szCs w:val="24"/>
        <w:lang w:eastAsia="ar-SA"/>
      </w:rPr>
      <w:fldChar w:fldCharType="begin"/>
    </w:r>
    <w:r>
      <w:rPr>
        <w:rFonts w:eastAsia="Andale Sans UI"/>
        <w:kern w:val="2"/>
        <w:szCs w:val="24"/>
        <w:lang w:eastAsia="ar-SA"/>
      </w:rPr>
      <w:instrText>PAGE   \* MERGEFORMAT</w:instrText>
    </w:r>
    <w:r>
      <w:rPr>
        <w:rFonts w:eastAsia="Andale Sans UI"/>
        <w:kern w:val="2"/>
        <w:szCs w:val="24"/>
        <w:lang w:eastAsia="ar-SA"/>
      </w:rPr>
      <w:fldChar w:fldCharType="separate"/>
    </w:r>
    <w:r>
      <w:rPr>
        <w:rFonts w:eastAsia="Andale Sans UI"/>
        <w:kern w:val="2"/>
        <w:szCs w:val="24"/>
        <w:lang w:eastAsia="ar-SA"/>
      </w:rPr>
      <w:t>2</w:t>
    </w:r>
    <w:r>
      <w:rPr>
        <w:rFonts w:eastAsia="Andale Sans UI"/>
        <w:kern w:val="2"/>
        <w:szCs w:val="24"/>
        <w:lang w:eastAsia="ar-SA"/>
      </w:rPr>
      <w:fldChar w:fldCharType="end"/>
    </w:r>
  </w:p>
  <w:p w14:paraId="5816F48E" w14:textId="77777777">
    <w:pPr>
      <w:widowControl w:val="0"/>
      <w:tabs>
        <w:tab w:val="center" w:pos="4819"/>
        <w:tab w:val="right" w:pos="9638"/>
      </w:tabs>
      <w:suppressAutoHyphens/>
      <w:rPr>
        <w:rFonts w:eastAsia="Andale Sans UI"/>
        <w:kern w:val="2"/>
        <w:szCs w:val="24"/>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E6F8" w14:textId="2B8C35B9">
    <w:pPr>
      <w:widowControl w:val="0"/>
      <w:tabs>
        <w:tab w:val="center" w:pos="4819"/>
        <w:tab w:val="right" w:pos="9638"/>
      </w:tabs>
      <w:suppressAutoHyphens/>
      <w:rPr>
        <w:rFonts w:eastAsia="Andale Sans UI"/>
        <w:kern w:val="2"/>
        <w:szCs w:val="24"/>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4CF7"/>
  <w15:chartTrackingRefBased/>
  <w15:docId w15:val="{DB245428-A50F-49C0-9838-4C197DF3680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85349444">
      <w:bodyDiv w:val="1"/>
      <w:marLeft w:val="0"/>
      <w:marRight w:val="0"/>
      <w:marTop w:val="0"/>
      <w:marBottom w:val="0"/>
      <w:divBdr>
        <w:top w:val="none" w:sz="0" w:space="0" w:color="auto"/>
        <w:left w:val="none" w:sz="0" w:space="0" w:color="auto"/>
        <w:bottom w:val="none" w:sz="0" w:space="0" w:color="auto"/>
        <w:right w:val="none" w:sz="0" w:space="0" w:color="auto"/>
      </w:divBdr>
      <w:divsChild>
        <w:div w:id="1063483216">
          <w:marLeft w:val="0"/>
          <w:marRight w:val="0"/>
          <w:marTop w:val="0"/>
          <w:marBottom w:val="0"/>
          <w:divBdr>
            <w:top w:val="none" w:sz="0" w:space="0" w:color="auto"/>
            <w:left w:val="none" w:sz="0" w:space="0" w:color="auto"/>
            <w:bottom w:val="none" w:sz="0" w:space="0" w:color="auto"/>
            <w:right w:val="none" w:sz="0" w:space="0" w:color="auto"/>
          </w:divBdr>
        </w:div>
        <w:div w:id="1464230343">
          <w:marLeft w:val="0"/>
          <w:marRight w:val="0"/>
          <w:marTop w:val="0"/>
          <w:marBottom w:val="0"/>
          <w:divBdr>
            <w:top w:val="none" w:sz="0" w:space="0" w:color="auto"/>
            <w:left w:val="none" w:sz="0" w:space="0" w:color="auto"/>
            <w:bottom w:val="none" w:sz="0" w:space="0" w:color="auto"/>
            <w:right w:val="none" w:sz="0" w:space="0" w:color="auto"/>
          </w:divBdr>
        </w:div>
        <w:div w:id="932516182">
          <w:marLeft w:val="0"/>
          <w:marRight w:val="0"/>
          <w:marTop w:val="0"/>
          <w:marBottom w:val="0"/>
          <w:divBdr>
            <w:top w:val="none" w:sz="0" w:space="0" w:color="auto"/>
            <w:left w:val="none" w:sz="0" w:space="0" w:color="auto"/>
            <w:bottom w:val="none" w:sz="0" w:space="0" w:color="auto"/>
            <w:right w:val="none" w:sz="0" w:space="0" w:color="auto"/>
          </w:divBdr>
        </w:div>
        <w:div w:id="454829166">
          <w:marLeft w:val="0"/>
          <w:marRight w:val="0"/>
          <w:marTop w:val="0"/>
          <w:marBottom w:val="0"/>
          <w:divBdr>
            <w:top w:val="none" w:sz="0" w:space="0" w:color="auto"/>
            <w:left w:val="none" w:sz="0" w:space="0" w:color="auto"/>
            <w:bottom w:val="none" w:sz="0" w:space="0" w:color="auto"/>
            <w:right w:val="none" w:sz="0" w:space="0" w:color="auto"/>
          </w:divBdr>
        </w:div>
        <w:div w:id="668362919">
          <w:marLeft w:val="0"/>
          <w:marRight w:val="0"/>
          <w:marTop w:val="0"/>
          <w:marBottom w:val="0"/>
          <w:divBdr>
            <w:top w:val="none" w:sz="0" w:space="0" w:color="auto"/>
            <w:left w:val="none" w:sz="0" w:space="0" w:color="auto"/>
            <w:bottom w:val="none" w:sz="0" w:space="0" w:color="auto"/>
            <w:right w:val="none" w:sz="0" w:space="0" w:color="auto"/>
          </w:divBdr>
        </w:div>
      </w:divsChild>
    </w:div>
    <w:div w:id="395400871">
      <w:bodyDiv w:val="1"/>
      <w:marLeft w:val="0"/>
      <w:marRight w:val="0"/>
      <w:marTop w:val="0"/>
      <w:marBottom w:val="0"/>
      <w:divBdr>
        <w:top w:val="none" w:sz="0" w:space="0" w:color="auto"/>
        <w:left w:val="none" w:sz="0" w:space="0" w:color="auto"/>
        <w:bottom w:val="none" w:sz="0" w:space="0" w:color="auto"/>
        <w:right w:val="none" w:sz="0" w:space="0" w:color="auto"/>
      </w:divBdr>
    </w:div>
    <w:div w:id="683478045">
      <w:bodyDiv w:val="1"/>
      <w:marLeft w:val="0"/>
      <w:marRight w:val="0"/>
      <w:marTop w:val="0"/>
      <w:marBottom w:val="0"/>
      <w:divBdr>
        <w:top w:val="none" w:sz="0" w:space="0" w:color="auto"/>
        <w:left w:val="none" w:sz="0" w:space="0" w:color="auto"/>
        <w:bottom w:val="none" w:sz="0" w:space="0" w:color="auto"/>
        <w:right w:val="none" w:sz="0" w:space="0" w:color="auto"/>
      </w:divBdr>
      <w:divsChild>
        <w:div w:id="685448175">
          <w:marLeft w:val="0"/>
          <w:marRight w:val="0"/>
          <w:marTop w:val="0"/>
          <w:marBottom w:val="0"/>
          <w:divBdr>
            <w:top w:val="none" w:sz="0" w:space="0" w:color="auto"/>
            <w:left w:val="none" w:sz="0" w:space="0" w:color="auto"/>
            <w:bottom w:val="none" w:sz="0" w:space="0" w:color="auto"/>
            <w:right w:val="none" w:sz="0" w:space="0" w:color="auto"/>
          </w:divBdr>
          <w:divsChild>
            <w:div w:id="825703569">
              <w:marLeft w:val="0"/>
              <w:marRight w:val="0"/>
              <w:marTop w:val="0"/>
              <w:marBottom w:val="0"/>
              <w:divBdr>
                <w:top w:val="none" w:sz="0" w:space="0" w:color="auto"/>
                <w:left w:val="none" w:sz="0" w:space="0" w:color="auto"/>
                <w:bottom w:val="none" w:sz="0" w:space="0" w:color="auto"/>
                <w:right w:val="none" w:sz="0" w:space="0" w:color="auto"/>
              </w:divBdr>
              <w:divsChild>
                <w:div w:id="1484618625">
                  <w:marLeft w:val="0"/>
                  <w:marRight w:val="0"/>
                  <w:marTop w:val="0"/>
                  <w:marBottom w:val="0"/>
                  <w:divBdr>
                    <w:top w:val="none" w:sz="0" w:space="0" w:color="auto"/>
                    <w:left w:val="none" w:sz="0" w:space="0" w:color="auto"/>
                    <w:bottom w:val="none" w:sz="0" w:space="0" w:color="auto"/>
                    <w:right w:val="none" w:sz="0" w:space="0" w:color="auto"/>
                  </w:divBdr>
                  <w:divsChild>
                    <w:div w:id="1093166857">
                      <w:marLeft w:val="0"/>
                      <w:marRight w:val="0"/>
                      <w:marTop w:val="0"/>
                      <w:marBottom w:val="0"/>
                      <w:divBdr>
                        <w:top w:val="none" w:sz="0" w:space="0" w:color="auto"/>
                        <w:left w:val="none" w:sz="0" w:space="0" w:color="auto"/>
                        <w:bottom w:val="none" w:sz="0" w:space="0" w:color="auto"/>
                        <w:right w:val="none" w:sz="0" w:space="0" w:color="auto"/>
                      </w:divBdr>
                      <w:divsChild>
                        <w:div w:id="16918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752621">
      <w:bodyDiv w:val="1"/>
      <w:marLeft w:val="0"/>
      <w:marRight w:val="0"/>
      <w:marTop w:val="0"/>
      <w:marBottom w:val="0"/>
      <w:divBdr>
        <w:top w:val="none" w:sz="0" w:space="0" w:color="auto"/>
        <w:left w:val="none" w:sz="0" w:space="0" w:color="auto"/>
        <w:bottom w:val="none" w:sz="0" w:space="0" w:color="auto"/>
        <w:right w:val="none" w:sz="0" w:space="0" w:color="auto"/>
      </w:divBdr>
    </w:div>
    <w:div w:id="962689240">
      <w:bodyDiv w:val="1"/>
      <w:marLeft w:val="0"/>
      <w:marRight w:val="0"/>
      <w:marTop w:val="0"/>
      <w:marBottom w:val="0"/>
      <w:divBdr>
        <w:top w:val="none" w:sz="0" w:space="0" w:color="auto"/>
        <w:left w:val="none" w:sz="0" w:space="0" w:color="auto"/>
        <w:bottom w:val="none" w:sz="0" w:space="0" w:color="auto"/>
        <w:right w:val="none" w:sz="0" w:space="0" w:color="auto"/>
      </w:divBdr>
    </w:div>
    <w:div w:id="1103301796">
      <w:bodyDiv w:val="1"/>
      <w:marLeft w:val="0"/>
      <w:marRight w:val="0"/>
      <w:marTop w:val="0"/>
      <w:marBottom w:val="0"/>
      <w:divBdr>
        <w:top w:val="none" w:sz="0" w:space="0" w:color="auto"/>
        <w:left w:val="none" w:sz="0" w:space="0" w:color="auto"/>
        <w:bottom w:val="none" w:sz="0" w:space="0" w:color="auto"/>
        <w:right w:val="none" w:sz="0" w:space="0" w:color="auto"/>
      </w:divBdr>
    </w:div>
    <w:div w:id="1456219524">
      <w:bodyDiv w:val="1"/>
      <w:marLeft w:val="0"/>
      <w:marRight w:val="0"/>
      <w:marTop w:val="0"/>
      <w:marBottom w:val="0"/>
      <w:divBdr>
        <w:top w:val="none" w:sz="0" w:space="0" w:color="auto"/>
        <w:left w:val="none" w:sz="0" w:space="0" w:color="auto"/>
        <w:bottom w:val="none" w:sz="0" w:space="0" w:color="auto"/>
        <w:right w:val="none" w:sz="0" w:space="0" w:color="auto"/>
      </w:divBdr>
      <w:divsChild>
        <w:div w:id="515969147">
          <w:marLeft w:val="0"/>
          <w:marRight w:val="0"/>
          <w:marTop w:val="0"/>
          <w:marBottom w:val="0"/>
          <w:divBdr>
            <w:top w:val="none" w:sz="0" w:space="0" w:color="auto"/>
            <w:left w:val="none" w:sz="0" w:space="0" w:color="auto"/>
            <w:bottom w:val="none" w:sz="0" w:space="0" w:color="auto"/>
            <w:right w:val="none" w:sz="0" w:space="0" w:color="auto"/>
          </w:divBdr>
          <w:divsChild>
            <w:div w:id="1117025142">
              <w:marLeft w:val="0"/>
              <w:marRight w:val="0"/>
              <w:marTop w:val="0"/>
              <w:marBottom w:val="0"/>
              <w:divBdr>
                <w:top w:val="none" w:sz="0" w:space="0" w:color="auto"/>
                <w:left w:val="none" w:sz="0" w:space="0" w:color="auto"/>
                <w:bottom w:val="none" w:sz="0" w:space="0" w:color="auto"/>
                <w:right w:val="none" w:sz="0" w:space="0" w:color="auto"/>
              </w:divBdr>
              <w:divsChild>
                <w:div w:id="1273898729">
                  <w:marLeft w:val="0"/>
                  <w:marRight w:val="0"/>
                  <w:marTop w:val="0"/>
                  <w:marBottom w:val="0"/>
                  <w:divBdr>
                    <w:top w:val="none" w:sz="0" w:space="0" w:color="auto"/>
                    <w:left w:val="none" w:sz="0" w:space="0" w:color="auto"/>
                    <w:bottom w:val="none" w:sz="0" w:space="0" w:color="auto"/>
                    <w:right w:val="none" w:sz="0" w:space="0" w:color="auto"/>
                  </w:divBdr>
                  <w:divsChild>
                    <w:div w:id="257520917">
                      <w:marLeft w:val="0"/>
                      <w:marRight w:val="0"/>
                      <w:marTop w:val="0"/>
                      <w:marBottom w:val="0"/>
                      <w:divBdr>
                        <w:top w:val="none" w:sz="0" w:space="0" w:color="auto"/>
                        <w:left w:val="none" w:sz="0" w:space="0" w:color="auto"/>
                        <w:bottom w:val="none" w:sz="0" w:space="0" w:color="auto"/>
                        <w:right w:val="none" w:sz="0" w:space="0" w:color="auto"/>
                      </w:divBdr>
                      <w:divsChild>
                        <w:div w:id="9572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00584">
      <w:bodyDiv w:val="1"/>
      <w:marLeft w:val="0"/>
      <w:marRight w:val="0"/>
      <w:marTop w:val="0"/>
      <w:marBottom w:val="0"/>
      <w:divBdr>
        <w:top w:val="none" w:sz="0" w:space="0" w:color="auto"/>
        <w:left w:val="none" w:sz="0" w:space="0" w:color="auto"/>
        <w:bottom w:val="none" w:sz="0" w:space="0" w:color="auto"/>
        <w:right w:val="none" w:sz="0" w:space="0" w:color="auto"/>
      </w:divBdr>
      <w:divsChild>
        <w:div w:id="445346833">
          <w:marLeft w:val="0"/>
          <w:marRight w:val="0"/>
          <w:marTop w:val="0"/>
          <w:marBottom w:val="0"/>
          <w:divBdr>
            <w:top w:val="none" w:sz="0" w:space="0" w:color="auto"/>
            <w:left w:val="none" w:sz="0" w:space="0" w:color="auto"/>
            <w:bottom w:val="none" w:sz="0" w:space="0" w:color="auto"/>
            <w:right w:val="none" w:sz="0" w:space="0" w:color="auto"/>
          </w:divBdr>
        </w:div>
        <w:div w:id="1647129132">
          <w:marLeft w:val="0"/>
          <w:marRight w:val="0"/>
          <w:marTop w:val="0"/>
          <w:marBottom w:val="0"/>
          <w:divBdr>
            <w:top w:val="none" w:sz="0" w:space="0" w:color="auto"/>
            <w:left w:val="none" w:sz="0" w:space="0" w:color="auto"/>
            <w:bottom w:val="none" w:sz="0" w:space="0" w:color="auto"/>
            <w:right w:val="none" w:sz="0" w:space="0" w:color="auto"/>
          </w:divBdr>
        </w:div>
        <w:div w:id="1684237518">
          <w:marLeft w:val="0"/>
          <w:marRight w:val="0"/>
          <w:marTop w:val="0"/>
          <w:marBottom w:val="0"/>
          <w:divBdr>
            <w:top w:val="none" w:sz="0" w:space="0" w:color="auto"/>
            <w:left w:val="none" w:sz="0" w:space="0" w:color="auto"/>
            <w:bottom w:val="none" w:sz="0" w:space="0" w:color="auto"/>
            <w:right w:val="none" w:sz="0" w:space="0" w:color="auto"/>
          </w:divBdr>
        </w:div>
        <w:div w:id="130596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5476</Characters>
  <Application>Microsoft Office Word</Application>
  <DocSecurity>4</DocSecurity>
  <Lines>86</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2022-11-07T07:54:00Z</dcterms:created>
  <dc:creator>ARNAS ILGAUSKAS</dc:creator>
  <lastModifiedBy>adlibuser</lastModifiedBy>
  <lastPrinted>2022-05-19T05:53:00Z</lastPrinted>
  <dcterms:modified xsi:type="dcterms:W3CDTF">2022-11-07T07:54:00Z</dcterms:modified>
  <revision>2</revision>
</coreProperties>
</file>