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b83e9868c24d0da9e571d2e1e834ae"/>
        <w:lock w:val="sdtLocked"/>
        <w:richText/>
      </w:sdtPr>
      <w:sdtContent>
        <w:p w14:paraId="642398CC" w14:textId="77777777">
          <w:pPr>
            <w:tabs>
              <w:tab w:val="center" w:pos="4320"/>
              <w:tab w:val="right" w:pos="8640"/>
            </w:tabs>
            <w:rPr>
              <w:lang w:val="x-none" w:eastAsia="x-none"/>
            </w:rPr>
          </w:pPr>
        </w:p>
        <w:p w14:paraId="73182C74" w14:textId="7D645FC6">
          <w:pPr>
            <w:jc w:val="center"/>
            <w:rPr>
              <w:szCs w:val="24"/>
            </w:rPr>
          </w:pPr>
          <w:r>
            <w:rPr>
              <w:b/>
              <w:szCs w:val="24"/>
            </w:rPr>
            <w:t>ŠIAULIŲ MIESTO SAVIVALDYBĖS ADMINISTRACIJA</w:t>
          </w:r>
        </w:p>
        <w:p w14:paraId="7534C22E" w14:textId="77777777">
          <w:pPr>
            <w:jc w:val="center"/>
            <w:rPr>
              <w:b/>
              <w:szCs w:val="24"/>
            </w:rPr>
          </w:pPr>
        </w:p>
        <w:p w14:paraId="040A5C25" w14:textId="77777777">
          <w:pPr>
            <w:widowControl w:val="0"/>
            <w:suppressAutoHyphens/>
            <w:jc w:val="center"/>
            <w:rPr>
              <w:b/>
              <w:szCs w:val="24"/>
              <w:lang w:eastAsia="hi-IN" w:bidi="hi-IN"/>
            </w:rPr>
          </w:pPr>
          <w:r>
            <w:rPr>
              <w:b/>
              <w:szCs w:val="24"/>
              <w:lang w:eastAsia="hi-IN" w:bidi="hi-IN"/>
            </w:rPr>
            <w:t>SPRENDIMO</w:t>
          </w:r>
        </w:p>
        <w:p w14:paraId="1C7A4664" w14:textId="30E3738A">
          <w:pPr>
            <w:jc w:val="center"/>
            <w:rPr>
              <w:b/>
              <w:szCs w:val="24"/>
            </w:rPr>
          </w:pPr>
          <w:r>
            <w:rPr>
              <w:b/>
              <w:szCs w:val="24"/>
              <w:lang w:eastAsia="hi-IN" w:bidi="hi-IN"/>
            </w:rPr>
            <w:t xml:space="preserve">DĖL NEPRITARIMO MAŽOS GALIOS NEPAVOJINGŲJŲ ATLIEKŲ NAUDOJIMO ENERGIJAI GAUTI ĮRENGINIO (JĖGAINĖS), GAMINANČIO ŠILUMOS ENERGIJĄ IR ELEKTRĄ, STATYBOS IR EKSPLOATACIJOS DAUBOS G. 1F, ŠIAULIŲ MIESTE, PLANUOJAMOS ŪKINĖS VEIKLOS GALIMYBĖMS </w:t>
          </w:r>
          <w:r>
            <w:rPr>
              <w:b/>
              <w:szCs w:val="24"/>
            </w:rPr>
            <w:t>AIŠKINAMASIS RAŠTAS</w:t>
          </w:r>
        </w:p>
        <w:p w14:paraId="19EB2274" w14:textId="77777777">
          <w:pPr>
            <w:jc w:val="center"/>
            <w:rPr>
              <w:szCs w:val="24"/>
            </w:rPr>
          </w:pPr>
        </w:p>
        <w:p w14:paraId="6C95717D" w14:textId="41AE0E3A">
          <w:pPr>
            <w:jc w:val="center"/>
            <w:rPr>
              <w:szCs w:val="24"/>
            </w:rPr>
          </w:pPr>
          <w:r>
            <w:rPr>
              <w:szCs w:val="24"/>
            </w:rPr>
            <w:t>2025 m. balandžio 24 d.</w:t>
          </w:r>
        </w:p>
        <w:p w14:paraId="3C2FAED6" w14:textId="77777777">
          <w:pPr>
            <w:jc w:val="center"/>
            <w:rPr>
              <w:szCs w:val="24"/>
            </w:rPr>
          </w:pPr>
          <w:r>
            <w:rPr>
              <w:szCs w:val="24"/>
            </w:rPr>
            <w:t>Šiauliai</w:t>
          </w:r>
        </w:p>
        <w:p w14:paraId="0C532D46" w14:textId="77777777">
          <w:pPr>
            <w:rPr>
              <w:szCs w:val="24"/>
            </w:rPr>
          </w:pPr>
        </w:p>
        <w:p w14:paraId="57E67FB7" w14:textId="77777777">
          <w:pPr>
            <w:ind w:firstLine="851"/>
            <w:jc w:val="both"/>
            <w:rPr>
              <w:szCs w:val="24"/>
              <w:shd w:val="clear" w:color="auto" w:fill="FFFFFF"/>
            </w:rPr>
          </w:pPr>
          <w:r>
            <w:rPr>
              <w:b/>
              <w:szCs w:val="24"/>
              <w:shd w:val="clear" w:color="auto" w:fill="FFFFFF"/>
            </w:rPr>
            <w:t>Parengto sprendimo projekto tikslai ir uždaviniai</w:t>
          </w:r>
          <w:r>
            <w:rPr>
              <w:b/>
              <w:szCs w:val="24"/>
            </w:rPr>
            <w:t>.</w:t>
          </w:r>
          <w:r>
            <w:rPr>
              <w:szCs w:val="24"/>
            </w:rPr>
            <w:t xml:space="preserve"> </w:t>
          </w:r>
        </w:p>
        <w:sdt>
          <w:sdtPr>
            <w:alias w:val="preambule"/>
            <w:tag w:val="part_2f18913ac4b646c6a83486cd1d9495e5"/>
            <w:lock w:val="sdtLocked"/>
            <w:richText/>
          </w:sdtPr>
          <w:sdtContent>
            <w:p w14:paraId="2A66D557" w14:textId="0CE92C7E">
              <w:pPr>
                <w:ind w:firstLine="851"/>
                <w:jc w:val="both"/>
                <w:rPr>
                  <w:szCs w:val="24"/>
                  <w:shd w:val="clear" w:color="auto" w:fill="FFFFFF"/>
                </w:rPr>
              </w:pPr>
              <w:r>
                <w:rPr>
                  <w:szCs w:val="24"/>
                </w:rPr>
                <w:t>Šio sprendimo projekto tikslas – nepritarti mažos galios nepavojingųjų atliekų naudojimo energijai gauti įrenginio (jėgainės), gaminančio šilumos energiją ir elektrą, statybos ir eksploatacijos Daubos g. 1F, Šiaulių mieste, planuojamos ūkinės veiklos (toliau – Planuojama ūkinė veikla) galimybėms.</w:t>
              </w:r>
            </w:p>
          </w:sdtContent>
        </w:sdt>
        <w:sdt>
          <w:sdtPr>
            <w:alias w:val="pastraipa"/>
            <w:tag w:val="part_62446cf974ee4d97b75f85633663064a"/>
            <w:lock w:val="sdtLocked"/>
            <w:richText/>
          </w:sdtPr>
          <w:sdtContent>
            <w:p w14:paraId="7801E4F0" w14:textId="05935486">
              <w:pPr>
                <w:ind w:firstLine="851"/>
                <w:jc w:val="both"/>
                <w:rPr>
                  <w:szCs w:val="24"/>
                </w:rPr>
              </w:pPr>
              <w:r>
                <w:rPr>
                  <w:szCs w:val="24"/>
                </w:rPr>
                <w:t>Lietuvos Respublikos planuojamos ūkinės veiklos poveikio aplinkai vertinimo įstatymo (toliau – Įstatymas) 8 straipsnio 6 dalyje nurodyta: „</w:t>
              </w:r>
              <w:r>
                <w:rPr>
                  <w:szCs w:val="24"/>
                  <w:u w:val="single"/>
                </w:rPr>
                <w:t>Jeigu iki programos patvirtinimo, tačiau ne vėliau kaip per 20 darbo dienų nuo programos gavimo savivaldybės administracijoje dienos savivaldybės, kurios teritorijoje planuojama ūkinė veikla, taryba, veikdama pagal Lietuvos Respublikos vietos savivaldos įstatymą ir kitus įstatymus, kuriuose nustatoma savivaldybių institucijų kompetencija, neviršydama nustatytos kompetencijos, priima neigiamą motyvuotą sprendimą dėl planuojamos ūkinės veiklos galimybių, poveikio aplinkai vertinimo procedūros negali būti tęsiamos tol, kol galioja savivaldybės tarybos priimtas neigiamas motyvuotas sprendimas</w:t>
              </w:r>
              <w:r>
                <w:rPr>
                  <w:szCs w:val="24"/>
                </w:rPr>
                <w:t xml:space="preserve">, išskyrus atvejus, kai planuojama ūkinė veikla yra pripažinta valstybei svarbiu projektu ar yra regioninės svarbos projektas arba planuojama ūkinė veikla reikalinga valstybei svarbiam ar regioninės svarbos projektui įgyvendinti. Apie savivaldybės tarybos priimtą neigiamą motyvuotą sprendimą savivaldybės administracija nedelsdama, ne vėliau kaip per 3 darbo dienas nuo šioje dalyje nurodyto sprendimo priėmimo dienos, informuoja atsakingąją instituciją ir planuojamos ūkinės veiklos organizatorių ir kartu pateikia neigiamą motyvuotą savivaldybės tarybos sprendimą. Atsakingoji institucija, gavusi šį savivaldybės tarybos sprendimą, apie tai informuoja visuomenę aplinkos ministro nustatyta tvarka.“. Atkreiptinas dėmesys, kad Planuojamos ūkinės veiklos organizatorius arba poveikio aplinkai vertinimo dokumentų rengėjas dar nepateikė poveikio aplinkai vertinimo subjektams, taip pat ir Šiaulių miesto savivaldybei parengtos poveikio aplinkai vertinimo programos, tačiau Šiaulių miesto savivaldybė, išnagrinėjusi Aplinkos apsaugos agentūros 2025 m. kovo 17 d. raštu Nr. (30-1)-A4E-2908 „Dėl gautos atrankos informacijos apie planuojamą ūkinę veiklą“ gautą informaciją apie UAB „Aplinkos vadyba“ parengtą UAB „Klas“ Planuojamos ūkinės veiklos informaciją atrankai dėl poveikio aplinkai vertinimo, nepritaria Planuojamai ūkinei veiklai ir mano, kad atrankos informacijoje pateikta nepavojingų atliekų deginimo jėgainės ūkinė veikla adresu Daubos g. 1F, Šiaulių mieste, yra negalima. Šiaulių miesto savivaldybė, nelaukdama poveikio aplinkai vertinimo programos pateikimo ir atsižvelgdama į tai, kad Planuojama ūkinė veikla šioje teritorijoje yra negalima, parengė šį sprendimo projektą ir pateikė neigiamą motyvuotą sprendimą. </w:t>
              </w:r>
            </w:p>
          </w:sdtContent>
        </w:sdt>
        <w:sdt>
          <w:sdtPr>
            <w:alias w:val="skirsnis"/>
            <w:tag w:val="part_ffb7db7a571946de8f95807736a68e4e"/>
            <w:lock w:val="sdtLocked"/>
            <w:richText/>
          </w:sdtPr>
          <w:sdtContent>
            <w:p w14:paraId="33ADD2D0" w14:textId="77777777">
              <w:pPr>
                <w:ind w:firstLine="851"/>
                <w:jc w:val="both"/>
                <w:rPr>
                  <w:szCs w:val="24"/>
                  <w:shd w:val="clear" w:color="auto" w:fill="FFFFFF"/>
                </w:rPr>
              </w:pPr>
              <w:sdt>
                <w:sdtPr>
                  <w:alias w:val="Pavadinimas"/>
                  <w:tag w:val="title_ffb7db7a571946de8f95807736a68e4e"/>
                  <w:lock w:val="sdtLocked"/>
                  <w:richText/>
                </w:sdtPr>
                <w:sdtContent>
                  <w:r>
                    <w:rPr>
                      <w:b/>
                      <w:szCs w:val="24"/>
                      <w:shd w:val="clear" w:color="auto" w:fill="FFFFFF"/>
                    </w:rPr>
                    <w:t xml:space="preserve">Dabartinis sprendimo projekte aptariamų klausimų reguliavimas. </w:t>
                  </w:r>
                </w:sdtContent>
              </w:sdt>
            </w:p>
            <w:p w14:paraId="6DBA4F34" w14:textId="5A41B15D">
              <w:pPr>
                <w:ind w:firstLine="851"/>
                <w:jc w:val="both"/>
                <w:rPr>
                  <w:szCs w:val="24"/>
                  <w:shd w:val="clear" w:color="auto" w:fill="FFFFFF"/>
                </w:rPr>
              </w:pPr>
              <w:r>
                <w:rPr>
                  <w:szCs w:val="24"/>
                  <w:shd w:val="clear" w:color="auto" w:fill="FFFFFF"/>
                </w:rPr>
                <w:t>Vadovaujantis Įstatymo 3 straipsnio 2 dalimi „Atranka dėl poveikio aplinkai vertinimo atliekama planuojamai ūkinei veiklai, įrašytai į Planuojamos ūkinės veiklos, kuriai turi būti atliekama atranka dėl poveikio aplinkai vertinimo, rūšių sąrašą, nurodytą šio įstatymo 2 priede.“. Planuojamos ūkinės veiklos poveikio aplinkai vertinimo atrankos procedūros atliktos, vadovaujantis Įstatymo 2 priedo 3.1. punktu „šiluminių elektrinių bei kitų deginimo įrenginių, įskaitant pramoninius įrenginius elektrai, garui gaminti ar vandeniui šildyti, įrengimas (kai įrenginių vardinė (nominalioji) šiluminė galia – mažesnė kaip 150 MW, bet didesnė kaip 5 MW)“, šio Įstatymo 2 priedo 11.2. punktu „nepavojingųjų atliekų naudojimas ar šalinimas jas apdorojant terminiais būdais, tokiais kaip deginimas, pirolizė, dujofikavimas, degazacija, plazminis procesas, ar derinant kuriuos nors būdus įrenginiuose, kurių pajėgumas – mažiau kaip 100 tonų per parą“ ir Įstatymo 2 priedo 11.5. punktu „nepavojingųjų atliekų laikymas, įskaitant jų paruošimą naudoti, išskyrus paruošimą naudoti pakartotinai, arba šalinti, kai vienu metu laikoma 100 ar daugiau tonų atliekų ir (ar) paruošimo naudoti ar šalinti pajėgumas – 10 ar daugiau tonų per parą“. Aplinkos apsaugos agentūra, kuri pagal Įstatymo 2 straipsnio 1 dalį yra atsakingoji institucija („</w:t>
              </w:r>
              <w:r>
                <w:rPr>
                  <w:b/>
                  <w:szCs w:val="24"/>
                  <w:shd w:val="clear" w:color="auto" w:fill="FFFFFF"/>
                </w:rPr>
                <w:t>Atsakingoji institucija</w:t>
              </w:r>
              <w:r>
                <w:rPr>
                  <w:szCs w:val="24"/>
                  <w:shd w:val="clear" w:color="auto" w:fill="FFFFFF"/>
                </w:rPr>
                <w:t xml:space="preserve"> – Lietuvos Respublikos Vyriausybės įgaliota institucija, koordinuojanti planuojamos ūkinės veiklos atrankos dėl poveikio aplinkai vertinimo ir poveikio aplinkai vertinimo procesus, priimanti planuojamos ūkinės veiklos atrankos dėl poveikio aplinkai vertinimo išvadą ir sprendimą dėl planuojamos ūkinės veiklos poveikio aplinkai ir atliekanti kitas šiame įstatyme nustatytas funkcijas.“), 2025 m. kovo 17 d. raštu Nr. (30-1)-A4E-2908 „Dėl gautos atrankos informacijos apie planuojamą ūkinę veiklą“ pateikė Šiaulių miesto savivaldybei ir kitiems atrankos dėl poveikio aplinkai vertinimo ir poveikio aplinkai vertinimo procesų dalyviams, kurie nurodyti Įstatymo 5 straipsnio 1 dalyje, informaciją apie gautą UAB „Aplinkos vadyba“ parengtą Planuojamos ūkinės veiklos informaciją atrankai dėl poveikio aplinkai vertinimo (pridedamas raštas, 1 priedas).</w:t>
              </w:r>
            </w:p>
            <w:p w14:paraId="359B55C2" w14:textId="504B5887">
              <w:pPr>
                <w:ind w:firstLine="851"/>
                <w:jc w:val="both"/>
                <w:rPr>
                  <w:szCs w:val="24"/>
                  <w:shd w:val="clear" w:color="auto" w:fill="FFFFFF"/>
                </w:rPr>
              </w:pPr>
              <w:r>
                <w:rPr>
                  <w:szCs w:val="24"/>
                  <w:shd w:val="clear" w:color="auto" w:fill="FFFFFF"/>
                </w:rPr>
                <w:t>Šiaulių miesto savivaldybė, būdama</w:t>
              </w:r>
              <w:r>
                <w:rPr>
                  <w:szCs w:val="24"/>
                  <w:lang w:val="en-GB"/>
                </w:rPr>
                <w:t xml:space="preserve"> </w:t>
              </w:r>
              <w:r>
                <w:rPr>
                  <w:szCs w:val="24"/>
                  <w:shd w:val="clear" w:color="auto" w:fill="FFFFFF"/>
                </w:rPr>
                <w:t xml:space="preserve">atrankos dėl poveikio aplinkai vertinimo ir poveikio aplinkai vertinimo procesų dalyviu, 2025 m. kovo 28 d. raštu Nr. S-1470 „Dėl gautos atrankos informacijos apie planuojamą ūkinę veiklą“ nurodė, kad nepritaria Planuojamai ūkinei veiklai ir pateikė priežastis (pridedamas raštas, 2 priedas). </w:t>
              </w:r>
            </w:p>
            <w:p w14:paraId="165182EE" w14:textId="7A869561">
              <w:pPr>
                <w:ind w:firstLine="851"/>
                <w:jc w:val="both"/>
                <w:rPr>
                  <w:szCs w:val="24"/>
                  <w:shd w:val="clear" w:color="auto" w:fill="FFFFFF"/>
                </w:rPr>
              </w:pPr>
              <w:r>
                <w:rPr>
                  <w:szCs w:val="24"/>
                  <w:shd w:val="clear" w:color="auto" w:fill="FFFFFF"/>
                </w:rPr>
                <w:t xml:space="preserve">Aplinkos apsaugos agentūra 2025 m. balandžio 2 d. raštu Nr. (30-1)-A4E-3702 „Dėl UAB „Klas“ planuojamos ūkinės veiklos atrankos dėl poveikio aplinkai vertinimo“ prašė patikslinti informaciją nurodant, ar Planuojamai ūkinei veiklai privaloma atlikti poveikio aplinkai vertinimą. </w:t>
              </w:r>
            </w:p>
            <w:p w14:paraId="60750031" w14:textId="4DEAABE7">
              <w:pPr>
                <w:ind w:firstLine="851"/>
                <w:jc w:val="both"/>
                <w:rPr>
                  <w:szCs w:val="24"/>
                  <w:shd w:val="clear" w:color="auto" w:fill="FFFFFF"/>
                </w:rPr>
              </w:pPr>
              <w:r>
                <w:rPr>
                  <w:szCs w:val="24"/>
                  <w:shd w:val="clear" w:color="auto" w:fill="FFFFFF"/>
                </w:rPr>
                <w:t>Šiaulių miesto savivaldybės administracija 2025 m. balandžio 7 d. raštu Nr. S-1593 „Dėl UAB „Klas“ planuojamos ūkinės veiklos atrankos dėl poveikio aplinkai vertinimo“ nurodė „...Administracija mano, jog:</w:t>
              </w:r>
            </w:p>
            <w:p w14:paraId="11166A4B" w14:textId="301710DC">
              <w:pPr>
                <w:ind w:firstLine="851"/>
                <w:jc w:val="both"/>
                <w:rPr>
                  <w:szCs w:val="24"/>
                  <w:shd w:val="clear" w:color="auto" w:fill="FFFFFF"/>
                </w:rPr>
              </w:pPr>
              <w:r>
                <w:rPr>
                  <w:szCs w:val="24"/>
                  <w:shd w:val="clear" w:color="auto" w:fill="FFFFFF"/>
                </w:rPr>
                <w:t>- pagal atrankos informacijoje pateiktus duomenis planuojama ūkinė veikla nurodytoje vietoje yra negalima;</w:t>
              </w:r>
            </w:p>
            <w:p w14:paraId="7333D19B" w14:textId="4DF07A9C">
              <w:pPr>
                <w:ind w:firstLine="851"/>
                <w:jc w:val="both"/>
                <w:rPr>
                  <w:i/>
                  <w:szCs w:val="24"/>
                  <w:shd w:val="clear" w:color="auto" w:fill="FFFFFF"/>
                </w:rPr>
              </w:pPr>
              <w:r>
                <w:rPr>
                  <w:szCs w:val="24"/>
                  <w:shd w:val="clear" w:color="auto" w:fill="FFFFFF"/>
                </w:rPr>
                <w:t>- planuojamos ūkinės veiklos išsamiam vertinimui būtina atlikti planuojamos ūkinės veiklos poveikio aplinkai vertinimą, kurio metu būtų nagrinėjama vietos alternatyva neurbanizuotoje (ne miesto) teritorijoje, taip pat vertinant ne tik aplinkosauginius, bet ir kitus viešajam interesui užtikrinti aktualius aspektus (socialinius, ekonominius).“ (pridedamas raštas, 3 priedas).</w:t>
              </w:r>
            </w:p>
            <w:p w14:paraId="7204FB09" w14:textId="682CB957">
              <w:pPr>
                <w:ind w:firstLine="851"/>
                <w:jc w:val="both"/>
                <w:rPr>
                  <w:szCs w:val="24"/>
                  <w:shd w:val="clear" w:color="auto" w:fill="FFFFFF"/>
                </w:rPr>
              </w:pPr>
              <w:r>
                <w:rPr>
                  <w:szCs w:val="24"/>
                  <w:shd w:val="clear" w:color="auto" w:fill="FFFFFF"/>
                </w:rPr>
                <w:t xml:space="preserve">Pagal Aplinkos apsaugos agentūros 2025 m. balandžio 14 d. atrankos išvadą Nr. (30-1)-A4E-4074 „Dėl UAB „Klas“ mažos galios nepavojingų atliekų naudojimo energijai gauti įrenginio (jėgainės), gaminančio šilumos energiją ir elektrą, statybos ir eksploatacijos, Daubos g. 1F, Šiaulių m. sav. poveikio aplinkai vertinimo“ priimta, kad Planuojamai ūkinei veiklai poveikio aplinkai vertinimas privalomas (pridedamas raštas, 4 priedas). </w:t>
              </w:r>
            </w:p>
            <w:p w14:paraId="7A817D02" w14:textId="7C8E1693">
              <w:pPr>
                <w:ind w:firstLine="851"/>
                <w:jc w:val="both"/>
                <w:rPr>
                  <w:szCs w:val="24"/>
                  <w:shd w:val="clear" w:color="auto" w:fill="FFFFFF"/>
                </w:rPr>
              </w:pPr>
              <w:r>
                <w:rPr>
                  <w:szCs w:val="24"/>
                  <w:shd w:val="clear" w:color="auto" w:fill="FFFFFF"/>
                </w:rPr>
                <w:t>Pagal Įstatymo 8 straipsnio 1 dalį „Šio įstatymo 3 straipsnio 1 dalyje nurodytais atvejais planuojamos ūkinės veiklos organizatorius turi teisę nuspręsti rengti poveikio aplinkai vertinimo programą (toliau – programa) ar pranešimą apie poveikio aplinkai vertinimo pradžią...“. Šio Įstatymo 3 straipsnio 1 dalyje nurodyta „Planuojamos ūkinės veiklos poveikio aplinkai vertinimas atliekamas, kai:</w:t>
              </w:r>
            </w:p>
            <w:sdt>
              <w:sdtPr>
                <w:alias w:val="1 pp."/>
                <w:tag w:val="part_6f4f335d59c74a578d39b863da680ce1"/>
                <w:lock w:val="sdtLocked"/>
                <w:richText/>
              </w:sdtPr>
              <w:sdtContent>
                <w:p w14:paraId="6C9FF15A" w14:textId="46212588">
                  <w:pPr>
                    <w:ind w:firstLine="851"/>
                    <w:jc w:val="both"/>
                    <w:rPr>
                      <w:szCs w:val="24"/>
                      <w:shd w:val="clear" w:color="auto" w:fill="FFFFFF"/>
                    </w:rPr>
                  </w:pPr>
                  <w:sdt>
                    <w:sdtPr>
                      <w:alias w:val="Numeris"/>
                      <w:tag w:val="nr_6f4f335d59c74a578d39b863da680ce1"/>
                      <w:lock w:val="sdtLocked"/>
                      <w:richText/>
                    </w:sdtPr>
                    <w:sdtContent>
                      <w:r>
                        <w:rPr>
                          <w:szCs w:val="24"/>
                          <w:shd w:val="clear" w:color="auto" w:fill="FFFFFF"/>
                        </w:rPr>
                        <w:t>1</w:t>
                      </w:r>
                    </w:sdtContent>
                  </w:sdt>
                  <w:r>
                    <w:rPr>
                      <w:szCs w:val="24"/>
                      <w:shd w:val="clear" w:color="auto" w:fill="FFFFFF"/>
                    </w:rPr>
                    <w:t>) planuojama ūkinė veikla įrašyta į Planuojamos ūkinės veiklos, kurios poveikis aplinkai privalo būti vertinamas, rūšių sąrašą, nurodytą šio įstatymo 1 priede;</w:t>
                  </w:r>
                </w:p>
              </w:sdtContent>
            </w:sdt>
            <w:sdt>
              <w:sdtPr>
                <w:alias w:val="2 pp."/>
                <w:tag w:val="part_b0d566d503d943129604897e9119803c"/>
                <w:lock w:val="sdtLocked"/>
                <w:richText/>
              </w:sdtPr>
              <w:sdtContent>
                <w:p w14:paraId="123E58D3" w14:textId="00A9A8BA">
                  <w:pPr>
                    <w:ind w:firstLine="851"/>
                    <w:jc w:val="both"/>
                    <w:rPr>
                      <w:b/>
                      <w:szCs w:val="24"/>
                      <w:shd w:val="clear" w:color="auto" w:fill="FFFFFF"/>
                    </w:rPr>
                  </w:pPr>
                  <w:sdt>
                    <w:sdtPr>
                      <w:alias w:val="Numeris"/>
                      <w:tag w:val="nr_b0d566d503d943129604897e9119803c"/>
                      <w:lock w:val="sdtLocked"/>
                      <w:richText/>
                    </w:sdtPr>
                    <w:sdtContent>
                      <w:r>
                        <w:rPr>
                          <w:b/>
                          <w:szCs w:val="24"/>
                          <w:shd w:val="clear" w:color="auto" w:fill="FFFFFF"/>
                        </w:rPr>
                        <w:t>2</w:t>
                      </w:r>
                    </w:sdtContent>
                  </w:sdt>
                  <w:r>
                    <w:rPr>
                      <w:b/>
                      <w:szCs w:val="24"/>
                      <w:shd w:val="clear" w:color="auto" w:fill="FFFFFF"/>
                    </w:rPr>
                    <w:t>) planuojamos ūkinės veiklos atrankos dėl poveikio aplinkai vertinimo (toliau – atranka dėl poveikio aplinkai vertinimo) metu nustatoma, kad planuojamai ūkinei veiklai privaloma atlikti poveikio aplinkai vertinimą;</w:t>
                  </w:r>
                </w:p>
              </w:sdtContent>
            </w:sdt>
            <w:sdt>
              <w:sdtPr>
                <w:alias w:val="3 pp."/>
                <w:tag w:val="part_b6994b8027c94751b8aec611b88cbae2"/>
                <w:lock w:val="sdtLocked"/>
                <w:richText/>
              </w:sdtPr>
              <w:sdtContent>
                <w:p w14:paraId="24835343" w14:textId="07BAA4A4">
                  <w:pPr>
                    <w:ind w:firstLine="851"/>
                    <w:jc w:val="both"/>
                    <w:rPr>
                      <w:szCs w:val="24"/>
                      <w:shd w:val="clear" w:color="auto" w:fill="FFFFFF"/>
                    </w:rPr>
                  </w:pPr>
                  <w:sdt>
                    <w:sdtPr>
                      <w:alias w:val="Numeris"/>
                      <w:tag w:val="nr_b6994b8027c94751b8aec611b88cbae2"/>
                      <w:lock w:val="sdtLocked"/>
                      <w:richText/>
                    </w:sdtPr>
                    <w:sdtContent>
                      <w:r>
                        <w:rPr>
                          <w:szCs w:val="24"/>
                          <w:shd w:val="clear" w:color="auto" w:fill="FFFFFF"/>
                        </w:rPr>
                        <w:t>3</w:t>
                      </w:r>
                    </w:sdtContent>
                  </w:sdt>
                  <w:r>
                    <w:rPr>
                      <w:szCs w:val="24"/>
                      <w:shd w:val="clear" w:color="auto" w:fill="FFFFFF"/>
                    </w:rPr>
                    <w:t>) planuojamos ūkinės veiklos įgyvendinimas gali daryti poveikį Europos ekologinio tinklo „Natura 2000“ teritorijoms ir kai aplinkos ministro nustatyta tvarka nustatoma, kad šis poveikis aplinkai gali būti reikšmingas;</w:t>
                  </w:r>
                </w:p>
              </w:sdtContent>
            </w:sdt>
            <w:sdt>
              <w:sdtPr>
                <w:alias w:val="4 pp."/>
                <w:tag w:val="part_b4ee8fb6746e494b92f6960d81c730e2"/>
                <w:lock w:val="sdtLocked"/>
                <w:richText/>
              </w:sdtPr>
              <w:sdtContent>
                <w:p w14:paraId="4D3B0106" w14:textId="22448C71">
                  <w:pPr>
                    <w:ind w:firstLine="851"/>
                    <w:jc w:val="both"/>
                    <w:rPr>
                      <w:szCs w:val="24"/>
                      <w:shd w:val="clear" w:color="auto" w:fill="FFFFFF"/>
                    </w:rPr>
                  </w:pPr>
                  <w:sdt>
                    <w:sdtPr>
                      <w:alias w:val="Numeris"/>
                      <w:tag w:val="nr_b4ee8fb6746e494b92f6960d81c730e2"/>
                      <w:lock w:val="sdtLocked"/>
                      <w:richText/>
                    </w:sdtPr>
                    <w:sdtContent>
                      <w:r>
                        <w:rPr>
                          <w:szCs w:val="24"/>
                          <w:shd w:val="clear" w:color="auto" w:fill="FFFFFF"/>
                        </w:rPr>
                        <w:t>4</w:t>
                      </w:r>
                    </w:sdtContent>
                  </w:sdt>
                  <w:r>
                    <w:rPr>
                      <w:szCs w:val="24"/>
                      <w:shd w:val="clear" w:color="auto" w:fill="FFFFFF"/>
                    </w:rPr>
                    <w:t xml:space="preserve">) planuojamos ūkinės veiklos, įrašytos į Planuojamos ūkinės veiklos, kuriai turi būti atliekama atranka dėl poveikio aplinkai vertinimo, rūšių sąrašą, nurodytą šio įstatymo 2 priede, organizatorius nusprendžia pradėti poveikio aplinkai vertinimą neatliekant atrankos dėl poveikio aplinkai vertinimo.“, t. y. atitinka šio Įstatymo 8 straipsnio 1 dalies 2 punktą, todėl vadovaujantis šio Įstatymo reikalavimais, Planuojamos ūkinės veiklos organizatorius turi parengti poveikio aplinkai vertinimo programą arba pranešimą. </w:t>
                  </w:r>
                </w:p>
                <w:p w14:paraId="77FE5413" w14:textId="240DA021">
                  <w:pPr>
                    <w:ind w:firstLine="851"/>
                    <w:jc w:val="both"/>
                    <w:rPr>
                      <w:szCs w:val="24"/>
                      <w:shd w:val="clear" w:color="auto" w:fill="FFFFFF"/>
                    </w:rPr>
                  </w:pPr>
                  <w:r>
                    <w:rPr>
                      <w:szCs w:val="24"/>
                      <w:shd w:val="clear" w:color="auto" w:fill="FFFFFF"/>
                    </w:rPr>
                    <w:t>Pagal Įstatymo 8 straipsnio 3 dalį „Poveikio aplinkai vertinimo dokumentų rengėjas aplinkos ministro nustatyta tvarka parengtą programą teikia poveikio aplinkai vertinimo subjektams išvadoms gauti, apie programą informuoja visuomenę ir atsakingąją instituciją.“, šio Įstatymo 8 straipsnio 5 dalį „Poveikio aplinkai vertinimo subjektai programą išnagrinėja, įvertina joje pateiktą informaciją ir per 10 darbo dienų nuo jos gavimo dienos pateikia motyvuotas išvadas poveikio aplinkai vertinimo dokumentų rengėjui...“ ir Įstatymo 8 straipsnio 6 dalį „Jeigu iki programos patvirtinimo, tačiau ne vėliau kaip per 20 darbo dienų nuo programos gavimo savivaldybės administracijoje dienos savivaldybės, kurios teritorijoje planuojama ūkinė veikla, taryba, veikdama pagal Lietuvos Respublikos vietos savivaldos įstatymą ir kitus įstatymus, kuriuose nustatoma savivaldybių institucijų kompetencija, neviršydama nustatytos kompetencijos, priima neigiamą motyvuotą sprendimą dėl planuojamos ūkinės veiklos galimybių, poveikio aplinkai vertinimo procedūros negali būti tęsiamos tol, kol galioja savivaldybės tarybos priimtas neigiamas motyvuotas sprendimas, išskyrus atvejus, kai planuojama ūkinė veikla yra pripažinta valstybei svarbiu projektu ar yra regioninės svarbos projektas arba planuojama ūkinė veikla reikalinga valstybei svarbiam ar regioninės svarbos projektui įgyvendinti. Apie savivaldybės tarybos priimtą neigiamą motyvuotą sprendimą savivaldybės administracija nedelsdama, ne vėliau kaip per 3 darbo dienas nuo šioje dalyje nurodyto sprendimo priėmimo dienos, informuoja atsakingąją instituciją ir planuojamos ūkinės veiklos organizatorių ir kartu pateikia neigiamą motyvuotą savivaldybės tarybos sprendimą. Atsakingoji institucija, gavusi šį savivaldybės tarybos sprendimą, apie tai informuoja visuomenę aplinkos ministro nustatyta tvarka.“. Atkreiptinas dėmesys, kad Planuojamos ūkinės veiklos organizatorius arba poveikio aplinkai vertinimo dokumentų rengėjas dar nepateikė poveikio aplinkai vertinimo subjektams, taip pat ir Šiaulių miesto savivaldybei parengtos poveikio aplinkai vertinimo programos. Šiaulių miesto savivaldybė, nelaukdama poveikio aplinkai vertinimo programos pateikimo ir atsižvelgdama į tai, kad Planuojama ūkinė veikla adresu Daubos g. 1F, Šiaulių mieste, yra negalima, parengė šį sprendimo projektą ir pateikė neigiamą motyvuotą sprendimą.</w:t>
                  </w:r>
                </w:p>
              </w:sdtContent>
            </w:sdt>
          </w:sdtContent>
        </w:sdt>
        <w:sdt>
          <w:sdtPr>
            <w:alias w:val="skirsnis"/>
            <w:tag w:val="part_5f1892794faf4382b3658ecd296c67e9"/>
            <w:lock w:val="sdtLocked"/>
            <w:richText/>
          </w:sdtPr>
          <w:sdtContent>
            <w:p w14:paraId="173F7434" w14:textId="08B5AB73">
              <w:pPr>
                <w:ind w:firstLine="851"/>
                <w:jc w:val="both"/>
                <w:rPr>
                  <w:b/>
                  <w:szCs w:val="24"/>
                </w:rPr>
              </w:pPr>
              <w:sdt>
                <w:sdtPr>
                  <w:alias w:val="Pavadinimas"/>
                  <w:tag w:val="title_5f1892794faf4382b3658ecd296c67e9"/>
                  <w:lock w:val="sdtLocked"/>
                  <w:richText/>
                </w:sdtPr>
                <w:sdtContent>
                  <w:r>
                    <w:rPr>
                      <w:b/>
                      <w:szCs w:val="24"/>
                      <w:shd w:val="clear" w:color="auto" w:fill="FFFFFF"/>
                    </w:rPr>
                    <w:t>Sprendimo projekte numatytos naujos teisinio reglamentavimo nuostatos</w:t>
                  </w:r>
                  <w:r>
                    <w:rPr>
                      <w:b/>
                      <w:szCs w:val="24"/>
                    </w:rPr>
                    <w:t>.</w:t>
                  </w:r>
                </w:sdtContent>
              </w:sdt>
            </w:p>
            <w:p w14:paraId="6EF0BB3F" w14:textId="738CD505">
              <w:pPr>
                <w:ind w:firstLine="851"/>
                <w:jc w:val="both"/>
                <w:rPr>
                  <w:szCs w:val="24"/>
                  <w:shd w:val="clear" w:color="auto" w:fill="FFFFFF"/>
                </w:rPr>
              </w:pPr>
              <w:r>
                <w:rPr>
                  <w:szCs w:val="24"/>
                  <w:shd w:val="clear" w:color="auto" w:fill="FFFFFF"/>
                </w:rPr>
                <w:t>Nenumatoma.</w:t>
              </w:r>
            </w:p>
            <w:p w14:paraId="1D604E86" w14:textId="12B12DAB">
              <w:pPr>
                <w:ind w:firstLine="851"/>
                <w:jc w:val="both"/>
                <w:rPr>
                  <w:szCs w:val="24"/>
                  <w:shd w:val="clear" w:color="auto" w:fill="FFFFFF"/>
                </w:rPr>
              </w:pPr>
              <w:r>
                <w:rPr>
                  <w:b/>
                  <w:szCs w:val="24"/>
                  <w:shd w:val="clear" w:color="auto" w:fill="FFFFFF"/>
                </w:rPr>
                <w:t xml:space="preserve">Priėmus sprendimą, galimos pasekmės </w:t>
              </w:r>
              <w:r>
                <w:rPr>
                  <w:szCs w:val="24"/>
                  <w:shd w:val="clear" w:color="auto" w:fill="FFFFFF"/>
                </w:rPr>
                <w:t xml:space="preserve">(nurodomos tiek teigiamos, tiek neigiamos galimos pasekmės). </w:t>
              </w:r>
            </w:p>
            <w:p w14:paraId="0EDF67F9" w14:textId="2A512DA5">
              <w:pPr>
                <w:ind w:firstLine="851"/>
                <w:jc w:val="both"/>
                <w:rPr>
                  <w:szCs w:val="24"/>
                  <w:shd w:val="clear" w:color="auto" w:fill="FFFFFF"/>
                </w:rPr>
              </w:pPr>
              <w:r>
                <w:rPr>
                  <w:i/>
                  <w:szCs w:val="24"/>
                  <w:u w:val="single"/>
                  <w:shd w:val="clear" w:color="auto" w:fill="FFFFFF"/>
                </w:rPr>
                <w:t>Teigiamos pasekmės:</w:t>
              </w:r>
              <w:r>
                <w:rPr>
                  <w:b/>
                  <w:i/>
                  <w:szCs w:val="24"/>
                  <w:shd w:val="clear" w:color="auto" w:fill="FFFFFF"/>
                </w:rPr>
                <w:t xml:space="preserve"> </w:t>
              </w:r>
            </w:p>
            <w:p w14:paraId="39E7D759" w14:textId="1138132A">
              <w:pPr>
                <w:tabs>
                  <w:tab w:val="left" w:pos="855"/>
                </w:tabs>
                <w:ind w:firstLine="851"/>
                <w:jc w:val="both"/>
                <w:rPr>
                  <w:szCs w:val="24"/>
                  <w:shd w:val="clear" w:color="auto" w:fill="FFFFFF"/>
                </w:rPr>
              </w:pPr>
              <w:r>
                <w:rPr>
                  <w:szCs w:val="24"/>
                  <w:shd w:val="clear" w:color="auto" w:fill="FFFFFF"/>
                </w:rPr>
                <w:t>- Savivaldybė galės įgyvendinti Atsinaujinančių energijos išteklių plane numatytas priemones ir pasiekti nustatytus rodiklius tuo prisidėdama prie Valstybės jai deleguotų užduočių didinti atsinaujinančių energijos išteklių dalį bendrame balanse, ypač centralizuotos šilumos tiekimo srityje;</w:t>
              </w:r>
            </w:p>
            <w:p w14:paraId="5735C724" w14:textId="661CA5B8">
              <w:pPr>
                <w:tabs>
                  <w:tab w:val="left" w:pos="855"/>
                </w:tabs>
                <w:ind w:firstLine="851"/>
                <w:jc w:val="both"/>
                <w:rPr>
                  <w:szCs w:val="24"/>
                  <w:shd w:val="clear" w:color="auto" w:fill="FFFFFF"/>
                </w:rPr>
              </w:pPr>
              <w:r>
                <w:rPr>
                  <w:szCs w:val="24"/>
                  <w:shd w:val="clear" w:color="auto" w:fill="FFFFFF"/>
                </w:rPr>
                <w:t>- Nebus vykdoma Planuojama ūkinė veikla, kuri darytų neigiamą poveikį aplinkos kokybei ir visuomenės sveikatai;</w:t>
              </w:r>
            </w:p>
            <w:p w14:paraId="740E726F" w14:textId="1FE06E41">
              <w:pPr>
                <w:tabs>
                  <w:tab w:val="left" w:pos="855"/>
                </w:tabs>
                <w:ind w:firstLine="851"/>
                <w:jc w:val="both"/>
                <w:rPr>
                  <w:szCs w:val="24"/>
                  <w:shd w:val="clear" w:color="auto" w:fill="FFFFFF"/>
                </w:rPr>
              </w:pPr>
              <w:r>
                <w:rPr>
                  <w:szCs w:val="24"/>
                  <w:shd w:val="clear" w:color="auto" w:fill="FFFFFF"/>
                </w:rPr>
                <w:t>- Bus užtikrinamas visuomenės viešas interesas;</w:t>
              </w:r>
            </w:p>
            <w:p w14:paraId="5A0AD7E4" w14:textId="75B04A48">
              <w:pPr>
                <w:tabs>
                  <w:tab w:val="left" w:pos="855"/>
                </w:tabs>
                <w:ind w:firstLine="913"/>
                <w:jc w:val="both"/>
                <w:rPr>
                  <w:szCs w:val="24"/>
                  <w:shd w:val="clear" w:color="auto" w:fill="FFFFFF"/>
                </w:rPr>
              </w:pPr>
            </w:p>
            <w:p w14:paraId="20A862AD" w14:textId="77777777">
              <w:pPr>
                <w:tabs>
                  <w:tab w:val="left" w:pos="855"/>
                </w:tabs>
                <w:ind w:firstLine="851"/>
                <w:jc w:val="both"/>
                <w:rPr>
                  <w:i/>
                  <w:szCs w:val="24"/>
                  <w:u w:val="single"/>
                </w:rPr>
              </w:pPr>
              <w:r>
                <w:rPr>
                  <w:i/>
                  <w:szCs w:val="24"/>
                  <w:u w:val="single"/>
                </w:rPr>
                <w:t>Neigiamos pasekmės:</w:t>
              </w:r>
            </w:p>
            <w:p w14:paraId="0367977F" w14:textId="6DC400AD">
              <w:pPr>
                <w:tabs>
                  <w:tab w:val="left" w:pos="855"/>
                </w:tabs>
                <w:ind w:firstLine="851"/>
                <w:jc w:val="both"/>
                <w:rPr>
                  <w:b/>
                  <w:i/>
                  <w:szCs w:val="24"/>
                  <w:shd w:val="clear" w:color="auto" w:fill="FFFFFF"/>
                </w:rPr>
              </w:pPr>
              <w:r>
                <w:rPr>
                  <w:szCs w:val="24"/>
                </w:rPr>
                <w:t xml:space="preserve">- Galimi teisminiai ginčai su Planuojamos ūkinės veiklos organizatoriumi ir kt. </w:t>
              </w:r>
              <w:r>
                <w:rPr>
                  <w:i/>
                  <w:szCs w:val="24"/>
                  <w:u w:val="single"/>
                </w:rPr>
                <w:t xml:space="preserve"> </w:t>
              </w:r>
            </w:p>
            <w:p w14:paraId="12ABA08C" w14:textId="77777777">
              <w:pPr>
                <w:tabs>
                  <w:tab w:val="left" w:pos="855"/>
                </w:tabs>
                <w:ind w:firstLine="851"/>
                <w:jc w:val="both"/>
                <w:rPr>
                  <w:szCs w:val="24"/>
                </w:rPr>
              </w:pPr>
            </w:p>
          </w:sdtContent>
        </w:sdt>
        <w:sdt>
          <w:sdtPr>
            <w:alias w:val="skirsnis"/>
            <w:tag w:val="part_3da7450b3b4049c1889d49956dd0dd4c"/>
            <w:lock w:val="sdtLocked"/>
            <w:richText/>
          </w:sdtPr>
          <w:sdtContent>
            <w:p w14:paraId="29614437" w14:textId="7FF26F7A">
              <w:pPr>
                <w:tabs>
                  <w:tab w:val="left" w:pos="855"/>
                </w:tabs>
                <w:ind w:firstLine="851"/>
                <w:jc w:val="both"/>
                <w:rPr>
                  <w:b/>
                  <w:i/>
                  <w:szCs w:val="24"/>
                  <w:shd w:val="clear" w:color="auto" w:fill="FFFFFF"/>
                </w:rPr>
              </w:pPr>
              <w:sdt>
                <w:sdtPr>
                  <w:alias w:val="Pavadinimas"/>
                  <w:tag w:val="title_3da7450b3b4049c1889d49956dd0dd4c"/>
                  <w:lock w:val="sdtLocked"/>
                  <w:richText/>
                </w:sdtPr>
                <w:sdtContent>
                  <w:r>
                    <w:rPr>
                      <w:b/>
                      <w:szCs w:val="24"/>
                      <w:shd w:val="clear" w:color="auto" w:fill="FFFFFF"/>
                    </w:rPr>
                    <w:t>Priėmus sprendimą, keičiami ar pripažįstami negaliojančiais teisės aktai</w:t>
                  </w:r>
                  <w:r>
                    <w:rPr>
                      <w:b/>
                      <w:szCs w:val="24"/>
                    </w:rPr>
                    <w:t>.</w:t>
                  </w:r>
                </w:sdtContent>
              </w:sdt>
            </w:p>
            <w:p w14:paraId="78DEEC5A" w14:textId="1729F0F3">
              <w:pPr>
                <w:tabs>
                  <w:tab w:val="left" w:pos="855"/>
                </w:tabs>
                <w:ind w:firstLine="851"/>
                <w:jc w:val="both"/>
                <w:rPr>
                  <w:szCs w:val="24"/>
                  <w:shd w:val="clear" w:color="auto" w:fill="FFFFFF"/>
                </w:rPr>
              </w:pPr>
              <w:r>
                <w:rPr>
                  <w:szCs w:val="24"/>
                  <w:shd w:val="clear" w:color="auto" w:fill="FFFFFF"/>
                </w:rPr>
                <w:t>Priėmus sprendimą, teisės aktai nekeičiami ir nepripažįstami negaliojančiais.</w:t>
              </w:r>
            </w:p>
          </w:sdtContent>
        </w:sdt>
        <w:sdt>
          <w:sdtPr>
            <w:alias w:val="skirsnis"/>
            <w:tag w:val="part_59d09f23c4164e049a337e4781f21191"/>
            <w:lock w:val="sdtLocked"/>
            <w:richText/>
          </w:sdtPr>
          <w:sdtContent>
            <w:p w14:paraId="76954D78" w14:textId="77777777">
              <w:pPr>
                <w:tabs>
                  <w:tab w:val="left" w:pos="855"/>
                </w:tabs>
                <w:ind w:firstLine="851"/>
                <w:jc w:val="both"/>
                <w:rPr>
                  <w:b/>
                  <w:i/>
                  <w:szCs w:val="24"/>
                  <w:shd w:val="clear" w:color="auto" w:fill="FFFFFF"/>
                </w:rPr>
              </w:pPr>
              <w:sdt>
                <w:sdtPr>
                  <w:alias w:val="Pavadinimas"/>
                  <w:tag w:val="title_59d09f23c4164e049a337e4781f21191"/>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6F5A59D1" w14:textId="3F0D4EF4">
              <w:pPr>
                <w:tabs>
                  <w:tab w:val="left" w:pos="855"/>
                </w:tabs>
                <w:ind w:firstLine="851"/>
                <w:jc w:val="both"/>
                <w:rPr>
                  <w:szCs w:val="24"/>
                  <w:shd w:val="clear" w:color="auto" w:fill="FFFFFF"/>
                </w:rPr>
              </w:pPr>
              <w:r>
                <w:rPr>
                  <w:szCs w:val="24"/>
                  <w:shd w:val="clear" w:color="auto" w:fill="FFFFFF"/>
                </w:rPr>
                <w:t>Sprendimui įgyvendinti priimti papildomų teisės aktų nereikia.</w:t>
              </w:r>
            </w:p>
            <w:p w14:paraId="75A2F784" w14:textId="77777777">
              <w:pPr>
                <w:tabs>
                  <w:tab w:val="left" w:pos="855"/>
                </w:tabs>
                <w:ind w:firstLine="851"/>
                <w:jc w:val="both"/>
                <w:rPr>
                  <w:b/>
                  <w:i/>
                  <w:szCs w:val="24"/>
                  <w:shd w:val="clear" w:color="auto" w:fill="FFFFFF"/>
                </w:rPr>
              </w:pPr>
              <w:r>
                <w:rPr>
                  <w:b/>
                  <w:szCs w:val="24"/>
                  <w:shd w:val="clear" w:color="auto" w:fill="FFFFFF"/>
                </w:rPr>
                <w:t>Sprendimui įgyvendinti reikalingos lėšos</w:t>
              </w:r>
              <w:r>
                <w:rPr>
                  <w:i/>
                  <w:szCs w:val="24"/>
                  <w:shd w:val="clear" w:color="auto" w:fill="FFFFFF"/>
                </w:rPr>
                <w:t xml:space="preserve"> (nurodoma, kiek biudžeto lėšų pareikalaus ar leis sutaupyti sprendimo įgyvendinimas)</w:t>
              </w:r>
              <w:r>
                <w:rPr>
                  <w:szCs w:val="24"/>
                  <w:shd w:val="clear" w:color="auto" w:fill="FFFFFF"/>
                </w:rPr>
                <w:t xml:space="preserve">. </w:t>
              </w:r>
            </w:p>
            <w:p w14:paraId="14FFA5B4" w14:textId="7C9AB4B6">
              <w:pPr>
                <w:tabs>
                  <w:tab w:val="left" w:pos="855"/>
                </w:tabs>
                <w:ind w:firstLine="851"/>
                <w:jc w:val="both"/>
                <w:rPr>
                  <w:szCs w:val="24"/>
                  <w:shd w:val="clear" w:color="auto" w:fill="FFFFFF"/>
                </w:rPr>
              </w:pPr>
              <w:r>
                <w:rPr>
                  <w:szCs w:val="24"/>
                  <w:shd w:val="clear" w:color="auto" w:fill="FFFFFF"/>
                </w:rPr>
                <w:t>Sprendimui įgyvendinti lėšos nebus reikalingos.</w:t>
              </w:r>
            </w:p>
            <w:p w14:paraId="11B1F2CD" w14:textId="64535370">
              <w:pPr>
                <w:tabs>
                  <w:tab w:val="left" w:pos="855"/>
                </w:tabs>
                <w:ind w:firstLine="851"/>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14:paraId="32C58702" w14:textId="5613B4A9">
              <w:pPr>
                <w:tabs>
                  <w:tab w:val="left" w:pos="855"/>
                </w:tabs>
                <w:ind w:firstLine="851"/>
                <w:jc w:val="both"/>
                <w:rPr>
                  <w:szCs w:val="24"/>
                  <w:shd w:val="clear" w:color="auto" w:fill="FFFFFF"/>
                </w:rPr>
              </w:pPr>
              <w:r>
                <w:rPr>
                  <w:szCs w:val="24"/>
                  <w:shd w:val="clear" w:color="auto" w:fill="FFFFFF"/>
                </w:rPr>
                <w:t xml:space="preserve">Antikorupcinis vertinimas neatliekamas. </w:t>
              </w:r>
            </w:p>
            <w:p w14:paraId="4C1EA70E" w14:textId="4D068BB0">
              <w:pPr>
                <w:tabs>
                  <w:tab w:val="left" w:pos="855"/>
                </w:tabs>
                <w:ind w:firstLine="851"/>
                <w:jc w:val="both"/>
                <w:rPr>
                  <w:color w:val="0563C1"/>
                  <w:szCs w:val="24"/>
                  <w:u w:val="single"/>
                  <w:shd w:val="clear" w:color="auto" w:fill="FFFFFF"/>
                </w:rPr>
              </w:pPr>
              <w:r>
                <w:rPr>
                  <w:b/>
                  <w:szCs w:val="24"/>
                  <w:shd w:val="clear" w:color="auto" w:fill="FFFFFF"/>
                </w:rPr>
                <w:t>Sprendimo projektą parengė</w:t>
              </w:r>
              <w:r>
                <w:rPr>
                  <w:szCs w:val="24"/>
                  <w:shd w:val="clear" w:color="auto" w:fill="FFFFFF"/>
                </w:rPr>
                <w:t xml:space="preserve"> Tiesioginis rengėjas ir iniciatorius – Šiaulių miesto savivaldybės administracijos Miesto ūkio ir aplinkos skyrius. Kontaktinis asmuo: Šiaulių miesto savivaldybės administracijos Miesto ūkio ir aplinkos skyriaus Aplinkosaugos ir miesto tvarkymo poskyrio vyr. specialistė Dovilė Motkevičiūtė, tel. (+370 41) 500 526; el. p. </w:t>
              </w:r>
              <w:r>
                <w:rPr>
                  <w:color w:val="0563C1"/>
                  <w:szCs w:val="24"/>
                  <w:u w:val="single"/>
                  <w:shd w:val="clear" w:color="auto" w:fill="FFFFFF"/>
                </w:rPr>
                <w:t>dovile.motkeviciute@siauliai.lt</w:t>
              </w:r>
            </w:p>
            <w:p w14:paraId="1BF0F0DD" w14:textId="77777777">
              <w:pPr>
                <w:tabs>
                  <w:tab w:val="left" w:pos="855"/>
                </w:tabs>
                <w:ind w:firstLine="851"/>
                <w:jc w:val="both"/>
                <w:rPr>
                  <w:b/>
                  <w:i/>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14:paraId="72BD5D6E" w14:textId="4C02A140">
              <w:pPr>
                <w:tabs>
                  <w:tab w:val="left" w:pos="855"/>
                </w:tabs>
                <w:ind w:firstLine="851"/>
                <w:jc w:val="both"/>
                <w:rPr>
                  <w:b/>
                  <w:i/>
                  <w:szCs w:val="24"/>
                  <w:shd w:val="clear" w:color="auto" w:fill="FFFFFF"/>
                </w:rPr>
              </w:pPr>
              <w:r>
                <w:rPr>
                  <w:szCs w:val="24"/>
                </w:rPr>
                <w:t>N</w:t>
              </w:r>
              <w:r>
                <w:rPr>
                  <w:bCs/>
                  <w:color w:val="000000"/>
                  <w:szCs w:val="24"/>
                </w:rPr>
                <w:t>umatomo teisinio poveikio reguliavimo poveikio vertinimas neatliktinas, nes sprendimo projektu nėra numatoma reguliuoti iki tol nereglamentuotus santykius.</w:t>
              </w:r>
            </w:p>
            <w:p w14:paraId="6C7A327E" w14:textId="0F29C60B">
              <w:pPr>
                <w:widowControl w:val="0"/>
                <w:tabs>
                  <w:tab w:val="right" w:pos="9638"/>
                </w:tabs>
                <w:suppressAutoHyphens/>
                <w:ind w:right="-1"/>
                <w:jc w:val="both"/>
                <w:rPr>
                  <w:rFonts w:eastAsia="Lucida Sans Unicode"/>
                  <w:szCs w:val="24"/>
                </w:rPr>
              </w:pPr>
            </w:p>
            <w:p w14:paraId="509F4513" w14:textId="0929C2C5">
              <w:pPr>
                <w:widowControl w:val="0"/>
                <w:tabs>
                  <w:tab w:val="right" w:pos="9638"/>
                </w:tabs>
                <w:suppressAutoHyphens/>
                <w:ind w:right="-1"/>
                <w:jc w:val="both"/>
                <w:rPr>
                  <w:rFonts w:eastAsia="Lucida Sans Unicode"/>
                  <w:szCs w:val="24"/>
                </w:rPr>
              </w:pPr>
            </w:p>
            <w:p w14:paraId="2221C361" w14:textId="77777777">
              <w:pPr>
                <w:widowControl w:val="0"/>
                <w:tabs>
                  <w:tab w:val="right" w:pos="9638"/>
                </w:tabs>
                <w:suppressAutoHyphens/>
                <w:ind w:right="-1"/>
                <w:jc w:val="both"/>
                <w:rPr>
                  <w:rFonts w:eastAsia="Lucida Sans Unicode"/>
                  <w:szCs w:val="24"/>
                </w:rPr>
              </w:pPr>
            </w:p>
          </w:sdtContent>
        </w:sdt>
        <w:sdt>
          <w:sdtPr>
            <w:alias w:val="signatura"/>
            <w:tag w:val="part_096b1c07bda74cefbe36918602435b9b"/>
            <w:lock w:val="sdtLocked"/>
            <w:richText/>
          </w:sdtPr>
          <w:sdtContent>
            <w:p w14:paraId="61160E3E" w14:textId="1C5B0FCF">
              <w:pPr>
                <w:widowControl w:val="0"/>
                <w:tabs>
                  <w:tab w:val="right" w:pos="9638"/>
                </w:tabs>
                <w:suppressAutoHyphens/>
                <w:ind w:right="-1"/>
                <w:jc w:val="both"/>
                <w:rPr>
                  <w:rFonts w:eastAsia="Lucida Sans Unicode"/>
                  <w:szCs w:val="24"/>
                </w:rPr>
              </w:pPr>
              <w:r>
                <w:rPr>
                  <w:rFonts w:eastAsia="Lucida Sans Unicode"/>
                  <w:szCs w:val="24"/>
                </w:rPr>
                <w:t>Vedėja</w:t>
                <w:tab/>
                <w:t>Eglė Bružienė</w:t>
              </w:r>
            </w:p>
            <w:p w14:paraId="262D3891" w14:textId="77777777">
              <w:pPr>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859C1E" w14:textId="77777777">
      <w:pPr>
        <w:rPr>
          <w:szCs w:val="24"/>
          <w:lang w:val="en-GB"/>
        </w:rPr>
      </w:pPr>
      <w:r>
        <w:rPr>
          <w:szCs w:val="24"/>
          <w:lang w:val="en-GB"/>
        </w:rPr>
        <w:separator/>
      </w:r>
    </w:p>
  </w:endnote>
  <w:endnote w:type="continuationSeparator" w:id="0">
    <w:p w14:paraId="69E52E8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A6126" w14:textId="77777777">
    <w:pPr>
      <w:tabs>
        <w:tab w:val="center" w:pos="4680"/>
        <w:tab w:val="right" w:pos="9360"/>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CD865" w14:textId="77777777">
    <w:pPr>
      <w:tabs>
        <w:tab w:val="center" w:pos="4680"/>
        <w:tab w:val="right" w:pos="9360"/>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2641B0" w14:textId="77777777">
    <w:pPr>
      <w:tabs>
        <w:tab w:val="center" w:pos="4680"/>
        <w:tab w:val="right" w:pos="9360"/>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654681" w14:textId="77777777">
      <w:pPr>
        <w:rPr>
          <w:szCs w:val="24"/>
          <w:lang w:val="en-GB"/>
        </w:rPr>
      </w:pPr>
      <w:r>
        <w:rPr>
          <w:szCs w:val="24"/>
          <w:lang w:val="en-GB"/>
        </w:rPr>
        <w:separator/>
      </w:r>
    </w:p>
  </w:footnote>
  <w:footnote w:type="continuationSeparator" w:id="0">
    <w:p w14:paraId="595F7A5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FED05"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2DE49C67"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20140"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3426ECA9"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A7752"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50F06"/>
  <w15:chartTrackingRefBased/>
  <w15:docId w15:val="{073322AA-C648-486E-A34A-AD94362173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222971">
      <w:bodyDiv w:val="1"/>
      <w:marLeft w:val="0"/>
      <w:marRight w:val="0"/>
      <w:marTop w:val="0"/>
      <w:marBottom w:val="0"/>
      <w:divBdr>
        <w:top w:val="none" w:sz="0" w:space="0" w:color="auto"/>
        <w:left w:val="none" w:sz="0" w:space="0" w:color="auto"/>
        <w:bottom w:val="none" w:sz="0" w:space="0" w:color="auto"/>
        <w:right w:val="none" w:sz="0" w:space="0" w:color="auto"/>
      </w:divBdr>
    </w:div>
    <w:div w:id="159004294">
      <w:bodyDiv w:val="1"/>
      <w:marLeft w:val="0"/>
      <w:marRight w:val="0"/>
      <w:marTop w:val="0"/>
      <w:marBottom w:val="0"/>
      <w:divBdr>
        <w:top w:val="none" w:sz="0" w:space="0" w:color="auto"/>
        <w:left w:val="none" w:sz="0" w:space="0" w:color="auto"/>
        <w:bottom w:val="none" w:sz="0" w:space="0" w:color="auto"/>
        <w:right w:val="none" w:sz="0" w:space="0" w:color="auto"/>
      </w:divBdr>
    </w:div>
    <w:div w:id="170611091">
      <w:bodyDiv w:val="1"/>
      <w:marLeft w:val="0"/>
      <w:marRight w:val="0"/>
      <w:marTop w:val="0"/>
      <w:marBottom w:val="0"/>
      <w:divBdr>
        <w:top w:val="none" w:sz="0" w:space="0" w:color="auto"/>
        <w:left w:val="none" w:sz="0" w:space="0" w:color="auto"/>
        <w:bottom w:val="none" w:sz="0" w:space="0" w:color="auto"/>
        <w:right w:val="none" w:sz="0" w:space="0" w:color="auto"/>
      </w:divBdr>
    </w:div>
    <w:div w:id="288780480">
      <w:bodyDiv w:val="1"/>
      <w:marLeft w:val="0"/>
      <w:marRight w:val="0"/>
      <w:marTop w:val="0"/>
      <w:marBottom w:val="0"/>
      <w:divBdr>
        <w:top w:val="none" w:sz="0" w:space="0" w:color="auto"/>
        <w:left w:val="none" w:sz="0" w:space="0" w:color="auto"/>
        <w:bottom w:val="none" w:sz="0" w:space="0" w:color="auto"/>
        <w:right w:val="none" w:sz="0" w:space="0" w:color="auto"/>
      </w:divBdr>
    </w:div>
    <w:div w:id="457532565">
      <w:bodyDiv w:val="1"/>
      <w:marLeft w:val="0"/>
      <w:marRight w:val="0"/>
      <w:marTop w:val="0"/>
      <w:marBottom w:val="0"/>
      <w:divBdr>
        <w:top w:val="none" w:sz="0" w:space="0" w:color="auto"/>
        <w:left w:val="none" w:sz="0" w:space="0" w:color="auto"/>
        <w:bottom w:val="none" w:sz="0" w:space="0" w:color="auto"/>
        <w:right w:val="none" w:sz="0" w:space="0" w:color="auto"/>
      </w:divBdr>
    </w:div>
    <w:div w:id="470487744">
      <w:bodyDiv w:val="1"/>
      <w:marLeft w:val="0"/>
      <w:marRight w:val="0"/>
      <w:marTop w:val="0"/>
      <w:marBottom w:val="0"/>
      <w:divBdr>
        <w:top w:val="none" w:sz="0" w:space="0" w:color="auto"/>
        <w:left w:val="none" w:sz="0" w:space="0" w:color="auto"/>
        <w:bottom w:val="none" w:sz="0" w:space="0" w:color="auto"/>
        <w:right w:val="none" w:sz="0" w:space="0" w:color="auto"/>
      </w:divBdr>
    </w:div>
    <w:div w:id="610238263">
      <w:bodyDiv w:val="1"/>
      <w:marLeft w:val="0"/>
      <w:marRight w:val="0"/>
      <w:marTop w:val="0"/>
      <w:marBottom w:val="0"/>
      <w:divBdr>
        <w:top w:val="none" w:sz="0" w:space="0" w:color="auto"/>
        <w:left w:val="none" w:sz="0" w:space="0" w:color="auto"/>
        <w:bottom w:val="none" w:sz="0" w:space="0" w:color="auto"/>
        <w:right w:val="none" w:sz="0" w:space="0" w:color="auto"/>
      </w:divBdr>
    </w:div>
    <w:div w:id="671369416">
      <w:bodyDiv w:val="1"/>
      <w:marLeft w:val="0"/>
      <w:marRight w:val="0"/>
      <w:marTop w:val="0"/>
      <w:marBottom w:val="0"/>
      <w:divBdr>
        <w:top w:val="none" w:sz="0" w:space="0" w:color="auto"/>
        <w:left w:val="none" w:sz="0" w:space="0" w:color="auto"/>
        <w:bottom w:val="none" w:sz="0" w:space="0" w:color="auto"/>
        <w:right w:val="none" w:sz="0" w:space="0" w:color="auto"/>
      </w:divBdr>
    </w:div>
    <w:div w:id="1097091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aaff4ed9d154ec09b86954cccd46359" PartId="62b83e9868c24d0da9e571d2e1e834ae">
    <Part Type="preambule" DocPartId="f23d514a4a254d54944fd20dd64546ac" PartId="2f18913ac4b646c6a83486cd1d9495e5"/>
    <Part Type="pastraipa" DocPartId="64853e2d04a24d98a8dcfd9fe22b63ad" PartId="62446cf974ee4d97b75f85633663064a"/>
    <Part Type="skirsnis" Title="Dabartinis sprendimo projekte aptariamų klausimų reguliavimas." DocPartId="45c0ded7e89e409aa3a2dfc61a461b38" PartId="ffb7db7a571946de8f95807736a68e4e">
      <Part Type="strPapunktis" Nr="1" Abbr="1 pp." DocPartId="91f0c712e5494df0bb1de1177c8fd0ed" PartId="6f4f335d59c74a578d39b863da680ce1"/>
      <Part Type="strPapunktis" Nr="2" Abbr="2 pp." DocPartId="79e11c622a724b7f8366ebc6f2b04eb1" PartId="b0d566d503d943129604897e9119803c"/>
      <Part Type="strPapunktis" Nr="3" Abbr="3 pp." DocPartId="68a306da235c4421bf71bfeacd621102" PartId="b6994b8027c94751b8aec611b88cbae2"/>
      <Part Type="strPapunktis" Nr="4" Abbr="4 pp." DocPartId="5b1db2a572724e719c7ebf10ea80118b" PartId="b4ee8fb6746e494b92f6960d81c730e2"/>
    </Part>
    <Part Type="skirsnis" Title="Sprendimo projekte numatytos naujos teisinio reglamentavimo nuostatos." DocPartId="95ffae6e28dc460d8e0dfedb96e7188f" PartId="5f1892794faf4382b3658ecd296c67e9"/>
    <Part Type="skirsnis" Title="Priėmus sprendimą, keičiami ar pripažįstami negaliojančiais teisės aktai." DocPartId="d8f3ca2ee249408a9c53d95fde2fa7eb" PartId="3da7450b3b4049c1889d49956dd0dd4c"/>
    <Part Type="skirsnis" Title="Sprendimui įgyvendinti reikalingi priimti papildomi teisės aktai." DocPartId="24ecec4a65944f5796398490f9637fa4" PartId="59d09f23c4164e049a337e4781f21191"/>
    <Part Type="signatura" DocPartId="6b4437597d7b46a8968135a89059c3e5" PartId="096b1c07bda74cefbe36918602435b9b"/>
  </Part>
</Parts>
</file>

<file path=customXml/itemProps1.xml><?xml version="1.0" encoding="utf-8"?>
<ds:datastoreItem xmlns:ds="http://schemas.openxmlformats.org/officeDocument/2006/customXml" ds:itemID="{908D343F-E5D7-4254-915E-10081ABABA8B}">
  <ds:schemaRefs>
    <ds:schemaRef ds:uri="http://schemas.openxmlformats.org/officeDocument/2006/bibliography"/>
  </ds:schemaRefs>
</ds:datastoreItem>
</file>

<file path=customXml/itemProps2.xml><?xml version="1.0" encoding="utf-8"?>
<ds:datastoreItem xmlns:ds="http://schemas.openxmlformats.org/officeDocument/2006/customXml" ds:itemID="{4E5A795C-36BF-45CF-8351-27368D39DF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1595</Words>
  <Characters>11537</Characters>
  <Application>Microsoft Office Word</Application>
  <DocSecurity>4</DocSecurity>
  <Lines>172</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13083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2025-05-14T13:43:00Z</dcterms:created>
  <dc:creator>Dovilė Žukauskienė</dc:creator>
  <lastModifiedBy>adlibuser</lastModifiedBy>
  <lastPrinted>2016-12-13T11:58:00Z</lastPrinted>
  <dcterms:modified xsi:type="dcterms:W3CDTF">2025-05-14T13:43:00Z</dcterms:modified>
  <revision>2</revision>
  <dc:title>ŠIAULIŲ MIESTO SAVIVALDYBĖS ADMINISTRACIJOS</dc:title>
</coreProperties>
</file>