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82c3f2af474d29956d2588f7fbe3f9"/>
        <w:lock w:val="sdtLocked"/>
        <w:richText/>
      </w:sdtPr>
      <w:sdtContent>
        <w:p>
          <w:pPr>
            <w:suppressAutoHyphens/>
            <w:rPr>
              <w:rFonts w:ascii="Calibri" w:eastAsia="Calibri" w:hAnsi="Calibri"/>
              <w:sz w:val="20"/>
              <w:lang w:val="en-US" w:eastAsia="zh-CN"/>
            </w:rPr>
          </w:pPr>
        </w:p>
      </w:sdtContent>
    </w:sdt>
    <w:sdt>
      <w:sdtPr>
        <w:alias w:val="patvirtinta"/>
        <w:tag w:val="part_d374eadc4ba34e9eaa69180820531a2e"/>
        <w:lock w:val="sdtLocked"/>
        <w:richText/>
      </w:sdtPr>
      <w:sdtContent>
        <w:p>
          <w:pPr>
            <w:suppressAutoHyphens/>
            <w:ind w:firstLine="5760"/>
            <w:rPr>
              <w:rFonts w:eastAsia="Calibri"/>
              <w:szCs w:val="24"/>
              <w:lang w:eastAsia="zh-CN"/>
            </w:rPr>
          </w:pPr>
          <w:r>
            <w:rPr>
              <w:rFonts w:eastAsia="Calibri"/>
              <w:szCs w:val="24"/>
              <w:lang w:eastAsia="zh-CN"/>
            </w:rPr>
            <w:t>PATVIRTINTA</w:t>
          </w:r>
        </w:p>
        <w:p>
          <w:pPr>
            <w:suppressAutoHyphens/>
            <w:ind w:firstLine="6320"/>
            <w:rPr>
              <w:rFonts w:ascii="Calibri" w:eastAsia="Calibri" w:hAnsi="Calibri"/>
              <w:sz w:val="22"/>
              <w:szCs w:val="22"/>
              <w:lang w:eastAsia="zh-CN"/>
            </w:rPr>
          </w:pPr>
          <w:r>
            <w:rPr>
              <w:rFonts w:eastAsia="Calibri"/>
              <w:szCs w:val="24"/>
              <w:lang w:eastAsia="zh-CN"/>
            </w:rPr>
            <w:t>Šiaulių miesto savivaldybės tarybos</w:t>
          </w:r>
        </w:p>
        <w:p>
          <w:pPr>
            <w:suppressAutoHyphens/>
            <w:ind w:right="566" w:firstLine="1732"/>
            <w:jc w:val="right"/>
            <w:rPr>
              <w:rFonts w:eastAsia="Calibri"/>
              <w:szCs w:val="24"/>
              <w:lang w:eastAsia="zh-CN"/>
            </w:rPr>
          </w:pPr>
          <w:r>
            <w:rPr>
              <w:rFonts w:eastAsia="Calibri"/>
              <w:szCs w:val="24"/>
              <w:lang w:eastAsia="zh-CN"/>
            </w:rPr>
            <w:t xml:space="preserve">2023 m.         d. sprendimu Nr. </w:t>
          </w:r>
        </w:p>
        <w:p>
          <w:pPr>
            <w:suppressAutoHyphens/>
            <w:jc w:val="center"/>
            <w:rPr>
              <w:rFonts w:eastAsia="Calibri"/>
              <w:b/>
              <w:szCs w:val="24"/>
              <w:lang w:eastAsia="zh-CN"/>
            </w:rPr>
          </w:pPr>
        </w:p>
        <w:p>
          <w:pPr>
            <w:rPr>
              <w:sz w:val="14"/>
              <w:szCs w:val="14"/>
            </w:rPr>
          </w:pPr>
        </w:p>
        <w:p>
          <w:pPr>
            <w:suppressAutoHyphens/>
            <w:jc w:val="center"/>
            <w:rPr>
              <w:rFonts w:eastAsia="Calibri"/>
              <w:b/>
              <w:szCs w:val="24"/>
              <w:lang w:eastAsia="zh-CN"/>
            </w:rPr>
          </w:pPr>
          <w:sdt>
            <w:sdtPr>
              <w:alias w:val="Pavadinimas"/>
              <w:tag w:val="title_d374eadc4ba34e9eaa69180820531a2e"/>
              <w:lock w:val="sdtLocked"/>
              <w:richText/>
            </w:sdtPr>
            <w:sdtContent>
              <w:r>
                <w:rPr>
                  <w:rFonts w:eastAsia="Calibri"/>
                  <w:b/>
                  <w:szCs w:val="24"/>
                  <w:lang w:eastAsia="zh-CN"/>
                </w:rPr>
                <w:t xml:space="preserve">ŠIAULIŲ MIESTO  SAVIVALDYBĖS NARKOTIKŲ KONTROLĖS KOMISIJA</w:t>
              </w:r>
            </w:sdtContent>
          </w:sdt>
        </w:p>
        <w:p>
          <w:pPr>
            <w:suppressAutoHyphens/>
            <w:jc w:val="center"/>
            <w:rPr>
              <w:rFonts w:eastAsia="Calibri"/>
              <w:b/>
              <w:szCs w:val="24"/>
              <w:lang w:eastAsia="zh-CN"/>
            </w:rPr>
          </w:pPr>
        </w:p>
        <w:sdt>
          <w:sdtPr>
            <w:alias w:val="skirsnis"/>
            <w:tag w:val="part_ddfd2ff756174b90bd4ee3e4d5239f76"/>
            <w:lock w:val="sdtLocked"/>
            <w:richText/>
          </w:sdtPr>
          <w:sdtContent>
            <w:p>
              <w:pPr>
                <w:suppressAutoHyphens/>
                <w:ind w:left="840" w:hanging="480"/>
                <w:jc w:val="center"/>
                <w:rPr>
                  <w:rFonts w:ascii="Calibri" w:eastAsia="Calibri" w:hAnsi="Calibri"/>
                  <w:sz w:val="22"/>
                  <w:szCs w:val="22"/>
                  <w:lang w:eastAsia="zh-CN"/>
                </w:rPr>
              </w:pPr>
              <w:sdt>
                <w:sdtPr>
                  <w:alias w:val="Pavadinimas"/>
                  <w:tag w:val="title_ddfd2ff756174b90bd4ee3e4d5239f76"/>
                  <w:lock w:val="sdtLocked"/>
                  <w:richText/>
                </w:sdtPr>
                <w:sdtContent>
                  <w:r>
                    <w:rPr>
                      <w:rFonts w:eastAsia="Calibri"/>
                      <w:b/>
                      <w:szCs w:val="22"/>
                      <w:lang w:eastAsia="zh-CN"/>
                    </w:rPr>
                    <w:t>2022</w:t>
                    <w:tab/>
                  </w:r>
                  <w:r>
                    <w:rPr>
                      <w:rFonts w:eastAsia="Calibri"/>
                      <w:b/>
                      <w:szCs w:val="24"/>
                      <w:lang w:eastAsia="zh-CN"/>
                    </w:rPr>
                    <w:t xml:space="preserve"> METŲ VEIKLOS ATASKAITA</w:t>
                  </w:r>
                </w:sdtContent>
              </w:sdt>
            </w:p>
            <w:p>
              <w:pPr>
                <w:suppressAutoHyphens/>
                <w:ind w:firstLine="864"/>
                <w:jc w:val="center"/>
                <w:rPr>
                  <w:rFonts w:ascii="Calibri" w:eastAsia="Calibri" w:hAnsi="Calibri"/>
                  <w:sz w:val="22"/>
                  <w:szCs w:val="22"/>
                  <w:lang w:eastAsia="zh-CN"/>
                </w:rPr>
              </w:pPr>
            </w:p>
          </w:sdtContent>
        </w:sdt>
        <w:sdt>
          <w:sdtPr>
            <w:alias w:val="skyrius"/>
            <w:tag w:val="part_d3e5001ae3e84a7a96b6d5f0cdcd07b2"/>
            <w:lock w:val="sdtLocked"/>
            <w:richText/>
          </w:sdtPr>
          <w:sdtContent>
            <w:p>
              <w:pPr>
                <w:suppressAutoHyphens/>
                <w:jc w:val="center"/>
                <w:rPr>
                  <w:rFonts w:eastAsia="Calibri"/>
                  <w:b/>
                  <w:bCs/>
                  <w:szCs w:val="24"/>
                  <w:lang w:eastAsia="zh-CN"/>
                </w:rPr>
              </w:pPr>
              <w:sdt>
                <w:sdtPr>
                  <w:alias w:val="Numeris"/>
                  <w:tag w:val="nr_d3e5001ae3e84a7a96b6d5f0cdcd07b2"/>
                  <w:lock w:val="sdtLocked"/>
                  <w:richText/>
                </w:sdtPr>
                <w:sdtContent>
                  <w:r>
                    <w:rPr>
                      <w:rFonts w:eastAsia="Calibri"/>
                      <w:b/>
                      <w:bCs/>
                      <w:szCs w:val="24"/>
                      <w:lang w:eastAsia="zh-CN"/>
                    </w:rPr>
                    <w:t>I</w:t>
                  </w:r>
                </w:sdtContent>
              </w:sdt>
              <w:r>
                <w:rPr>
                  <w:rFonts w:eastAsia="Calibri"/>
                  <w:b/>
                  <w:bCs/>
                  <w:szCs w:val="24"/>
                  <w:lang w:eastAsia="zh-CN"/>
                </w:rPr>
                <w:t xml:space="preserve"> SKYRIUS</w:t>
              </w:r>
            </w:p>
            <w:p>
              <w:pPr>
                <w:suppressAutoHyphens/>
                <w:jc w:val="center"/>
                <w:rPr>
                  <w:rFonts w:eastAsia="Calibri"/>
                  <w:b/>
                  <w:bCs/>
                  <w:szCs w:val="24"/>
                  <w:lang w:eastAsia="zh-CN"/>
                </w:rPr>
              </w:pPr>
              <w:sdt>
                <w:sdtPr>
                  <w:alias w:val="Pavadinimas"/>
                  <w:tag w:val="title_d3e5001ae3e84a7a96b6d5f0cdcd07b2"/>
                  <w:lock w:val="sdtLocked"/>
                  <w:richText/>
                </w:sdtPr>
                <w:sdtContent>
                  <w:r>
                    <w:rPr>
                      <w:rFonts w:eastAsia="Calibri"/>
                      <w:b/>
                      <w:bCs/>
                      <w:szCs w:val="24"/>
                      <w:lang w:eastAsia="zh-CN"/>
                    </w:rPr>
                    <w:t>BENDROSIOS NUOSTATOS</w:t>
                  </w:r>
                </w:sdtContent>
              </w:sdt>
            </w:p>
            <w:p>
              <w:pPr>
                <w:suppressAutoHyphens/>
                <w:ind w:firstLine="864"/>
                <w:jc w:val="center"/>
                <w:rPr>
                  <w:rFonts w:eastAsia="Calibri"/>
                  <w:b/>
                  <w:szCs w:val="24"/>
                  <w:lang w:eastAsia="zh-CN"/>
                </w:rPr>
              </w:pPr>
            </w:p>
            <w:p>
              <w:pPr>
                <w:suppressAutoHyphens/>
                <w:ind w:firstLine="864"/>
                <w:jc w:val="both"/>
                <w:rPr>
                  <w:rFonts w:ascii="Calibri" w:eastAsia="Calibri" w:hAnsi="Calibri"/>
                  <w:sz w:val="22"/>
                  <w:szCs w:val="22"/>
                  <w:lang w:eastAsia="zh-CN"/>
                </w:rPr>
              </w:pPr>
              <w:r>
                <w:rPr>
                  <w:rFonts w:eastAsia="Calibri"/>
                  <w:szCs w:val="24"/>
                  <w:lang w:eastAsia="zh-CN"/>
                </w:rPr>
                <w:t xml:space="preserve">Šiaulių miesto savivaldybės narkotikų kontrolės komisija (toliau – NKK), įgyvendindama Šiaulių miesto savivaldybės tarybos 2016 m. gruodžio 1 d. sprendimą Nr. T-419 „Dėl Šiaulių miesto savivaldybės narkotikų kontrolės komisijos nuostatų patvirtinimo“, koordinavo narkotikų kontrolės ir narkomanijos prevencijos veiksmus savivaldybės teritorijoje. </w:t>
              </w:r>
            </w:p>
            <w:p>
              <w:pPr>
                <w:suppressAutoHyphens/>
                <w:ind w:firstLine="864"/>
                <w:jc w:val="both"/>
                <w:rPr>
                  <w:rFonts w:eastAsia="Calibri"/>
                  <w:szCs w:val="24"/>
                  <w:lang w:eastAsia="zh-CN"/>
                </w:rPr>
              </w:pPr>
              <w:r>
                <w:rPr>
                  <w:rFonts w:eastAsia="Calibri"/>
                  <w:szCs w:val="24"/>
                  <w:lang w:eastAsia="zh-CN"/>
                </w:rPr>
                <w:t xml:space="preserve">Įgyvendinama pagrindinius uždavinius, NKK inicijavo pasitarimus aktualiais narkotikų kontrolės, narkomanijos prevencijos klausimais, gavo ir aptarė informaciją iš asmens sveikatos priežiūros, socialinių, švietimo įstaigų, Šiaulių miesto savivaldybės visuomenės sveikatos biuro (toliau – VSB), teisėsaugos institucijų narkomanijos prevencijos, gydymo, narkotinių ir psichotropinių medžiagų apyvartos kontrolės klausimais, bendradarbiavo su įstaigomis. NKK parengė Šiaulių miesto savivaldybės narkotikų kontrolės komisijos 2021 metų veiklos ataskaitą, kuri buvo patvirtinta Šiaulių miesto savivaldybės tarybos 2022 m. gegužės 5 d. sprendimu Nr. T-133 „Dėl Šiaulių miesto savivaldybės narkotikų kontrolės komisijos 2021 metų veiklos ataskaitos patvirtinimo“. </w:t>
              </w:r>
            </w:p>
            <w:p>
              <w:pPr>
                <w:suppressAutoHyphens/>
                <w:ind w:firstLine="864"/>
                <w:jc w:val="both"/>
                <w:rPr>
                  <w:rFonts w:eastAsia="Calibri"/>
                  <w:szCs w:val="24"/>
                  <w:lang w:eastAsia="zh-CN"/>
                </w:rPr>
              </w:pPr>
              <w:r>
                <w:rPr>
                  <w:rFonts w:eastAsia="Calibri"/>
                  <w:szCs w:val="24"/>
                  <w:lang w:eastAsia="zh-CN"/>
                </w:rPr>
                <w:t xml:space="preserve">Šiaulių miesto savivaldybės taryba vadovaudamasi Lietuvos Respublikos vietos savivaldos įstatymo 16 straipsnio 4 dalimi, 18 straipsnio 1 dalimi, įgyvendindama Šiaulių miesto savivaldybės tarybos 2016 m. gruodžio 1 d. sprendimo Nr. T-419 „Dėl Šiaulių miesto savivaldybės narkotikų kontrolės komisijos nuostatų patvirtinimo“ 7, 8 ir 9 punktus, pritarė Narkotikų kontrolės komisijos sudėčiai ir nuo 2020 m. sudėtis išliko nepakitusi. </w:t>
              </w:r>
            </w:p>
            <w:p>
              <w:pPr>
                <w:suppressAutoHyphens/>
                <w:spacing w:line="256" w:lineRule="auto"/>
                <w:ind w:firstLine="720"/>
                <w:jc w:val="both"/>
                <w:rPr>
                  <w:rFonts w:eastAsia="Calibri"/>
                  <w:szCs w:val="24"/>
                </w:rPr>
              </w:pPr>
              <w:r>
                <w:rPr>
                  <w:rFonts w:eastAsia="Calibri"/>
                  <w:szCs w:val="24"/>
                </w:rPr>
                <w:t>2022 m. suorganizuoti 3 komisijos posėdžiai (du posėdžiai vyko nuotoliniu būdu). Pirmojo posėdžio metu buvo aptartos Komisijos galimybės rengti ir įgyvendinti projektą, remiantis Šiaulių m. savivaldybės administracijos paskelbtų sveikatinimo projektų prioritetinėmis kryptimis, prioritetine kryptimi pasirenkant „Psichoaktyviųjų medžiagų vartojimo prevencija“. Nutarta, kad projekto rengimo bei įgyvendinimo galimybių, remiantis Šiaulių miesto savivaldybės Narkotikų kontrolės komisijos nuostatais, Komisija neturi. To paties posėdžio metu buvo aptartas ir sudėliotas Komisijos veiklos planas 2022 metams.</w:t>
              </w:r>
            </w:p>
            <w:p>
              <w:pPr>
                <w:ind w:firstLine="720"/>
                <w:jc w:val="both"/>
                <w:rPr>
                  <w:rFonts w:eastAsia="Calibri"/>
                  <w:szCs w:val="24"/>
                </w:rPr>
              </w:pPr>
              <w:r>
                <w:rPr>
                  <w:rFonts w:eastAsia="Calibri"/>
                  <w:szCs w:val="24"/>
                </w:rPr>
                <w:t>Antrojo posėdžio metu Komisijai buvo pristatyta Priklausomybių konsultatantų paslaugų teikimo organizavimo tvarka ir procesas Šiaulių miesto savivaldybėje. Posėdžio metu pranešimus skaitė Šiaulių m. savivaldybės Visuomenės sveikatos biuro atstovė, kuri pristatė priklausomybių konsultanto veiklos organizavimo niuansus. Šiaulių m. savivaldybės Visuomenės sveikatos biuro priklausomybių konsultantė pristatė priklausomybių konsultanto darbą, jo specifiką.</w:t>
              </w:r>
            </w:p>
            <w:p>
              <w:pPr>
                <w:ind w:firstLine="720"/>
                <w:jc w:val="both"/>
                <w:rPr>
                  <w:rFonts w:eastAsia="Calibri"/>
                  <w:szCs w:val="24"/>
                </w:rPr>
              </w:pPr>
              <w:r>
                <w:rPr>
                  <w:rFonts w:eastAsia="Calibri"/>
                  <w:szCs w:val="24"/>
                </w:rPr>
                <w:t>Trečiojo posėdžio metu komisijos nariai bendravo su Šiaulių atviro jaunimo centro atstovu, kuris pristatė centro veiklą, pasidalino sunkumais, su kuriais susiduria, bendraudami su jaunimu.</w:t>
              </w:r>
            </w:p>
            <w:p>
              <w:pPr>
                <w:suppressAutoHyphens/>
                <w:ind w:firstLine="864"/>
                <w:jc w:val="both"/>
                <w:rPr>
                  <w:rFonts w:ascii="Calibri" w:eastAsia="Calibri" w:hAnsi="Calibri"/>
                  <w:sz w:val="22"/>
                  <w:szCs w:val="22"/>
                  <w:lang w:eastAsia="zh-CN"/>
                </w:rPr>
              </w:pPr>
              <w:r>
                <w:rPr>
                  <w:rFonts w:eastAsia="Calibri"/>
                  <w:szCs w:val="24"/>
                  <w:lang w:eastAsia="zh-CN"/>
                </w:rPr>
                <w:t>Be dalyvavimo NKK veikloje Komisijos nariai aktyviai dirbo psichoaktyviųjų medžiagų kontrolės ir prevencijos klausimais savo atstovaujamose įstaigose.</w:t>
              </w:r>
            </w:p>
            <w:p>
              <w:pPr>
                <w:suppressAutoHyphens/>
                <w:ind w:firstLine="864"/>
                <w:jc w:val="both"/>
                <w:rPr>
                  <w:rFonts w:eastAsia="Calibri"/>
                  <w:color w:val="FF0000"/>
                  <w:szCs w:val="24"/>
                  <w:lang w:eastAsia="zh-CN"/>
                </w:rPr>
              </w:pPr>
            </w:p>
          </w:sdtContent>
        </w:sdt>
        <w:sdt>
          <w:sdtPr>
            <w:alias w:val="skyrius"/>
            <w:tag w:val="part_8f6fd125dce546b5a421416e2c6c4e26"/>
            <w:lock w:val="sdtLocked"/>
            <w:richText/>
          </w:sdtPr>
          <w:sdtContent>
            <w:p>
              <w:pPr>
                <w:suppressAutoHyphens/>
                <w:jc w:val="center"/>
                <w:textAlignment w:val="baseline"/>
                <w:rPr>
                  <w:rFonts w:eastAsia="Calibri"/>
                  <w:b/>
                  <w:kern w:val="1"/>
                  <w:szCs w:val="24"/>
                  <w:lang w:eastAsia="zh-CN"/>
                </w:rPr>
              </w:pPr>
              <w:sdt>
                <w:sdtPr>
                  <w:alias w:val="Numeris"/>
                  <w:tag w:val="nr_8f6fd125dce546b5a421416e2c6c4e26"/>
                  <w:lock w:val="sdtLocked"/>
                  <w:richText/>
                </w:sdtPr>
                <w:sdtContent>
                  <w:r>
                    <w:rPr>
                      <w:rFonts w:eastAsia="Calibri"/>
                      <w:b/>
                      <w:kern w:val="1"/>
                      <w:szCs w:val="24"/>
                      <w:lang w:eastAsia="zh-CN"/>
                    </w:rPr>
                    <w:t>II</w:t>
                  </w:r>
                </w:sdtContent>
              </w:sdt>
              <w:r>
                <w:rPr>
                  <w:rFonts w:eastAsia="Calibri"/>
                  <w:b/>
                  <w:kern w:val="1"/>
                  <w:szCs w:val="24"/>
                  <w:lang w:eastAsia="zh-CN"/>
                </w:rPr>
                <w:t xml:space="preserve"> SKYRIUS</w:t>
              </w:r>
            </w:p>
            <w:p>
              <w:pPr>
                <w:suppressAutoHyphens/>
                <w:jc w:val="center"/>
                <w:textAlignment w:val="baseline"/>
                <w:rPr>
                  <w:rFonts w:eastAsia="Calibri"/>
                  <w:kern w:val="1"/>
                  <w:szCs w:val="24"/>
                  <w:lang w:eastAsia="zh-CN"/>
                </w:rPr>
              </w:pPr>
              <w:sdt>
                <w:sdtPr>
                  <w:alias w:val="Pavadinimas"/>
                  <w:tag w:val="title_8f6fd125dce546b5a421416e2c6c4e26"/>
                  <w:lock w:val="sdtLocked"/>
                  <w:richText/>
                </w:sdtPr>
                <w:sdtContent>
                  <w:r>
                    <w:rPr>
                      <w:rFonts w:eastAsia="Calibri"/>
                      <w:b/>
                      <w:kern w:val="1"/>
                      <w:szCs w:val="24"/>
                      <w:lang w:eastAsia="zh-CN"/>
                    </w:rPr>
                    <w:t>ŠIAULIŲ APSKRITIES VYRIAUSIASIS POLICIJOS KOMISARIATAS</w:t>
                  </w:r>
                </w:sdtContent>
              </w:sdt>
            </w:p>
            <w:p>
              <w:pPr>
                <w:tabs>
                  <w:tab w:val="left" w:pos="2116"/>
                </w:tabs>
                <w:suppressAutoHyphens/>
                <w:ind w:firstLine="2116"/>
                <w:jc w:val="both"/>
                <w:textAlignment w:val="baseline"/>
                <w:rPr>
                  <w:rFonts w:eastAsia="Calibri"/>
                  <w:kern w:val="1"/>
                  <w:szCs w:val="24"/>
                  <w:lang w:eastAsia="zh-CN"/>
                </w:rPr>
              </w:pPr>
            </w:p>
            <w:p>
              <w:pPr>
                <w:widowControl w:val="0"/>
                <w:tabs>
                  <w:tab w:val="left" w:pos="570"/>
                </w:tabs>
                <w:suppressAutoHyphens/>
                <w:ind w:firstLine="862"/>
                <w:jc w:val="both"/>
                <w:textAlignment w:val="baseline"/>
                <w:rPr>
                  <w:szCs w:val="24"/>
                  <w:lang w:eastAsia="zh-CN"/>
                </w:rPr>
              </w:pPr>
              <w:r>
                <w:rPr>
                  <w:szCs w:val="24"/>
                  <w:lang w:eastAsia="zh-CN"/>
                </w:rPr>
                <w:t>Per 2022 metus Šiaulių apskrities vyriausiojo policijos komisariato bendruomenės pareigūnai aplankė 53 Šiaulių miesto švietimo įstaigas ir skaitė paskaitas apie viešosios tvarkos pažeidimus ir atsakomybę už juos, kuriose buvo minima psichoaktyvių medžiagų (narkotikų, alkoholio, tabako) atsakomybė.</w:t>
              </w:r>
            </w:p>
            <w:p>
              <w:pPr>
                <w:widowControl w:val="0"/>
                <w:tabs>
                  <w:tab w:val="left" w:pos="570"/>
                </w:tabs>
                <w:suppressAutoHyphens/>
                <w:ind w:firstLine="862"/>
                <w:jc w:val="both"/>
                <w:textAlignment w:val="baseline"/>
                <w:rPr>
                  <w:rFonts w:eastAsia="Andale Sans UI"/>
                  <w:kern w:val="3"/>
                  <w:szCs w:val="24"/>
                  <w:shd w:val="clear" w:color="auto" w:fill="FFFFFF"/>
                  <w:lang w:bidi="en-US"/>
                </w:rPr>
              </w:pPr>
              <w:r>
                <w:rPr>
                  <w:rFonts w:eastAsia="Andale Sans UI"/>
                  <w:kern w:val="3"/>
                  <w:szCs w:val="24"/>
                  <w:shd w:val="clear" w:color="auto" w:fill="FFFFFF"/>
                  <w:lang w:bidi="en-US"/>
                </w:rPr>
                <w:t>2022 m. buvo vykdomas tęstinis konkursas "Ne žalingai, o naudingai", kurio pagrindinis tikslas – skatinti jaunuolius leisti savo laisvalaikį naudingai, o ne žalingai (nevartoti psichoaktyviųjų medžiagų, alkoholio). Konkurso metu konkurso dalyviai kūrė socialinius filmukus.</w:t>
              </w:r>
            </w:p>
            <w:p>
              <w:pPr>
                <w:widowControl w:val="0"/>
                <w:tabs>
                  <w:tab w:val="left" w:pos="570"/>
                </w:tabs>
                <w:suppressAutoHyphens/>
                <w:ind w:firstLine="862"/>
                <w:jc w:val="both"/>
                <w:textAlignment w:val="baseline"/>
                <w:rPr>
                  <w:rFonts w:eastAsia="Andale Sans UI"/>
                  <w:kern w:val="3"/>
                  <w:szCs w:val="24"/>
                  <w:shd w:val="clear" w:color="auto" w:fill="FFFFFF"/>
                  <w:lang w:bidi="en-US"/>
                </w:rPr>
              </w:pPr>
              <w:r>
                <w:rPr>
                  <w:szCs w:val="24"/>
                  <w:lang w:eastAsia="zh-CN"/>
                </w:rPr>
                <w:t>Taip pat buvo vykdomas dar vienas tęstinis konkursas "Aš už geresnį rytojų", kurio tikslas atkreipti visų dėmesį aktualiomis visuomenės temomis, tarp kurių buvo ir psichoaktyvių medžiagų vartojimo prevencijos tema (narkotikų, alkoholio, tabako). Dalyviai taip pat turėjo kurti video filmukus aktualiomis temomis.</w:t>
              </w:r>
            </w:p>
            <w:p>
              <w:pPr>
                <w:widowControl w:val="0"/>
                <w:suppressAutoHyphens/>
                <w:ind w:firstLine="862"/>
                <w:jc w:val="both"/>
                <w:textAlignment w:val="baseline"/>
                <w:rPr>
                  <w:rFonts w:eastAsia="Andale Sans UI" w:cs="Tahoma"/>
                  <w:kern w:val="3"/>
                  <w:szCs w:val="24"/>
                  <w:lang w:bidi="en-US"/>
                </w:rPr>
              </w:pPr>
              <w:r>
                <w:rPr>
                  <w:rFonts w:eastAsia="Andale Sans UI"/>
                  <w:kern w:val="3"/>
                  <w:szCs w:val="24"/>
                  <w:lang w:bidi="en-US"/>
                </w:rPr>
                <w:t>Informacija apie vykdomą veiklą psichoaktyviųjų medžiagų prevencijos srityje ir narkotinių medžiagų kontrolės temomis talpinta Šiaulių aps. VPK interneto svetainėje, Šiaulių apskrities policijos, Šiaulių m. ir r. PK bendruomenės pareigūnų paskyrose socialiniuose tinkluose Facebook, Instagram, teikta žiniasklaidos atstovams.</w:t>
              </w:r>
            </w:p>
            <w:p>
              <w:pPr>
                <w:tabs>
                  <w:tab w:val="left" w:pos="1478"/>
                </w:tabs>
                <w:suppressAutoHyphens/>
                <w:ind w:firstLine="864"/>
                <w:jc w:val="center"/>
                <w:textAlignment w:val="baseline"/>
                <w:rPr>
                  <w:rFonts w:eastAsia="Calibri"/>
                  <w:kern w:val="1"/>
                  <w:szCs w:val="24"/>
                  <w:lang w:eastAsia="zh-CN"/>
                </w:rPr>
              </w:pPr>
            </w:p>
            <w:sdt>
              <w:sdtPr>
                <w:alias w:val="1 p."/>
                <w:tag w:val="part_f20a0cc65af34066bc21ff168c7061fd"/>
                <w:lock w:val="sdtLocked"/>
                <w:richText/>
              </w:sdtPr>
              <w:sdtContent>
                <w:p>
                  <w:pPr>
                    <w:tabs>
                      <w:tab w:val="left" w:pos="0"/>
                    </w:tabs>
                    <w:suppressAutoHyphens/>
                    <w:ind w:firstLine="864"/>
                    <w:jc w:val="center"/>
                    <w:rPr>
                      <w:rFonts w:ascii="Calibri" w:eastAsia="MS Mincho" w:hAnsi="Calibri"/>
                      <w:sz w:val="20"/>
                      <w:lang w:eastAsia="ja-JP"/>
                    </w:rPr>
                  </w:pPr>
                  <w:sdt>
                    <w:sdtPr>
                      <w:alias w:val="Numeris"/>
                      <w:tag w:val="nr_f20a0cc65af34066bc21ff168c7061fd"/>
                      <w:lock w:val="sdtLocked"/>
                      <w:richText/>
                    </w:sdtPr>
                    <w:sdtContent>
                      <w:r>
                        <w:rPr>
                          <w:rFonts w:eastAsia="MS Mincho"/>
                          <w:b/>
                          <w:szCs w:val="24"/>
                          <w:lang w:eastAsia="ja-JP"/>
                        </w:rPr>
                        <w:t>1</w:t>
                      </w:r>
                    </w:sdtContent>
                  </w:sdt>
                  <w:r>
                    <w:rPr>
                      <w:rFonts w:eastAsia="MS Mincho"/>
                      <w:b/>
                      <w:szCs w:val="24"/>
                      <w:lang w:eastAsia="ja-JP"/>
                    </w:rPr>
                    <w:t>.</w:t>
                    <w:tab/>
                    <w:t>Respublikinis priklausomybės ligų centras Šiaulių filialas</w:t>
                  </w:r>
                </w:p>
                <w:p>
                  <w:pPr>
                    <w:tabs>
                      <w:tab w:val="left" w:pos="1134"/>
                    </w:tabs>
                    <w:suppressAutoHyphens/>
                    <w:ind w:firstLine="864"/>
                    <w:jc w:val="both"/>
                    <w:rPr>
                      <w:rFonts w:eastAsia="Calibri"/>
                      <w:b/>
                      <w:szCs w:val="24"/>
                      <w:lang w:eastAsia="zh-CN"/>
                    </w:rPr>
                  </w:pPr>
                </w:p>
                <w:p>
                  <w:pPr>
                    <w:widowControl w:val="0"/>
                    <w:tabs>
                      <w:tab w:val="left" w:pos="1134"/>
                    </w:tabs>
                    <w:suppressAutoHyphens/>
                    <w:ind w:firstLine="864"/>
                    <w:jc w:val="both"/>
                    <w:textAlignment w:val="baseline"/>
                    <w:rPr>
                      <w:rFonts w:eastAsia="SimSun" w:cs="Lucida Sans"/>
                      <w:kern w:val="3"/>
                      <w:szCs w:val="24"/>
                      <w:lang w:eastAsia="zh-CN" w:bidi="hi-IN"/>
                    </w:rPr>
                  </w:pPr>
                  <w:r>
                    <w:rPr>
                      <w:rFonts w:eastAsia="SimSun" w:cs="Lucida Sans"/>
                      <w:kern w:val="3"/>
                      <w:szCs w:val="24"/>
                      <w:lang w:eastAsia="zh-CN" w:bidi="hi-IN"/>
                    </w:rPr>
                    <w:t xml:space="preserve">Respublikinis priklausomybės ligų centras Šiaulių filialas (toliau tekste – RPLC Šiaulių filialas) – Lietuvos nacionalinei sveikatos sistemai priklausanti specializuotų asmens sveikatos priežiūros paslaugų teikimo biudžetinė įstaiga. </w:t>
                  </w:r>
                </w:p>
                <w:p>
                  <w:pPr>
                    <w:widowControl w:val="0"/>
                    <w:tabs>
                      <w:tab w:val="left" w:pos="1134"/>
                    </w:tabs>
                    <w:suppressAutoHyphens/>
                    <w:ind w:firstLine="864"/>
                    <w:jc w:val="both"/>
                    <w:textAlignment w:val="baseline"/>
                    <w:rPr>
                      <w:rFonts w:eastAsia="SimSun" w:cs="Lucida Sans"/>
                      <w:kern w:val="3"/>
                      <w:szCs w:val="24"/>
                      <w:lang w:val="fr-FR" w:eastAsia="zh-CN" w:bidi="hi-IN"/>
                    </w:rPr>
                  </w:pPr>
                  <w:r>
                    <w:rPr>
                      <w:rFonts w:eastAsia="SimSun" w:cs="Lucida Sans"/>
                      <w:kern w:val="3"/>
                      <w:szCs w:val="24"/>
                      <w:lang w:val="fr-FR" w:eastAsia="zh-CN" w:bidi="hi-IN"/>
                    </w:rPr>
                    <w:t>RPLC Šiaulių filialas teikia šias paslaugas:</w:t>
                  </w:r>
                </w:p>
                <w:p>
                  <w:pPr>
                    <w:widowControl w:val="0"/>
                    <w:tabs>
                      <w:tab w:val="left" w:pos="1134"/>
                    </w:tabs>
                    <w:suppressAutoHyphens/>
                    <w:ind w:left="1584" w:hanging="733"/>
                    <w:jc w:val="both"/>
                    <w:textAlignment w:val="baseline"/>
                    <w:rPr>
                      <w:rFonts w:eastAsia="SimSun" w:cs="Lucida Sans"/>
                      <w:kern w:val="3"/>
                      <w:szCs w:val="24"/>
                      <w:lang w:val="fr-FR" w:eastAsia="zh-CN" w:bidi="hi-IN"/>
                    </w:rPr>
                  </w:pPr>
                  <w:r>
                    <w:rPr>
                      <w:rFonts w:ascii="Symbol" w:eastAsia="SimSun" w:hAnsi="Symbol" w:cs="Lucida Sans"/>
                      <w:kern w:val="3"/>
                      <w:szCs w:val="24"/>
                      <w:lang w:val="fr-FR" w:eastAsia="zh-CN" w:bidi="hi-IN"/>
                    </w:rPr>
                    <w:t></w:t>
                    <w:tab/>
                  </w:r>
                  <w:r>
                    <w:rPr>
                      <w:rFonts w:eastAsia="SimSun" w:cs="Lucida Sans"/>
                      <w:kern w:val="3"/>
                      <w:szCs w:val="24"/>
                      <w:lang w:val="fr-FR" w:eastAsia="zh-CN" w:bidi="hi-IN"/>
                    </w:rPr>
                    <w:t>antrines stacionarines sveikatos priežiūros: priklausomybės ligų psichiatrijos II;</w:t>
                  </w:r>
                </w:p>
                <w:p>
                  <w:pPr>
                    <w:widowControl w:val="0"/>
                    <w:tabs>
                      <w:tab w:val="left" w:pos="1134"/>
                    </w:tabs>
                    <w:suppressAutoHyphens/>
                    <w:ind w:left="1584" w:hanging="733"/>
                    <w:jc w:val="both"/>
                    <w:textAlignment w:val="baseline"/>
                    <w:rPr>
                      <w:rFonts w:eastAsia="SimSun" w:cs="Lucida Sans"/>
                      <w:kern w:val="3"/>
                      <w:szCs w:val="24"/>
                      <w:lang w:val="fr-FR" w:eastAsia="zh-CN" w:bidi="hi-IN"/>
                    </w:rPr>
                  </w:pPr>
                  <w:r>
                    <w:rPr>
                      <w:rFonts w:ascii="Symbol" w:eastAsia="SimSun" w:hAnsi="Symbol" w:cs="Lucida Sans"/>
                      <w:kern w:val="3"/>
                      <w:szCs w:val="24"/>
                      <w:lang w:val="fr-FR" w:eastAsia="zh-CN" w:bidi="hi-IN"/>
                    </w:rPr>
                    <w:t></w:t>
                    <w:tab/>
                  </w:r>
                  <w:r>
                    <w:rPr>
                      <w:rFonts w:eastAsia="SimSun" w:cs="Lucida Sans"/>
                      <w:kern w:val="3"/>
                      <w:szCs w:val="24"/>
                      <w:lang w:val="fr-FR" w:eastAsia="zh-CN" w:bidi="hi-IN"/>
                    </w:rPr>
                    <w:t>antrines ambulatorines sveikatos priežiūros: psichiatrijos, priklausomybės ligų psichiatrijos.</w:t>
                  </w:r>
                </w:p>
                <w:p>
                  <w:pPr>
                    <w:widowControl w:val="0"/>
                    <w:tabs>
                      <w:tab w:val="left" w:pos="1134"/>
                    </w:tabs>
                    <w:suppressAutoHyphens/>
                    <w:ind w:firstLine="864"/>
                    <w:jc w:val="both"/>
                    <w:textAlignment w:val="baseline"/>
                    <w:rPr>
                      <w:rFonts w:eastAsia="SimSun" w:cs="Lucida Sans"/>
                      <w:kern w:val="3"/>
                      <w:szCs w:val="24"/>
                      <w:lang w:val="fr-FR" w:eastAsia="zh-CN" w:bidi="hi-IN"/>
                    </w:rPr>
                  </w:pPr>
                  <w:r>
                    <w:rPr>
                      <w:rFonts w:eastAsia="SimSun" w:cs="Lucida Sans"/>
                      <w:kern w:val="3"/>
                      <w:szCs w:val="24"/>
                      <w:lang w:val="fr-FR" w:eastAsia="zh-CN" w:bidi="hi-IN"/>
                    </w:rPr>
                    <w:t>Siekiant naudos visuomenės sveikatinimo srityje, įgyvendinant Respublikinio priklausomybės ligų centro ir RPLC Šiaulių filialo veiklos prioritetus, buvo teikiamos asmens sveikatos priežiūros paslaugos Lietuvos gyventojams, nesaikingai vartojantiems alkoholį, narkotines ir kitas psichiką veikiančias medžiagas, taip pat sergantiems priklausomybės ligomis. 2022 m. buvo intensyvinamas specializuotų paslaugų prieinamumas, ankstyva priklausomybės ligų diagnostika, teikiamos medicininės, psichologinės, socialinės paslaugos sergantiems priklausomybės ligomis bei jų armimiesiems, mažinama jų socialinė atskirtis. Bendradarbiaujant su Šiaulių miesto visuomenės sveikatos biuru, jų patalpose, buvo organizuota nemokamų konsultacijų diena. Jos metu, visi norintys, anonimiškai galėjo konsultuotis su RPLC Šiaulių filialo socialiniais darbuotojais, visuomenės sveikatos specialistu, medicinos psichologu.</w:t>
                  </w:r>
                </w:p>
                <w:p>
                  <w:pPr>
                    <w:widowControl w:val="0"/>
                    <w:tabs>
                      <w:tab w:val="left" w:pos="1134"/>
                    </w:tabs>
                    <w:suppressAutoHyphens/>
                    <w:ind w:firstLine="864"/>
                    <w:jc w:val="both"/>
                    <w:textAlignment w:val="baseline"/>
                    <w:rPr>
                      <w:rFonts w:eastAsia="SimSun" w:cs="Lucida Sans"/>
                      <w:kern w:val="3"/>
                      <w:szCs w:val="24"/>
                      <w:lang w:val="fr-FR" w:eastAsia="zh-CN" w:bidi="hi-IN"/>
                    </w:rPr>
                  </w:pPr>
                  <w:r>
                    <w:rPr>
                      <w:rFonts w:eastAsia="SimSun" w:cs="Lucida Sans"/>
                      <w:kern w:val="3"/>
                      <w:szCs w:val="24"/>
                      <w:lang w:val="fr-FR" w:eastAsia="zh-CN" w:bidi="hi-IN"/>
                    </w:rPr>
                    <w:t xml:space="preserve">Buvo vykdomas bendradarbiavimas su socialinės pagalbos, probacijos, vaiko teisių apsaugos tarnybomis, kitomis medicininėmis, švietimo organizacijomis. </w:t>
                  </w:r>
                </w:p>
                <w:p>
                  <w:pPr>
                    <w:widowControl w:val="0"/>
                    <w:tabs>
                      <w:tab w:val="left" w:pos="1134"/>
                    </w:tabs>
                    <w:suppressAutoHyphens/>
                    <w:ind w:firstLine="864"/>
                    <w:jc w:val="both"/>
                    <w:textAlignment w:val="baseline"/>
                    <w:rPr>
                      <w:rFonts w:eastAsia="SimSun" w:cs="Lucida Sans"/>
                      <w:kern w:val="3"/>
                      <w:szCs w:val="24"/>
                      <w:lang w:val="fr-FR" w:eastAsia="zh-CN" w:bidi="hi-IN"/>
                    </w:rPr>
                  </w:pPr>
                  <w:r>
                    <w:rPr>
                      <w:rFonts w:eastAsia="SimSun" w:cs="Lucida Sans"/>
                      <w:kern w:val="3"/>
                      <w:szCs w:val="24"/>
                      <w:lang w:val="fr-FR" w:eastAsia="zh-CN" w:bidi="hi-IN"/>
                    </w:rPr>
                    <w:t>RPLC Šiaulių filialas vykdo pakaitinio palaikomojo gydymo metadonu programą. Tai asmenų, sergančių priklausomybe nuo opioidų, tęstinis gydymas, skiriant santykinai stabilias opioidinių vaistinių preparatų dozes, siekiant maksimaliai normalizuoti paciento somatinę ir psichikos būseną, skatinti pozityvius elgesio ir socialinės adaptacijos pokyčius. Per 2022 m. programą pradėjo 16 naujų asmenų, 2022 m. gruodžio 31 dienai programoje dalyvavo 14 asmenų.</w:t>
                  </w:r>
                </w:p>
                <w:p>
                  <w:pPr>
                    <w:widowControl w:val="0"/>
                    <w:tabs>
                      <w:tab w:val="left" w:pos="1134"/>
                    </w:tabs>
                    <w:suppressAutoHyphens/>
                    <w:ind w:firstLine="864"/>
                    <w:jc w:val="both"/>
                    <w:textAlignment w:val="baseline"/>
                    <w:rPr>
                      <w:rFonts w:eastAsia="SimSun" w:cs="Lucida Sans"/>
                      <w:kern w:val="3"/>
                      <w:szCs w:val="24"/>
                      <w:lang w:val="fr-FR" w:eastAsia="zh-CN" w:bidi="hi-IN"/>
                    </w:rPr>
                  </w:pPr>
                  <w:r>
                    <w:rPr>
                      <w:rFonts w:eastAsia="SimSun" w:cs="Lucida Sans"/>
                      <w:kern w:val="3"/>
                      <w:szCs w:val="24"/>
                      <w:lang w:val="fr-FR" w:eastAsia="zh-CN" w:bidi="hi-IN"/>
                    </w:rPr>
                    <w:t>Specializuotų asmens sveikatos priežiūros paslaugų teikimo sutartys buvo sudarytos su BĮ Šiaulių rajono savivaldybės administracija, Šiaulių miesto savivaldybės administracija, Akmenės rajono savivaldybės administracija. Taip didinant šių specializuotų asmens sveikatos priežiūros paslaugų prieinamumą tikslinei grupei.</w:t>
                  </w:r>
                </w:p>
                <w:p>
                  <w:pPr>
                    <w:widowControl w:val="0"/>
                    <w:suppressAutoHyphens/>
                    <w:ind w:firstLine="864"/>
                    <w:jc w:val="both"/>
                    <w:textAlignment w:val="baseline"/>
                    <w:rPr>
                      <w:rFonts w:eastAsia="SimSun" w:cs="Lucida Sans"/>
                      <w:kern w:val="3"/>
                      <w:szCs w:val="24"/>
                      <w:lang w:val="fr-FR" w:eastAsia="zh-CN" w:bidi="hi-IN"/>
                    </w:rPr>
                  </w:pPr>
                  <w:r>
                    <w:rPr>
                      <w:rFonts w:eastAsia="SimSun" w:cs="Lucida Sans"/>
                      <w:kern w:val="3"/>
                      <w:szCs w:val="24"/>
                      <w:lang w:val="fr-FR" w:eastAsia="zh-CN" w:bidi="hi-IN"/>
                    </w:rPr>
                    <w:t xml:space="preserve">RPLC Šiaulių filiale per 2022 m. užfiksuotas gydymo epizodų skaičius siekė 1097. </w:t>
                  </w:r>
                </w:p>
                <w:p>
                  <w:pPr>
                    <w:widowControl w:val="0"/>
                    <w:suppressAutoHyphens/>
                    <w:ind w:firstLine="864"/>
                    <w:jc w:val="both"/>
                    <w:textAlignment w:val="baseline"/>
                    <w:rPr>
                      <w:rFonts w:eastAsia="SimSun" w:cs="Lucida Sans"/>
                      <w:kern w:val="3"/>
                      <w:szCs w:val="24"/>
                      <w:lang w:val="fr-FR" w:eastAsia="zh-CN" w:bidi="hi-IN"/>
                    </w:rPr>
                  </w:pPr>
                  <w:r>
                    <w:rPr>
                      <w:rFonts w:eastAsia="SimSun" w:cs="Lucida Sans"/>
                      <w:kern w:val="3"/>
                      <w:szCs w:val="24"/>
                      <w:lang w:val="fr-FR" w:eastAsia="zh-CN" w:bidi="hi-IN"/>
                    </w:rPr>
                    <w:t>Iš 1097 ambulatoriškai konsultuotų asmenų, į stacionarą paguldyta 712 pacientų. Alkoholinės ir narkotinės abstinencijos sindromo simptomų gydymo ir potraukio slopinimo paslaugą gavo 543 asmenys (iš stacionare gydytų 712 asmenų). Motyvacinės terapijos paslauga buvo suteikta 169 – iems asmenims (iš 712). Lovadienių skaičius siekė 6849.</w:t>
                  </w:r>
                </w:p>
                <w:p>
                  <w:pPr>
                    <w:widowControl w:val="0"/>
                    <w:suppressAutoHyphens/>
                    <w:ind w:firstLine="864"/>
                    <w:jc w:val="both"/>
                    <w:textAlignment w:val="baseline"/>
                    <w:rPr>
                      <w:rFonts w:eastAsia="SimSun" w:cs="Lucida Sans"/>
                      <w:kern w:val="3"/>
                      <w:szCs w:val="24"/>
                      <w:lang w:val="en-GB" w:eastAsia="zh-CN" w:bidi="hi-IN"/>
                    </w:rPr>
                  </w:pPr>
                  <w:r>
                    <w:rPr>
                      <w:rFonts w:eastAsia="SimSun" w:cs="Lucida Sans"/>
                      <w:kern w:val="3"/>
                      <w:szCs w:val="24"/>
                      <w:lang w:val="fr-FR" w:eastAsia="zh-CN" w:bidi="hi-IN"/>
                    </w:rPr>
                    <w:t xml:space="preserve">RPLC Šiaulių filialas teikia anonimines specializuotas asmens sveikatos priežiūros paslaugas. </w:t>
                  </w:r>
                  <w:r>
                    <w:rPr>
                      <w:rFonts w:eastAsia="SimSun" w:cs="Lucida Sans"/>
                      <w:kern w:val="3"/>
                      <w:szCs w:val="24"/>
                      <w:lang w:val="en-GB" w:eastAsia="zh-CN" w:bidi="hi-IN"/>
                    </w:rPr>
                    <w:t>Per 2022 metus šia galimybe pasinaudojo 263 asmenys.</w:t>
                  </w:r>
                </w:p>
                <w:p>
                  <w:pPr>
                    <w:widowControl w:val="0"/>
                    <w:suppressAutoHyphens/>
                    <w:ind w:firstLine="864"/>
                    <w:jc w:val="both"/>
                    <w:rPr>
                      <w:bCs/>
                      <w:color w:val="000000"/>
                      <w:szCs w:val="24"/>
                      <w:lang w:eastAsia="lt-LT"/>
                    </w:rPr>
                  </w:pPr>
                </w:p>
              </w:sdtContent>
            </w:sdt>
            <w:sdt>
              <w:sdtPr>
                <w:alias w:val="2 p."/>
                <w:tag w:val="part_a3160a482a3c465dade6ccbb0b1c2364"/>
                <w:lock w:val="sdtLocked"/>
                <w:richText/>
              </w:sdtPr>
              <w:sdtContent>
                <w:p>
                  <w:pPr>
                    <w:tabs>
                      <w:tab w:val="left" w:pos="0"/>
                    </w:tabs>
                    <w:suppressAutoHyphens/>
                    <w:ind w:firstLine="864"/>
                    <w:jc w:val="center"/>
                    <w:rPr>
                      <w:rFonts w:ascii="Calibri" w:eastAsia="Calibri" w:hAnsi="Calibri"/>
                      <w:sz w:val="22"/>
                      <w:szCs w:val="22"/>
                      <w:lang w:eastAsia="zh-CN"/>
                    </w:rPr>
                  </w:pPr>
                  <w:sdt>
                    <w:sdtPr>
                      <w:alias w:val="Numeris"/>
                      <w:tag w:val="nr_a3160a482a3c465dade6ccbb0b1c2364"/>
                      <w:lock w:val="sdtLocked"/>
                      <w:richText/>
                    </w:sdtPr>
                    <w:sdtContent>
                      <w:r>
                        <w:rPr>
                          <w:rFonts w:eastAsia="Calibri"/>
                          <w:b/>
                          <w:szCs w:val="24"/>
                          <w:lang w:eastAsia="zh-CN"/>
                        </w:rPr>
                        <w:t>2</w:t>
                      </w:r>
                    </w:sdtContent>
                  </w:sdt>
                  <w:r>
                    <w:rPr>
                      <w:rFonts w:eastAsia="Calibri"/>
                      <w:b/>
                      <w:szCs w:val="24"/>
                      <w:lang w:eastAsia="zh-CN"/>
                    </w:rPr>
                    <w:t>.</w:t>
                    <w:tab/>
                  </w:r>
                  <w:r>
                    <w:rPr>
                      <w:b/>
                      <w:color w:val="000000"/>
                      <w:szCs w:val="24"/>
                      <w:shd w:val="clear" w:color="auto" w:fill="FFFFFF"/>
                      <w:lang w:eastAsia="zh-CN"/>
                    </w:rPr>
                    <w:t xml:space="preserve"> </w:t>
                  </w:r>
                  <w:r>
                    <w:rPr>
                      <w:rFonts w:eastAsia="Calibri"/>
                      <w:b/>
                      <w:color w:val="000000"/>
                      <w:szCs w:val="24"/>
                      <w:shd w:val="clear" w:color="auto" w:fill="FFFFFF"/>
                      <w:lang w:eastAsia="zh-CN"/>
                    </w:rPr>
                    <w:t>Šiaulių centro poliklinikos Psichikos sveikatos centras</w:t>
                  </w:r>
                </w:p>
                <w:p>
                  <w:pPr>
                    <w:suppressAutoHyphens/>
                    <w:ind w:firstLine="288"/>
                    <w:jc w:val="center"/>
                    <w:rPr>
                      <w:rFonts w:eastAsia="Calibri"/>
                      <w:b/>
                      <w:color w:val="000000"/>
                      <w:szCs w:val="24"/>
                      <w:shd w:val="clear" w:color="auto" w:fill="FFFFFF"/>
                      <w:lang w:eastAsia="zh-CN"/>
                    </w:rPr>
                  </w:pPr>
                </w:p>
                <w:p>
                  <w:pPr>
                    <w:keepNext/>
                    <w:ind w:firstLine="682"/>
                    <w:jc w:val="both"/>
                    <w:rPr>
                      <w:szCs w:val="24"/>
                    </w:rPr>
                  </w:pPr>
                  <w:r>
                    <w:rPr>
                      <w:szCs w:val="24"/>
                    </w:rPr>
                    <w:t xml:space="preserve">Užtikrindama psichikos sveikatos priežiūros paslaugų prieinamumą ir kokybę, VšĮ Šiaulių centro poliklinika teikė medicinines, socialines ir psichologines psichikos sveikatos priežiūros paslaugas psichoaktyvias medžiagas (toliau – PAM) vartojantiems asmenims. 2022 m. priklausomybės ligų įskaitoje buvo 82 nuo narkotinių  medžiagų ir 837 nuo alkoholio priklausomi asmenys. Gydymo paslaugas gavo 30 nuo narkotinių medžiagų ir 631 nuo alkoholio priklausomi asmenys.</w:t>
                  </w:r>
                </w:p>
                <w:p>
                  <w:pPr>
                    <w:keepNext/>
                    <w:ind w:firstLine="744"/>
                    <w:jc w:val="both"/>
                    <w:rPr>
                      <w:szCs w:val="24"/>
                    </w:rPr>
                  </w:pPr>
                  <w:r>
                    <w:rPr>
                      <w:szCs w:val="24"/>
                    </w:rPr>
                    <w:t xml:space="preserve">Buvo atlikta 11 PAM  greito nustatymo testai paaugliams bei apmokyta 16 tėvų atlikti šiuos testus savarankiškai. Suteiktos 27 anoniminės konsultacijos su PAM vartojimu susijusiais klausimais į psichikos sveikatos centrą besikreipusiems asmenims. </w:t>
                  </w:r>
                </w:p>
                <w:p>
                  <w:pPr>
                    <w:keepNext/>
                    <w:ind w:firstLine="620"/>
                    <w:jc w:val="both"/>
                    <w:rPr>
                      <w:szCs w:val="24"/>
                    </w:rPr>
                  </w:pPr>
                  <w:r>
                    <w:rPr>
                      <w:szCs w:val="24"/>
                    </w:rPr>
                    <w:t>Tęstas su smurtinio elgesio mažinimu susijęs projektas, skirtas asmenims, kurie (dažniausiai apsvaigę nuo alkoholio ir kitų PAM ) naudojo smurtą artimoje aplinkoje: „Smurtinių nusikaltimų prevencijos vykdymas per smurtinį elgesį keičiančių programų taikymą socialinės rizikos ir socialinės atskirties asmenims“, skirtas Šiaulių miesto gyventojams (dalyvavo 14 asmenų). Kiekvienam klientui buvo suteikta po 6 medicinos psichologo konsultacijas, skirtas atpažinti, suvokti, valdyti smurtinį elgesį ir jį provokuojančias priežastis.</w:t>
                  </w:r>
                </w:p>
                <w:p>
                  <w:pPr>
                    <w:keepNext/>
                    <w:ind w:firstLine="620"/>
                    <w:jc w:val="both"/>
                    <w:rPr>
                      <w:szCs w:val="24"/>
                    </w:rPr>
                  </w:pPr>
                  <w:r>
                    <w:rPr>
                      <w:szCs w:val="24"/>
                    </w:rPr>
                    <w:t xml:space="preserve">Vykdydami PAM vartojimo prevenciją, poliklinikos specialistai teikė informaciją bendruomenei. Buvo konsultuojami ir informuojami PAM vartojimo bei žalos mažinimo klausimais Žemo slenksčio kabineto paslaugų gavėjai. Psichikos dienos stacionare pacientams skaitytos 2 paskaitos apie PAM žalą sveikatai. </w:t>
                  </w:r>
                </w:p>
                <w:p>
                  <w:pPr>
                    <w:keepNext/>
                    <w:ind w:firstLine="682"/>
                    <w:jc w:val="both"/>
                    <w:rPr>
                      <w:szCs w:val="24"/>
                    </w:rPr>
                  </w:pPr>
                  <w:r>
                    <w:rPr>
                      <w:szCs w:val="24"/>
                    </w:rPr>
                    <w:t xml:space="preserve">5 vairuotojai, netekę teisių dėl vairavimo apsvaigus,  Psichikos sveikatos centre išklausė gydytojo psichiatro vedamas privalomojo mokymo paskaitas apie alkoholio ir psichotropinių bei kitų psichiką veikiančių medžiagų vartojimo poveikį sveikatai bei vairavimo saugumui. </w:t>
                  </w:r>
                </w:p>
                <w:p>
                  <w:pPr>
                    <w:keepNext/>
                    <w:ind w:firstLine="682"/>
                    <w:jc w:val="both"/>
                    <w:rPr>
                      <w:szCs w:val="24"/>
                    </w:rPr>
                  </w:pPr>
                  <w:r>
                    <w:rPr>
                      <w:szCs w:val="24"/>
                    </w:rPr>
                    <w:t xml:space="preserve">VšĮ Šiaulių centro poliklinikoje veikia Žemo slenksčio kabinetas, teikiantis anonimines paslaugas švirkščiamųjų narkotikų vartotojams. 2020 m. pradėtas  ir 2021 m. bei 2022 m. tęstas trejų metų trukmės iš Europos sąjungos struktūrinių fondų lėšų bendrai finansuojamas projektas „Priklausomybės ligų profilaktikos, diagnostikos ir gydymo kokybės ir prieinamumo gerinimas Šiaulių mieste“. Paslaugas žemo slenksčio kabinete gavo 163 klientai, iš jų 4  -  nauji paslaugų gavėjai. Iš viso užfiksuota  890 apsilankymų.</w:t>
                  </w:r>
                  <w:r>
                    <w:rPr>
                      <w:b/>
                      <w:szCs w:val="24"/>
                    </w:rPr>
                    <w:t xml:space="preserve"> </w:t>
                  </w:r>
                  <w:r>
                    <w:rPr>
                      <w:szCs w:val="24"/>
                    </w:rPr>
                    <w:t xml:space="preserve">Skaityta 18 paskaitų, kuriose dalyvavo po 43 klientai, išdalinta 330 informacinių  lankstinukų. Išdalinta 4868 švirkštai bei 1791 adata be švirkštų, surinkta  2620 švirkštų bei 2386 adatos  be švirkštų.  Atlikti  greitieji  ŽIV (81), hepatito B (106)  ir hepatito C (59) testai bei 91 greitasis sifilio nustatymo testas. Žemo slenksčio paslaugos užtikrina galimybę  gauti sveikatos priežiūros, informavimo, konsultavimo paslaugas socialiai nedraustiems, prie gydymo įstaigų neprisirašiusiems asmenims, tuo didinant tokių paslaugų prieinamumą ir mažinant asmenų socialinę atskirtį (tokių  gydytojo psichiatro, medicinos psichologo, socialinio darbuotojo ar kt. specialistų paslaugų suteikta 6). </w:t>
                  </w:r>
                </w:p>
                <w:p>
                  <w:pPr>
                    <w:tabs>
                      <w:tab w:val="left" w:pos="1478"/>
                    </w:tabs>
                    <w:suppressAutoHyphens/>
                    <w:ind w:firstLine="864"/>
                    <w:jc w:val="both"/>
                    <w:textAlignment w:val="baseline"/>
                    <w:rPr>
                      <w:rFonts w:eastAsia="Calibri"/>
                      <w:kern w:val="1"/>
                      <w:szCs w:val="24"/>
                    </w:rPr>
                  </w:pPr>
                </w:p>
              </w:sdtContent>
            </w:sdt>
          </w:sdtContent>
        </w:sdt>
        <w:sdt>
          <w:sdtPr>
            <w:alias w:val="skyrius"/>
            <w:tag w:val="part_13de55a429754cd0baac5f5433c1b586"/>
            <w:lock w:val="sdtLocked"/>
            <w:richText/>
          </w:sdtPr>
          <w:sdtContent>
            <w:p>
              <w:pPr>
                <w:tabs>
                  <w:tab w:val="left" w:pos="1478"/>
                </w:tabs>
                <w:suppressAutoHyphens/>
                <w:ind w:firstLine="864"/>
                <w:jc w:val="center"/>
                <w:rPr>
                  <w:rFonts w:ascii="Calibri" w:eastAsia="Calibri" w:hAnsi="Calibri"/>
                  <w:sz w:val="22"/>
                  <w:szCs w:val="22"/>
                  <w:lang w:eastAsia="zh-CN"/>
                </w:rPr>
              </w:pPr>
              <w:r>
                <w:rPr>
                  <w:rFonts w:eastAsia="Calibri"/>
                  <w:b/>
                  <w:szCs w:val="24"/>
                  <w:lang w:eastAsia="zh-CN"/>
                </w:rPr>
                <w:t>4. Šiaulių miesto savivaldybės administracijos Sveikatos skyrius</w:t>
              </w:r>
            </w:p>
            <w:p>
              <w:pPr>
                <w:tabs>
                  <w:tab w:val="left" w:pos="1478"/>
                </w:tabs>
                <w:suppressAutoHyphens/>
                <w:ind w:firstLine="864"/>
                <w:jc w:val="center"/>
                <w:rPr>
                  <w:rFonts w:eastAsia="Calibri"/>
                  <w:b/>
                  <w:szCs w:val="24"/>
                  <w:lang w:eastAsia="zh-CN"/>
                </w:rPr>
              </w:pPr>
            </w:p>
            <w:p>
              <w:pPr>
                <w:ind w:firstLine="864"/>
                <w:jc w:val="both"/>
                <w:rPr>
                  <w:rFonts w:eastAsia="Calibri"/>
                  <w:szCs w:val="24"/>
                  <w:lang w:eastAsia="zh-CN"/>
                </w:rPr>
              </w:pPr>
              <w:r>
                <w:rPr>
                  <w:rFonts w:eastAsia="Calibri"/>
                  <w:szCs w:val="24"/>
                  <w:lang w:eastAsia="zh-CN"/>
                </w:rPr>
                <w:t xml:space="preserve">2022 metais įgyvendinti 2 sveikatinimo projektai iš Šiaulių miesto savivaldybės visuomenės sveikatos rėmimo specialiosios programos lėšų pagal prioritetą „Psichoaktyviųjų medžiagų vartojimo prevencija“.                                                                                                                                                   </w:t>
              </w:r>
            </w:p>
            <w:p>
              <w:pPr>
                <w:ind w:firstLine="864"/>
                <w:jc w:val="both"/>
                <w:rPr>
                  <w:rFonts w:eastAsia="Calibri"/>
                  <w:szCs w:val="24"/>
                  <w:lang w:eastAsia="zh-CN"/>
                </w:rPr>
              </w:pPr>
              <w:r>
                <w:rPr>
                  <w:rFonts w:eastAsia="Calibri"/>
                  <w:szCs w:val="24"/>
                  <w:lang w:eastAsia="zh-CN"/>
                </w:rPr>
                <w:t>Įgyvendinant projektą „Aš galiu tai pakeisti" buvo vykdomos prevencinės psichoaktyvių medžiagų vartojimo veiklos jaunimui. Projekto dalyviai buvo informuojami apie narkotinių medžiagų žalą, ugdomi teigiami gyvenimo įgūdžiai, pozityvios vertybinės nuostatos bei gebėjimai, stiprinantys atsparumą psichiką veikiančių medžiagų vartojimui. Buvo surengti du informaciniai seminarai, kuriuose dalyvavo policijos pareigūnai bei visuomenės sveikatos biuro darbuotojai. Į veiklas įsitraukė ir dramos terapijos specialistai bei tarp jaunimo autoritetą turintys nuomonės formuotojai. Vykdant projektą šia tema taip pat buvo sukurta socialinė reklama, kuri pasklis po visą miesto bendruomenę ir primins apie šios problemos aktualumą. Projekto veiklose dalyvavo apie 40 dalyvių.</w:t>
              </w:r>
            </w:p>
            <w:p>
              <w:pPr>
                <w:ind w:firstLine="864"/>
                <w:jc w:val="both"/>
                <w:rPr>
                  <w:rFonts w:eastAsia="Calibri"/>
                  <w:szCs w:val="24"/>
                  <w:lang w:eastAsia="zh-CN"/>
                </w:rPr>
              </w:pPr>
              <w:r>
                <w:rPr>
                  <w:rFonts w:eastAsia="Calibri"/>
                  <w:szCs w:val="24"/>
                  <w:lang w:eastAsia="zh-CN"/>
                </w:rPr>
                <w:t>Įgyvendintas sveikatinimo projektas „Gyvenkime sveikai šeimų bendruomenėje“, kuriuo buvo siekiama formuoti neigiamą požiūrį į psichoaktyvių medžiagų vartojimą, diegti sveiko maitinimosi įpročius, skatinti fizinį aktyvumą. Psichoaktyvių medžiagų vartojimo prevencijos veiklose dalyvavo apie 67 dalyviai.</w:t>
              </w:r>
            </w:p>
            <w:p>
              <w:pPr>
                <w:ind w:firstLine="864"/>
                <w:jc w:val="both"/>
                <w:rPr>
                  <w:rFonts w:eastAsia="Calibri"/>
                  <w:szCs w:val="24"/>
                </w:rPr>
              </w:pPr>
            </w:p>
            <w:p>
              <w:pPr>
                <w:ind w:firstLine="864"/>
                <w:jc w:val="both"/>
                <w:rPr>
                  <w:rFonts w:eastAsia="Calibri"/>
                  <w:szCs w:val="24"/>
                </w:rPr>
              </w:pPr>
            </w:p>
            <w:sdt>
              <w:sdtPr>
                <w:alias w:val="5 p."/>
                <w:tag w:val="part_cf8606769a7d4e6a98f39d6cf2a66263"/>
                <w:lock w:val="sdtLocked"/>
                <w:richText/>
              </w:sdtPr>
              <w:sdtContent>
                <w:p>
                  <w:pPr>
                    <w:suppressAutoHyphens/>
                    <w:ind w:firstLine="864"/>
                    <w:jc w:val="center"/>
                    <w:rPr>
                      <w:rFonts w:ascii="Calibri" w:eastAsia="Calibri" w:hAnsi="Calibri"/>
                      <w:sz w:val="22"/>
                      <w:szCs w:val="22"/>
                      <w:lang w:eastAsia="zh-CN"/>
                    </w:rPr>
                  </w:pPr>
                  <w:sdt>
                    <w:sdtPr>
                      <w:alias w:val="Numeris"/>
                      <w:tag w:val="nr_cf8606769a7d4e6a98f39d6cf2a66263"/>
                      <w:lock w:val="sdtLocked"/>
                      <w:richText/>
                    </w:sdtPr>
                    <w:sdtContent>
                      <w:r>
                        <w:rPr>
                          <w:rFonts w:eastAsia="Calibri"/>
                          <w:b/>
                          <w:szCs w:val="24"/>
                          <w:lang w:eastAsia="zh-CN"/>
                        </w:rPr>
                        <w:t>5</w:t>
                      </w:r>
                    </w:sdtContent>
                  </w:sdt>
                  <w:r>
                    <w:rPr>
                      <w:rFonts w:eastAsia="Calibri"/>
                      <w:b/>
                      <w:szCs w:val="24"/>
                      <w:lang w:eastAsia="zh-CN"/>
                    </w:rPr>
                    <w:t>. Šiaulių miesto pedagoginė psichologinė tarnyba</w:t>
                  </w:r>
                </w:p>
                <w:p>
                  <w:pPr>
                    <w:rPr>
                      <w:sz w:val="14"/>
                      <w:szCs w:val="14"/>
                    </w:rPr>
                  </w:pPr>
                </w:p>
                <w:p>
                  <w:pPr>
                    <w:jc w:val="both"/>
                    <w:rPr>
                      <w:rFonts w:eastAsia="Calibri"/>
                      <w:szCs w:val="24"/>
                    </w:rPr>
                  </w:pPr>
                </w:p>
                <w:p>
                  <w:pPr>
                    <w:ind w:firstLine="794"/>
                    <w:jc w:val="both"/>
                    <w:rPr>
                      <w:szCs w:val="24"/>
                    </w:rPr>
                  </w:pPr>
                  <w:r>
                    <w:rPr>
                      <w:szCs w:val="24"/>
                    </w:rPr>
                    <w:t xml:space="preserve">Šiaulių miesto pedagoginės psichologinės tarnybos socialinė pedagogė teikė metodinę pagalbą miesto mokyklų socialiniams pedagogams, atvejo vadybininkams, globos koordinatoriams  teikiant individualią pagalbą vaikams, vartojantiems, eksperimentuojantiems  psichoaktyviomis medžiagomis – dėl 5 vaikų situacijos suteiktos 8 konsultacijos specialistams ir suorganizuotos 2 tarpinstitucinės atvejo analizės grupės. </w:t>
                  </w:r>
                </w:p>
                <w:p>
                  <w:pPr>
                    <w:ind w:firstLine="794"/>
                    <w:jc w:val="both"/>
                    <w:rPr>
                      <w:szCs w:val="24"/>
                    </w:rPr>
                  </w:pPr>
                  <w:r>
                    <w:rPr>
                      <w:szCs w:val="24"/>
                    </w:rPr>
                    <w:t>Pedagoginės psichologinės tarnybos užimtumo grupės vaikams buvo organizuotos šios veiklos:</w:t>
                  </w:r>
                </w:p>
                <w:p>
                  <w:pPr>
                    <w:ind w:left="720" w:firstLine="130"/>
                    <w:jc w:val="both"/>
                    <w:rPr>
                      <w:rFonts w:eastAsia="Calibri"/>
                      <w:szCs w:val="24"/>
                    </w:rPr>
                  </w:pPr>
                  <w:r>
                    <w:rPr>
                      <w:rFonts w:ascii="Symbol" w:eastAsia="Calibri" w:hAnsi="Symbol"/>
                      <w:szCs w:val="24"/>
                    </w:rPr>
                    <w:t></w:t>
                    <w:tab/>
                  </w:r>
                  <w:r>
                    <w:rPr>
                      <w:rFonts w:eastAsia="Calibri"/>
                      <w:szCs w:val="24"/>
                    </w:rPr>
                    <w:t>Prevencinė popietė „Tarptautinė kovos su narkomanija diena“. Filmo „Benas grįžo į namus“ peržiūra, diskusija.</w:t>
                  </w:r>
                </w:p>
                <w:p>
                  <w:pPr>
                    <w:ind w:left="720" w:firstLine="130"/>
                    <w:jc w:val="both"/>
                    <w:rPr>
                      <w:rFonts w:eastAsia="Calibri"/>
                      <w:color w:val="000000"/>
                      <w:szCs w:val="24"/>
                      <w:lang w:val="en-US"/>
                    </w:rPr>
                  </w:pPr>
                  <w:r>
                    <w:rPr>
                      <w:rFonts w:ascii="Symbol" w:eastAsia="Calibri" w:hAnsi="Symbol"/>
                      <w:color w:val="000000"/>
                      <w:szCs w:val="24"/>
                      <w:lang w:val="en-US"/>
                    </w:rPr>
                    <w:t></w:t>
                    <w:tab/>
                  </w:r>
                  <w:r>
                    <w:rPr>
                      <w:rFonts w:eastAsia="Calibri"/>
                      <w:szCs w:val="24"/>
                    </w:rPr>
                    <w:t xml:space="preserve">Prevencinė popietė </w:t>
                  </w:r>
                  <w:r>
                    <w:rPr>
                      <w:rFonts w:eastAsia="Calibri"/>
                      <w:color w:val="000000"/>
                      <w:szCs w:val="24"/>
                    </w:rPr>
                    <w:t xml:space="preserve">Pasaulinės AIDS dienos paminėjimas. </w:t>
                  </w:r>
                  <w:r>
                    <w:rPr>
                      <w:rFonts w:eastAsia="Calibri"/>
                      <w:color w:val="000000"/>
                      <w:szCs w:val="24"/>
                      <w:lang w:val="en-US"/>
                    </w:rPr>
                    <w:t>Protmūšis, plakatų gamyba, paroda.</w:t>
                  </w:r>
                </w:p>
                <w:p>
                  <w:pPr>
                    <w:ind w:left="720" w:firstLine="130"/>
                    <w:jc w:val="both"/>
                    <w:rPr>
                      <w:rFonts w:eastAsia="Calibri"/>
                      <w:szCs w:val="24"/>
                      <w:lang w:val="en-US"/>
                    </w:rPr>
                  </w:pPr>
                  <w:r>
                    <w:rPr>
                      <w:rFonts w:ascii="Symbol" w:eastAsia="Calibri" w:hAnsi="Symbol"/>
                      <w:szCs w:val="24"/>
                      <w:lang w:val="en-US"/>
                    </w:rPr>
                    <w:t></w:t>
                    <w:tab/>
                  </w:r>
                  <w:r>
                    <w:rPr>
                      <w:rFonts w:eastAsia="Calibri"/>
                      <w:color w:val="000000"/>
                      <w:szCs w:val="24"/>
                      <w:lang w:val="en-US"/>
                    </w:rPr>
                    <w:t>Prevencinis renginys „</w:t>
                  </w:r>
                  <w:r>
                    <w:rPr>
                      <w:rFonts w:eastAsia="Calibri"/>
                      <w:szCs w:val="24"/>
                      <w:lang w:val="en-US"/>
                    </w:rPr>
                    <w:t>Pasaulinė diena be tabako“. Kūrybinės dirbtuvėlės. Sportinis žaidimas “Pūsk muilo burbulus, o ne cigarečių dūmus”.</w:t>
                  </w:r>
                </w:p>
                <w:p>
                  <w:pPr>
                    <w:ind w:left="720" w:firstLine="130"/>
                    <w:jc w:val="both"/>
                    <w:rPr>
                      <w:rFonts w:eastAsia="Calibri"/>
                      <w:szCs w:val="24"/>
                      <w:lang w:val="en-US"/>
                    </w:rPr>
                  </w:pPr>
                  <w:r>
                    <w:rPr>
                      <w:rFonts w:ascii="Symbol" w:eastAsia="Calibri" w:hAnsi="Symbol"/>
                      <w:szCs w:val="24"/>
                      <w:lang w:val="en-US"/>
                    </w:rPr>
                    <w:t></w:t>
                    <w:tab/>
                  </w:r>
                  <w:r>
                    <w:rPr>
                      <w:rFonts w:eastAsia="Calibri"/>
                      <w:szCs w:val="24"/>
                      <w:lang w:val="en-US"/>
                    </w:rPr>
                    <w:t>Atvejo analizė dėl antros klasės mokinio rūkymo kartu su vyresniais broliais.</w:t>
                  </w:r>
                </w:p>
                <w:p>
                  <w:pPr>
                    <w:ind w:left="720" w:firstLine="130"/>
                    <w:jc w:val="both"/>
                    <w:rPr>
                      <w:rFonts w:eastAsia="Calibri"/>
                      <w:szCs w:val="24"/>
                      <w:lang w:val="fr-FR"/>
                    </w:rPr>
                  </w:pPr>
                  <w:r>
                    <w:rPr>
                      <w:rFonts w:ascii="Symbol" w:eastAsia="Calibri" w:hAnsi="Symbol"/>
                      <w:szCs w:val="24"/>
                      <w:lang w:val="fr-FR"/>
                    </w:rPr>
                    <w:t></w:t>
                    <w:tab/>
                  </w:r>
                  <w:r>
                    <w:rPr>
                      <w:rFonts w:eastAsia="Calibri"/>
                      <w:szCs w:val="24"/>
                      <w:lang w:val="fr-FR"/>
                    </w:rPr>
                    <w:t>Pravesti 2 grupiniai užsiėmimai priklausomybių tema.</w:t>
                  </w:r>
                </w:p>
                <w:p>
                  <w:pPr>
                    <w:ind w:left="720" w:firstLine="130"/>
                    <w:jc w:val="both"/>
                    <w:rPr>
                      <w:rFonts w:eastAsia="Calibri"/>
                      <w:szCs w:val="24"/>
                      <w:lang w:val="en-US"/>
                    </w:rPr>
                  </w:pPr>
                  <w:r>
                    <w:rPr>
                      <w:rFonts w:ascii="Symbol" w:eastAsia="Calibri" w:hAnsi="Symbol"/>
                      <w:szCs w:val="24"/>
                      <w:lang w:val="en-US"/>
                    </w:rPr>
                    <w:t></w:t>
                    <w:tab/>
                  </w:r>
                  <w:r>
                    <w:rPr>
                      <w:rFonts w:eastAsia="Calibri"/>
                      <w:szCs w:val="24"/>
                      <w:lang w:val="en-US"/>
                    </w:rPr>
                    <w:t xml:space="preserve">21 individuali konsultacija 6 vaikams </w:t>
                  </w:r>
                  <w:r>
                    <w:rPr>
                      <w:rFonts w:eastAsia="Calibri"/>
                      <w:szCs w:val="24"/>
                    </w:rPr>
                    <w:t>(problema – elektroninių cigarečių rūkymas).</w:t>
                  </w:r>
                </w:p>
                <w:p>
                  <w:pPr>
                    <w:ind w:left="720" w:firstLine="130"/>
                    <w:jc w:val="both"/>
                    <w:rPr>
                      <w:rFonts w:eastAsia="Calibri"/>
                      <w:szCs w:val="24"/>
                      <w:lang w:val="en-US"/>
                    </w:rPr>
                  </w:pPr>
                  <w:r>
                    <w:rPr>
                      <w:rFonts w:ascii="Symbol" w:eastAsia="Calibri" w:hAnsi="Symbol"/>
                      <w:szCs w:val="24"/>
                      <w:lang w:val="en-US"/>
                    </w:rPr>
                    <w:t></w:t>
                    <w:tab/>
                  </w:r>
                  <w:r>
                    <w:rPr>
                      <w:rFonts w:eastAsia="Calibri"/>
                      <w:szCs w:val="24"/>
                      <w:lang w:val="en-US"/>
                    </w:rPr>
                    <w:t xml:space="preserve">8 </w:t>
                  </w:r>
                  <w:r>
                    <w:rPr>
                      <w:rFonts w:eastAsia="Calibri"/>
                      <w:szCs w:val="24"/>
                    </w:rPr>
                    <w:t>individualios konsultacijos 4 – ių vaikų tėvams (problema – vaikų elektroninių cigarečių rūkymas).</w:t>
                  </w:r>
                </w:p>
                <w:p>
                  <w:pPr>
                    <w:suppressAutoHyphens/>
                    <w:ind w:firstLine="864"/>
                    <w:jc w:val="both"/>
                    <w:rPr>
                      <w:rFonts w:eastAsia="Calibri"/>
                      <w:b/>
                      <w:bCs/>
                      <w:szCs w:val="24"/>
                      <w:lang w:val="en-US" w:eastAsia="zh-CN"/>
                    </w:rPr>
                  </w:pPr>
                </w:p>
              </w:sdtContent>
            </w:sdt>
          </w:sdtContent>
        </w:sdt>
        <w:sdt>
          <w:sdtPr>
            <w:alias w:val="skyrius"/>
            <w:tag w:val="part_ba2e985b27944596a9e53601563b6b1a"/>
            <w:lock w:val="sdtLocked"/>
            <w:richText/>
          </w:sdtPr>
          <w:sdtContent>
            <w:p>
              <w:pPr>
                <w:suppressAutoHyphens/>
                <w:ind w:firstLine="864"/>
                <w:jc w:val="center"/>
                <w:rPr>
                  <w:rFonts w:ascii="Calibri" w:eastAsia="Calibri" w:hAnsi="Calibri"/>
                  <w:sz w:val="22"/>
                  <w:szCs w:val="22"/>
                  <w:lang w:eastAsia="zh-CN"/>
                </w:rPr>
              </w:pPr>
              <w:r>
                <w:rPr>
                  <w:rFonts w:eastAsia="Calibri"/>
                  <w:b/>
                  <w:bCs/>
                  <w:szCs w:val="24"/>
                  <w:lang w:eastAsia="zh-CN"/>
                </w:rPr>
                <w:t>6. Lietuvos probacijos tarnybos Šiaulių regiono skyrius</w:t>
              </w:r>
            </w:p>
            <w:p>
              <w:pPr>
                <w:suppressAutoHyphens/>
                <w:ind w:firstLine="864"/>
                <w:jc w:val="center"/>
                <w:rPr>
                  <w:rFonts w:eastAsia="Calibri"/>
                  <w:b/>
                  <w:bCs/>
                  <w:szCs w:val="24"/>
                  <w:lang w:eastAsia="zh-CN"/>
                </w:rPr>
              </w:pPr>
            </w:p>
            <w:p>
              <w:pPr>
                <w:ind w:firstLine="794"/>
                <w:jc w:val="both"/>
                <w:rPr>
                  <w:rFonts w:eastAsia="Calibri"/>
                  <w:szCs w:val="24"/>
                </w:rPr>
              </w:pPr>
              <w:r>
                <w:rPr>
                  <w:rFonts w:eastAsia="Calibri"/>
                  <w:szCs w:val="24"/>
                </w:rPr>
                <w:t xml:space="preserve">Lietuvos probacijos tarnybos Šiaulių regiono skyrius, siekiant mažinti  priežiūroje esančių asmenų priklausomybes psichiką veikiančioms medžiagoms ir skatindami jų užimtumą, 2022 m. organizavo ir vykdė šias priemones:</w:t>
              </w:r>
            </w:p>
            <w:p>
              <w:pPr>
                <w:ind w:firstLine="794"/>
                <w:jc w:val="both"/>
                <w:rPr>
                  <w:rFonts w:eastAsia="Calibri"/>
                  <w:szCs w:val="24"/>
                </w:rPr>
              </w:pPr>
              <w:r>
                <w:rPr>
                  <w:rFonts w:eastAsia="Calibri"/>
                  <w:szCs w:val="24"/>
                </w:rPr>
                <w:t>2022-03-23 Šiaulių probacijos skyriuje įvyko psichoedukacinis užsiėmimas „Psichoaktyvių medžiagų vartojimo pasekmės sveikatai“, kurį vedė įstaigos psichologė;</w:t>
              </w:r>
            </w:p>
            <w:p>
              <w:pPr>
                <w:ind w:firstLine="794"/>
                <w:jc w:val="both"/>
                <w:rPr>
                  <w:rFonts w:eastAsia="Calibri"/>
                  <w:szCs w:val="24"/>
                </w:rPr>
              </w:pPr>
              <w:r>
                <w:rPr>
                  <w:rFonts w:eastAsia="Calibri"/>
                  <w:szCs w:val="24"/>
                </w:rPr>
                <w:t>2022-05-12 Šiaulių regiono skyriuje suorganizuotas susitikimas su Šiaulių miesto savivaldybės Visuomenės sveikatos biuro priklausomybės ligų specialiste;</w:t>
              </w:r>
            </w:p>
            <w:p>
              <w:pPr>
                <w:ind w:firstLine="794"/>
                <w:jc w:val="both"/>
                <w:rPr>
                  <w:rFonts w:eastAsia="Calibri"/>
                  <w:szCs w:val="24"/>
                </w:rPr>
              </w:pPr>
              <w:r>
                <w:rPr>
                  <w:rFonts w:eastAsia="Calibri"/>
                  <w:szCs w:val="24"/>
                </w:rPr>
                <w:t xml:space="preserve">2022-05-15 Šiaulių regiono skyriuje kartu su savitarpio pagalbos grupės priklausomų žmonių artimiesiems „Al – Anon“ atstove suorganizuota priemonė „Pagalba priklausomų asmenų artimiesiems“; </w:t>
              </w:r>
            </w:p>
            <w:p>
              <w:pPr>
                <w:ind w:firstLine="794"/>
                <w:jc w:val="both"/>
                <w:rPr>
                  <w:szCs w:val="24"/>
                </w:rPr>
              </w:pPr>
              <w:r>
                <w:rPr>
                  <w:rFonts w:eastAsia="Calibri"/>
                  <w:szCs w:val="24"/>
                </w:rPr>
                <w:t>2022-05-16 pasirašyta programos „Smurto artimoje aplinkoje prevencija ir pagalbos teikimas smurtą naudojantiems asmenims“ finansavimo sutartis, Šiaulių miesto savivaldybės administracija LPT Šiaulių regiono skyriui skyrė 4050 eurų priemonės įgyvendinimui. Priemonėje dalyvaus 50 prižiūrimųjų;</w:t>
              </w:r>
              <w:r>
                <w:rPr>
                  <w:szCs w:val="24"/>
                </w:rPr>
                <w:t xml:space="preserve"> </w:t>
              </w:r>
            </w:p>
            <w:p>
              <w:pPr>
                <w:ind w:firstLine="794"/>
                <w:jc w:val="both"/>
                <w:rPr>
                  <w:color w:val="000000"/>
                  <w:szCs w:val="24"/>
                </w:rPr>
              </w:pPr>
              <w:r>
                <w:rPr>
                  <w:szCs w:val="24"/>
                </w:rPr>
                <w:t xml:space="preserve">2022-06-08 Lietuvos probacijos tarnybos Šiaulių regiono skyrius Joniškyje organizavo dienos stovyklą „Aš saugus, kai žinau“, kurią organizavo Joniškio probacijos skyriaus pareigūnės. </w:t>
              </w:r>
              <w:r>
                <w:rPr>
                  <w:bCs/>
                  <w:szCs w:val="24"/>
                </w:rPr>
                <w:t>Priemonė</w:t>
              </w:r>
              <w:r>
                <w:rPr>
                  <w:b/>
                  <w:szCs w:val="24"/>
                </w:rPr>
                <w:t xml:space="preserve"> </w:t>
              </w:r>
              <w:r>
                <w:rPr>
                  <w:szCs w:val="24"/>
                </w:rPr>
                <w:t>skirta nepilnamečių resocializacijai, socialinių įgūdžių, kompetencijų įgijimui, pažintinių veiklų didinimui, siekiant kryptingai juos orientuoti į veiklas, kurios suteiktų kuo didesnę motyvaciją užsiimti naudinga ir tikslinga veikla, didintų savivertę;</w:t>
              </w:r>
            </w:p>
            <w:p>
              <w:pPr>
                <w:ind w:firstLine="794"/>
                <w:jc w:val="both"/>
                <w:rPr>
                  <w:color w:val="000000"/>
                  <w:szCs w:val="24"/>
                  <w:lang w:eastAsia="lt-LT"/>
                </w:rPr>
              </w:pPr>
              <w:r>
                <w:rPr>
                  <w:color w:val="000000"/>
                  <w:szCs w:val="24"/>
                </w:rPr>
                <w:t>2022-06-10</w:t>
              </w:r>
              <w:r>
                <w:rPr>
                  <w:color w:val="000000"/>
                  <w:szCs w:val="24"/>
                  <w:lang w:eastAsia="lt-LT"/>
                </w:rPr>
                <w:t xml:space="preserve"> Šiaulių regiono skyriaus specialistai kartu su priežiūroje esančiais  nepilnamečiais dalyvavo ilgamečių socialinių partnerių, Atviro Šiaulių rajono jaunimo centro, patyriminių mokymų bazės atidaryme, kur įkurta Čeprečiškės kaime, Bubių seniūnijoje, Atviro Šiaulių rajono jaunimo centrui nugalėjus šių metų „Nusikaltimų ir kitų teisės pažeidimų prevencijos projektų ir bendruomeninių iniciatyvų gerosios praktikos“ konkurse, su projektu „Lengvi batai“. Jaunuoliai savo rankomis įrengė patyriminių mokymų bazę, griovė sienas, remontavo, dėl ko buvo apdovanoti padėkomis. Pagrindinis tikslas – bazėje organizuoti mokymus paaugliams, norint padėti atrasti savo stiprybes ir gebėjimus, keisti požiūrį į gyvenimą ir jame nesuklysti;</w:t>
              </w:r>
            </w:p>
            <w:p>
              <w:pPr>
                <w:tabs>
                  <w:tab w:val="left" w:pos="0"/>
                </w:tabs>
                <w:ind w:firstLine="794"/>
                <w:jc w:val="both"/>
                <w:rPr>
                  <w:rFonts w:eastAsia="Calibri"/>
                  <w:szCs w:val="24"/>
                </w:rPr>
              </w:pPr>
              <w:r>
                <w:rPr>
                  <w:rFonts w:eastAsia="Calibri"/>
                  <w:szCs w:val="24"/>
                </w:rPr>
                <w:t xml:space="preserve">2022 m. lapkričio 15 – 17 dienomis Šiaulių apskrities vyriausiojo policijos komisariato Šiaulių miesto ir rajono policijos komisariato bei Lietuvos probacijos tarnybos pareigūnai pagal iš anksto suderintą planą vykdė tikslinę prevencinę priemonę, kuri skirta smurto prevencijai ir kovai su priklausomybėmis; </w:t>
              </w:r>
            </w:p>
            <w:p>
              <w:pPr>
                <w:tabs>
                  <w:tab w:val="left" w:pos="0"/>
                </w:tabs>
                <w:ind w:firstLine="794"/>
                <w:jc w:val="both"/>
                <w:rPr>
                  <w:rFonts w:eastAsia="Calibri"/>
                  <w:szCs w:val="24"/>
                </w:rPr>
              </w:pPr>
              <w:r>
                <w:rPr>
                  <w:rFonts w:eastAsia="Calibri"/>
                  <w:szCs w:val="24"/>
                </w:rPr>
                <w:t xml:space="preserve">2022-11-16 probacijos tarnyboje Šiauliuose suorganizuota priemonė su priklausomybės ligų reabilitacijos VšĮ „AGAPAO“ atstovais; </w:t>
              </w:r>
            </w:p>
            <w:p>
              <w:pPr>
                <w:suppressAutoHyphens/>
                <w:ind w:firstLine="794"/>
                <w:jc w:val="both"/>
                <w:rPr>
                  <w:color w:val="000000"/>
                  <w:szCs w:val="24"/>
                  <w:lang w:eastAsia="ar-SA"/>
                </w:rPr>
              </w:pPr>
              <w:r>
                <w:rPr>
                  <w:szCs w:val="24"/>
                  <w:lang w:eastAsia="ar-SA"/>
                </w:rPr>
                <w:t xml:space="preserve">2022-12-05 Probacijos tarnyba Šiauliuose kartu su Atviru jaunimo karjeros konsultavimo centro atstovais, Šiaulių sporto gimnazijos treneriu bei jo atstovais organizavo „Žiemos jaunimo stovyklą“; </w:t>
              </w:r>
              <w:r>
                <w:rPr>
                  <w:color w:val="000000"/>
                  <w:szCs w:val="24"/>
                  <w:lang w:eastAsia="ar-SA"/>
                </w:rPr>
                <w:t xml:space="preserve">2022-12-16 priežiūroje esantiems nepilnamečiams Joniškyje suorganizuotas apsilankymas krepšinio muziejuje. Tai simbolinis  vasarą vykusio renginio „Aš saugus, kai žinau“, tęsinys – „Mano gyvenimo kelias“. </w:t>
              </w:r>
              <w:r>
                <w:rPr>
                  <w:bCs/>
                  <w:color w:val="000000"/>
                  <w:szCs w:val="24"/>
                  <w:lang w:eastAsia="ar-SA"/>
                </w:rPr>
                <w:t>Priemonė</w:t>
              </w:r>
              <w:r>
                <w:rPr>
                  <w:b/>
                  <w:color w:val="000000"/>
                  <w:szCs w:val="24"/>
                  <w:lang w:eastAsia="ar-SA"/>
                </w:rPr>
                <w:t xml:space="preserve"> </w:t>
              </w:r>
              <w:r>
                <w:rPr>
                  <w:color w:val="000000"/>
                  <w:szCs w:val="24"/>
                  <w:lang w:eastAsia="ar-SA"/>
                </w:rPr>
                <w:t xml:space="preserve">skirta nepilnamečių resocializacijai, socialinių įgūdžių, kompetencijų įgijimui, pažintinių veiklų didinimui, siekiant kryptingai juos orientuoti  į veiklas, kurios suteiktų kuo didesnę motyvaciją užsiimti naudinga ir tikslinga veikla; </w:t>
              </w:r>
            </w:p>
            <w:p>
              <w:pPr>
                <w:ind w:firstLine="794"/>
                <w:jc w:val="both"/>
                <w:rPr>
                  <w:szCs w:val="24"/>
                </w:rPr>
              </w:pPr>
              <w:r>
                <w:rPr>
                  <w:szCs w:val="24"/>
                </w:rPr>
                <w:t xml:space="preserve">2022-12-21 probacijos skyrius Šiauliuose kartu su Atviru jaunimo karjeros konsultavimo centro atstovais, UAB „Medžio stilius“ Šiaulių filialo vadove, jaunimo darbuotoja ir popieriaus raižinių meistre organizavo priemonę „Kalėdinis šviesų vakaras“. </w:t>
              </w:r>
            </w:p>
            <w:p>
              <w:pPr>
                <w:ind w:firstLine="794"/>
                <w:jc w:val="both"/>
                <w:rPr>
                  <w:rFonts w:eastAsia="Calibri"/>
                  <w:szCs w:val="24"/>
                </w:rPr>
              </w:pPr>
              <w:r>
                <w:rPr>
                  <w:rFonts w:eastAsia="Calibri"/>
                  <w:szCs w:val="24"/>
                </w:rPr>
                <w:t xml:space="preserve">Lietuvos probacijos tarnybos Šiaulių regiono skyriaus specialistai veda elgesį keičiančias programas – „Intervencinė programa smurtaujantiems šeimoje“, „Elgesys-Pokalbis-Pasikeitimas“, „Tik tu ir aš“, „Equip“, „Jaunimas ir psichoaktyvios medžiagos“. Šiaulių miesto savivaldybės visuomenės sveikatos biuras priežiūroje esantiems jaunuoliams veda „Ankstyvosios intervencijos“ programą – nukreipta 14 asmenų. </w:t>
              </w:r>
            </w:p>
            <w:p>
              <w:pPr>
                <w:suppressAutoHyphens/>
                <w:ind w:firstLine="794"/>
                <w:jc w:val="both"/>
                <w:rPr>
                  <w:rFonts w:eastAsia="Calibri"/>
                  <w:b/>
                  <w:szCs w:val="24"/>
                  <w:lang w:eastAsia="zh-CN"/>
                </w:rPr>
              </w:pPr>
              <w:r>
                <w:rPr>
                  <w:rFonts w:eastAsia="Calibri"/>
                  <w:szCs w:val="24"/>
                </w:rPr>
                <w:t>Sprendžiant priklausomybių problemas asmenys t. p. nukreipiami į Respublikinį priklausomybės ligų centrą Šiaulių filialą, VšĮ Šiaulių centro poliklinikos Psichikos sveikatos centrą, AA ir AN grupes, didelė dalis asmenų naudojasi priklausomybės konsultanto pagalba</w:t>
              </w:r>
            </w:p>
            <w:p>
              <w:pPr>
                <w:suppressAutoHyphens/>
                <w:ind w:firstLine="864"/>
                <w:jc w:val="center"/>
                <w:rPr>
                  <w:rFonts w:eastAsia="Calibri"/>
                  <w:b/>
                  <w:szCs w:val="24"/>
                  <w:lang w:eastAsia="zh-CN"/>
                </w:rPr>
              </w:pPr>
            </w:p>
            <w:sdt>
              <w:sdtPr>
                <w:alias w:val="7 p."/>
                <w:tag w:val="part_9d27b10a91b644aeb88191523e772294"/>
                <w:lock w:val="sdtLocked"/>
                <w:richText/>
              </w:sdtPr>
              <w:sdtContent>
                <w:p>
                  <w:pPr>
                    <w:suppressAutoHyphens/>
                    <w:ind w:firstLine="864"/>
                    <w:jc w:val="center"/>
                    <w:rPr>
                      <w:rFonts w:ascii="Calibri" w:eastAsia="Calibri" w:hAnsi="Calibri"/>
                      <w:sz w:val="22"/>
                      <w:szCs w:val="22"/>
                      <w:lang w:eastAsia="zh-CN"/>
                    </w:rPr>
                  </w:pPr>
                  <w:sdt>
                    <w:sdtPr>
                      <w:alias w:val="Numeris"/>
                      <w:tag w:val="nr_9d27b10a91b644aeb88191523e772294"/>
                      <w:lock w:val="sdtLocked"/>
                      <w:richText/>
                    </w:sdtPr>
                    <w:sdtContent>
                      <w:r>
                        <w:rPr>
                          <w:rFonts w:eastAsia="Calibri"/>
                          <w:b/>
                          <w:szCs w:val="24"/>
                          <w:lang w:eastAsia="zh-CN"/>
                        </w:rPr>
                        <w:t>7</w:t>
                      </w:r>
                    </w:sdtContent>
                  </w:sdt>
                  <w:r>
                    <w:rPr>
                      <w:rFonts w:eastAsia="Calibri"/>
                      <w:b/>
                      <w:szCs w:val="24"/>
                      <w:lang w:eastAsia="zh-CN"/>
                    </w:rPr>
                    <w:t>. Šiaulių miesto savivaldybės visuomenės sveikatos biuras</w:t>
                  </w:r>
                </w:p>
                <w:p>
                  <w:pPr>
                    <w:suppressAutoHyphens/>
                    <w:ind w:firstLine="864"/>
                    <w:jc w:val="both"/>
                    <w:rPr>
                      <w:rFonts w:eastAsia="Calibri"/>
                      <w:b/>
                      <w:szCs w:val="24"/>
                      <w:lang w:eastAsia="zh-CN"/>
                    </w:rPr>
                  </w:pPr>
                </w:p>
                <w:p>
                  <w:pPr>
                    <w:ind w:firstLine="851"/>
                    <w:jc w:val="both"/>
                    <w:rPr>
                      <w:szCs w:val="24"/>
                    </w:rPr>
                  </w:pPr>
                  <w:r>
                    <w:rPr>
                      <w:szCs w:val="24"/>
                    </w:rPr>
                    <w:t xml:space="preserve">Atsižvelgiant į situaciją pasaulyje ir Lietuvoje, kuomet 2022 metais išliko prioritetu užkrečiamųjų ligų profilaktika ir išsaugojimas bei užkrečiamųjų ligų atvejų valdymas, visuomenės sveikatos specialistai, vykdantys sveikatos priežiūrą mokyklose, ypatingą dėmesį skyrė šių ligų suvaldymui ir rizikos faktorių nustatymui bei jų išvengimui. </w:t>
                  </w:r>
                </w:p>
                <w:p>
                  <w:pPr>
                    <w:ind w:firstLine="851"/>
                    <w:jc w:val="both"/>
                    <w:rPr>
                      <w:szCs w:val="24"/>
                    </w:rPr>
                  </w:pPr>
                  <w:r>
                    <w:rPr>
                      <w:szCs w:val="24"/>
                    </w:rPr>
                    <w:t xml:space="preserve">Rūkymo, alkoholio ir narkotikų vartojimo prevencija yra viena iš 14 Šiaulių miesto savivaldybės visuomenės sveikatos biuro (toliau – ŠVSB) vykdomų sveikatos stiprinimo temų. </w:t>
                  </w:r>
                </w:p>
                <w:p>
                  <w:pPr>
                    <w:ind w:firstLine="851"/>
                    <w:jc w:val="both"/>
                    <w:rPr>
                      <w:szCs w:val="24"/>
                    </w:rPr>
                  </w:pPr>
                  <w:r>
                    <w:rPr>
                      <w:szCs w:val="24"/>
                    </w:rPr>
                    <w:t>Sveikatinimo priemonės organizuotos visuomenės sveikatos specialistų, vykdančių sveikatos priežiūrą mokyklose:</w:t>
                  </w:r>
                </w:p>
              </w:sdtContent>
            </w:sdt>
            <w:sdt>
              <w:sdtPr>
                <w:alias w:val="1 p."/>
                <w:tag w:val="part_4e193291b748414dba3130de0d845635"/>
                <w:lock w:val="sdtLocked"/>
                <w:richText/>
              </w:sdtPr>
              <w:sdtContent>
                <w:p>
                  <w:pPr>
                    <w:ind w:firstLine="851"/>
                    <w:jc w:val="both"/>
                    <w:rPr>
                      <w:szCs w:val="24"/>
                    </w:rPr>
                  </w:pPr>
                  <w:sdt>
                    <w:sdtPr>
                      <w:alias w:val="Numeris"/>
                      <w:tag w:val="nr_4e193291b748414dba3130de0d845635"/>
                      <w:lock w:val="sdtLocked"/>
                      <w:richText/>
                    </w:sdtPr>
                    <w:sdtContent>
                      <w:r>
                        <w:rPr>
                          <w:szCs w:val="24"/>
                        </w:rPr>
                        <w:t>1</w:t>
                      </w:r>
                    </w:sdtContent>
                  </w:sdt>
                  <w:r>
                    <w:rPr>
                      <w:szCs w:val="24"/>
                    </w:rPr>
                    <w:t>.</w:t>
                    <w:tab/>
                    <w:t>Psichologų teikiamos paslaugos žalingų priklausomybių, lytiškumo ugdymo ir psichinės sveikatos temomis, skirtos Šiaulių miesto ugdymo įstaigų mokiniams. Iš viso suorganizuota 60 paskaitų 1552 mokiniams.</w:t>
                  </w:r>
                </w:p>
              </w:sdtContent>
            </w:sdt>
            <w:sdt>
              <w:sdtPr>
                <w:alias w:val="2 p."/>
                <w:tag w:val="part_54bf144bbd944218b49a78f432f39841"/>
                <w:lock w:val="sdtLocked"/>
                <w:richText/>
              </w:sdtPr>
              <w:sdtContent>
                <w:p>
                  <w:pPr>
                    <w:ind w:firstLine="851"/>
                    <w:jc w:val="both"/>
                    <w:rPr>
                      <w:szCs w:val="24"/>
                    </w:rPr>
                  </w:pPr>
                  <w:sdt>
                    <w:sdtPr>
                      <w:alias w:val="Numeris"/>
                      <w:tag w:val="nr_54bf144bbd944218b49a78f432f39841"/>
                      <w:lock w:val="sdtLocked"/>
                      <w:richText/>
                    </w:sdtPr>
                    <w:sdtContent>
                      <w:r>
                        <w:rPr>
                          <w:szCs w:val="24"/>
                        </w:rPr>
                        <w:t>2</w:t>
                      </w:r>
                    </w:sdtContent>
                  </w:sdt>
                  <w:r>
                    <w:rPr>
                      <w:szCs w:val="24"/>
                    </w:rPr>
                    <w:t>.</w:t>
                    <w:tab/>
                    <w:t>Visuomenės sveikatos specialistų, vykdančių sveikatos priežiūrą mokyklose, organizuotos ir pravestos sveikatinimo veiklos:</w:t>
                  </w:r>
                </w:p>
                <w:sdt>
                  <w:sdtPr>
                    <w:alias w:val="2.1 pp."/>
                    <w:tag w:val="part_562d2a31abf147b2819a248cd123520d"/>
                    <w:lock w:val="sdtLocked"/>
                    <w:richText/>
                  </w:sdtPr>
                  <w:sdtContent>
                    <w:p>
                      <w:pPr>
                        <w:ind w:firstLine="868"/>
                        <w:jc w:val="both"/>
                        <w:rPr>
                          <w:rFonts w:eastAsia="Calibri"/>
                          <w:szCs w:val="24"/>
                        </w:rPr>
                      </w:pPr>
                      <w:sdt>
                        <w:sdtPr>
                          <w:alias w:val="Numeris"/>
                          <w:tag w:val="nr_562d2a31abf147b2819a248cd123520d"/>
                          <w:lock w:val="sdtLocked"/>
                          <w:richText/>
                        </w:sdtPr>
                        <w:sdtContent>
                          <w:r>
                            <w:rPr>
                              <w:szCs w:val="24"/>
                            </w:rPr>
                            <w:t>2.1</w:t>
                          </w:r>
                        </w:sdtContent>
                      </w:sdt>
                      <w:r>
                        <w:rPr>
                          <w:szCs w:val="24"/>
                        </w:rPr>
                        <w:t>. Žalingų priklausomybių tema švietimo įstaigų bendruomenėms 121</w:t>
                      </w:r>
                      <w:r>
                        <w:rPr>
                          <w:rFonts w:eastAsia="Calibri"/>
                          <w:szCs w:val="24"/>
                        </w:rPr>
                        <w:t xml:space="preserve"> pamokos, diskusijos, vieši renginiai 3399 mokiniams, tėvams, darbuotojams, parengti 6 video siužetai (TV) ugdymo įstaigose, paruošti ir išplatinti 22 straipsniai interneto tinklalapiuose; 30 stendinių pranešimų 135 tiražu, 4 elektroniniai leidiniai mokyklų bendruomenių nariams. Teiktos 74 konsultacijos: mokiniams – 47, pedagogams – 17, darbuotojams – 7 ir tėvams – 3. </w:t>
                      </w:r>
                    </w:p>
                  </w:sdtContent>
                </w:sdt>
                <w:sdt>
                  <w:sdtPr>
                    <w:alias w:val="2.2 pp."/>
                    <w:tag w:val="part_96297cc7c9094372b55ab7f949d89eb7"/>
                    <w:lock w:val="sdtLocked"/>
                    <w:richText/>
                  </w:sdtPr>
                  <w:sdtContent>
                    <w:p>
                      <w:pPr>
                        <w:ind w:firstLine="868"/>
                        <w:jc w:val="both"/>
                        <w:rPr>
                          <w:rFonts w:eastAsia="Calibri"/>
                          <w:szCs w:val="24"/>
                        </w:rPr>
                      </w:pPr>
                      <w:sdt>
                        <w:sdtPr>
                          <w:alias w:val="Numeris"/>
                          <w:tag w:val="nr_96297cc7c9094372b55ab7f949d89eb7"/>
                          <w:lock w:val="sdtLocked"/>
                          <w:richText/>
                        </w:sdtPr>
                        <w:sdtContent>
                          <w:r>
                            <w:rPr>
                              <w:szCs w:val="24"/>
                            </w:rPr>
                            <w:t>2.2</w:t>
                          </w:r>
                        </w:sdtContent>
                      </w:sdt>
                      <w:r>
                        <w:rPr>
                          <w:szCs w:val="24"/>
                        </w:rPr>
                        <w:t>. Psichikos sveikatos tema (kaip galima prielaida dėl žalingų priklausomybių atsiradimo) švietimo įstaigų bendruomenėms 219</w:t>
                      </w:r>
                      <w:r>
                        <w:rPr>
                          <w:rFonts w:eastAsia="Calibri"/>
                          <w:szCs w:val="24"/>
                        </w:rPr>
                        <w:t xml:space="preserve"> pamokų, diskusijų, viešų renginių 4298 mokiniams, tėvams, darbuotojams, parengtas 1 video siužetas (TV), paruošti ir išplatinti 24 straipsniai mokyklų interneto tinklalapiuose ar socialiniuose tinkluose; 21 stendinis pranešimas 159 tiražu, 7 elektroniniai leidiniai mokyklų bendruomenių nariams. Teiktos 235 konsultacijos: mokiniams – 72, pedagogams – 111, darbuotojams – 27 ir tėvams – 25. </w:t>
                      </w:r>
                    </w:p>
                    <w:p>
                      <w:pPr>
                        <w:ind w:firstLine="851"/>
                        <w:jc w:val="both"/>
                        <w:rPr>
                          <w:rFonts w:eastAsia="Calibri"/>
                          <w:szCs w:val="24"/>
                        </w:rPr>
                      </w:pPr>
                      <w:r>
                        <w:rPr>
                          <w:rFonts w:eastAsia="Calibri"/>
                          <w:szCs w:val="24"/>
                        </w:rPr>
                        <w:t xml:space="preserve">ŠVSB, vykdydamas žalingų įpročių prevenciją, kryptingai ir nuosekliai organizuoja veiklas skirtingoms tikslinėms grupėms: vaikams ir paaugliams, jų tėvams, pedagogams, socialiniams pedagogams ir kitiems asmenims, dirbantiems su nepilnamečiais ir jaunimu, priklausomybę turintiems suaugusiems asmenims, jų artimiesiems, sveikatos priežiūros specialistams. </w:t>
                      </w:r>
                    </w:p>
                    <w:p>
                      <w:pPr>
                        <w:ind w:firstLine="851"/>
                        <w:jc w:val="both"/>
                        <w:rPr>
                          <w:rFonts w:eastAsia="Calibri"/>
                          <w:color w:val="000000"/>
                          <w:szCs w:val="24"/>
                        </w:rPr>
                      </w:pPr>
                      <w:r>
                        <w:rPr>
                          <w:rFonts w:eastAsia="Calibri"/>
                          <w:color w:val="000000"/>
                          <w:szCs w:val="24"/>
                        </w:rPr>
                        <w:t>ŠVSB visuomenės sveikatos specialistų, vykdančių visuomenės sveikatos stiprinimą, 2022 metais vykdytos veiklos apėmė:</w:t>
                      </w:r>
                    </w:p>
                  </w:sdtContent>
                </w:sdt>
              </w:sdtContent>
            </w:sdt>
            <w:sdt>
              <w:sdtPr>
                <w:alias w:val="1 p."/>
                <w:tag w:val="part_6f04f218ff5e44aabe9c5c88f8b7bd90"/>
                <w:lock w:val="sdtLocked"/>
                <w:richText/>
              </w:sdtPr>
              <w:sdtContent>
                <w:p>
                  <w:pPr>
                    <w:ind w:firstLine="851"/>
                    <w:jc w:val="both"/>
                    <w:rPr>
                      <w:rFonts w:eastAsia="Calibri"/>
                      <w:color w:val="000000"/>
                      <w:szCs w:val="24"/>
                    </w:rPr>
                  </w:pPr>
                  <w:sdt>
                    <w:sdtPr>
                      <w:alias w:val="Numeris"/>
                      <w:tag w:val="nr_6f04f218ff5e44aabe9c5c88f8b7bd90"/>
                      <w:lock w:val="sdtLocked"/>
                      <w:richText/>
                    </w:sdtPr>
                    <w:sdtContent>
                      <w:r>
                        <w:rPr>
                          <w:rFonts w:eastAsia="Calibri"/>
                          <w:color w:val="000000"/>
                          <w:szCs w:val="24"/>
                        </w:rPr>
                        <w:t>1</w:t>
                      </w:r>
                    </w:sdtContent>
                  </w:sdt>
                  <w:r>
                    <w:rPr>
                      <w:rFonts w:eastAsia="Calibri"/>
                      <w:color w:val="000000"/>
                      <w:szCs w:val="24"/>
                    </w:rPr>
                    <w:t>. Ankstyvosios intervencijos programos, vykdomos pagal 2018 m. sausio 18 d. Lietuvos Respublikos sveikatos apsaugos ministro ir Lietuvos Respublikos švietimo ir mokslo ministro įsakymu Nr. V-60/V-39 patvirtintą aprašą, įgyvendinimą. Per metus minėtą programą baigė 20 rizikingos elgsenos jaunuolių (14-21 m. amžiaus), kurie eksperimentuoja ar nereguliariai vartoja psichoaktyviąsias medžiagas (išskyrus tabaką), bet nėra nuo jų priklausomi.</w:t>
                  </w:r>
                </w:p>
              </w:sdtContent>
            </w:sdt>
            <w:sdt>
              <w:sdtPr>
                <w:alias w:val="2 p."/>
                <w:tag w:val="part_a818cb64e5664045bd2d1738b3c32f0e"/>
                <w:lock w:val="sdtLocked"/>
                <w:richText/>
              </w:sdtPr>
              <w:sdtContent>
                <w:p>
                  <w:pPr>
                    <w:ind w:firstLine="851"/>
                    <w:jc w:val="both"/>
                    <w:rPr>
                      <w:rFonts w:eastAsia="Calibri"/>
                      <w:color w:val="000000"/>
                      <w:szCs w:val="24"/>
                    </w:rPr>
                  </w:pPr>
                  <w:sdt>
                    <w:sdtPr>
                      <w:alias w:val="Numeris"/>
                      <w:tag w:val="nr_a818cb64e5664045bd2d1738b3c32f0e"/>
                      <w:lock w:val="sdtLocked"/>
                      <w:richText/>
                    </w:sdtPr>
                    <w:sdtContent>
                      <w:r>
                        <w:rPr>
                          <w:rFonts w:eastAsia="Calibri"/>
                          <w:color w:val="000000"/>
                          <w:szCs w:val="24"/>
                        </w:rPr>
                        <w:t>2</w:t>
                      </w:r>
                    </w:sdtContent>
                  </w:sdt>
                  <w:r>
                    <w:rPr>
                      <w:rFonts w:eastAsia="Calibri"/>
                      <w:color w:val="000000"/>
                      <w:szCs w:val="24"/>
                    </w:rPr>
                    <w:t>. Priklausomybių konsultanto paslaugas – priemonių, kuriomis teikiant individualias ir (ar) grupines konsultacijas siekiama padėti alkoholį vartojantiems asmenims mažinti vartojimą ar visai atsisakyti alkoholio, mažinti alkoholio vartojimo keliamą žalą asmeniui ir visuomenei, įskaitant alkoholį vartojančių asmenų šeimos narių konsultavimą dėl alkoholį vartojančio asmens keliamų problemų sprendimo būdų, visuma. Iš viso 2022 metais buvo suteiktos 168 priklausomybių konsultanto individualios konsultacijos 82 alkoholį vartojantiems asmenims ar jų artimiesiems.</w:t>
                  </w:r>
                </w:p>
              </w:sdtContent>
            </w:sdt>
            <w:sdt>
              <w:sdtPr>
                <w:alias w:val="3 p."/>
                <w:tag w:val="part_97cd38a6c10243f49c14a6d8714abf6a"/>
                <w:lock w:val="sdtLocked"/>
                <w:richText/>
              </w:sdtPr>
              <w:sdtContent>
                <w:p>
                  <w:pPr>
                    <w:ind w:firstLine="851"/>
                    <w:jc w:val="both"/>
                    <w:rPr>
                      <w:rFonts w:eastAsia="Calibri"/>
                      <w:color w:val="000000"/>
                      <w:szCs w:val="24"/>
                    </w:rPr>
                  </w:pPr>
                  <w:sdt>
                    <w:sdtPr>
                      <w:alias w:val="Numeris"/>
                      <w:tag w:val="nr_97cd38a6c10243f49c14a6d8714abf6a"/>
                      <w:lock w:val="sdtLocked"/>
                      <w:richText/>
                    </w:sdtPr>
                    <w:sdtContent>
                      <w:r>
                        <w:rPr>
                          <w:rFonts w:eastAsia="Calibri"/>
                          <w:color w:val="000000"/>
                          <w:szCs w:val="24"/>
                        </w:rPr>
                        <w:t>3</w:t>
                      </w:r>
                    </w:sdtContent>
                  </w:sdt>
                  <w:r>
                    <w:rPr>
                      <w:rFonts w:eastAsia="Calibri"/>
                      <w:color w:val="000000"/>
                      <w:szCs w:val="24"/>
                    </w:rPr>
                    <w:t>. Privalomuosius sveikatos mokymus apie alkoholio ir narkotikų žalą žmogaus sveikatai: mokymuose dalyvavo 15 asmenų, kurie padarė teisės pažeidimą būdami neblaivūs arba apsvaigę nuo narkotinių, psichotropinių ar kitų psichiką veikiančių medžiagų.</w:t>
                  </w:r>
                </w:p>
              </w:sdtContent>
            </w:sdt>
            <w:sdt>
              <w:sdtPr>
                <w:alias w:val="4 p."/>
                <w:tag w:val="part_fded71076a054b21a321b90820a7861c"/>
                <w:lock w:val="sdtLocked"/>
                <w:richText/>
              </w:sdtPr>
              <w:sdtContent>
                <w:p>
                  <w:pPr>
                    <w:ind w:firstLine="851"/>
                    <w:jc w:val="both"/>
                    <w:rPr>
                      <w:rFonts w:eastAsia="Calibri"/>
                      <w:color w:val="000000"/>
                      <w:szCs w:val="24"/>
                    </w:rPr>
                  </w:pPr>
                  <w:sdt>
                    <w:sdtPr>
                      <w:alias w:val="Numeris"/>
                      <w:tag w:val="nr_fded71076a054b21a321b90820a7861c"/>
                      <w:lock w:val="sdtLocked"/>
                      <w:richText/>
                    </w:sdtPr>
                    <w:sdtContent>
                      <w:r>
                        <w:rPr>
                          <w:rFonts w:eastAsia="Calibri"/>
                          <w:color w:val="000000"/>
                          <w:szCs w:val="24"/>
                        </w:rPr>
                        <w:t>4</w:t>
                      </w:r>
                    </w:sdtContent>
                  </w:sdt>
                  <w:r>
                    <w:rPr>
                      <w:rFonts w:eastAsia="Calibri"/>
                      <w:color w:val="000000"/>
                      <w:szCs w:val="24"/>
                    </w:rPr>
                    <w:t>. Interviu videosiužetu televizijai (3 vnt.) žalingų įpročių prevencijos temomis.</w:t>
                  </w:r>
                </w:p>
              </w:sdtContent>
            </w:sdt>
            <w:sdt>
              <w:sdtPr>
                <w:alias w:val="5 p."/>
                <w:tag w:val="part_85f6371da22b4f7f9aba596ceea5a79a"/>
                <w:lock w:val="sdtLocked"/>
                <w:richText/>
              </w:sdtPr>
              <w:sdtContent>
                <w:p>
                  <w:pPr>
                    <w:ind w:firstLine="851"/>
                    <w:jc w:val="both"/>
                    <w:rPr>
                      <w:rFonts w:eastAsia="Calibri"/>
                      <w:color w:val="000000"/>
                      <w:szCs w:val="24"/>
                    </w:rPr>
                  </w:pPr>
                  <w:sdt>
                    <w:sdtPr>
                      <w:alias w:val="Numeris"/>
                      <w:tag w:val="nr_85f6371da22b4f7f9aba596ceea5a79a"/>
                      <w:lock w:val="sdtLocked"/>
                      <w:richText/>
                    </w:sdtPr>
                    <w:sdtContent>
                      <w:r>
                        <w:rPr>
                          <w:rFonts w:eastAsia="Calibri"/>
                          <w:color w:val="000000"/>
                          <w:szCs w:val="24"/>
                        </w:rPr>
                        <w:t>5</w:t>
                      </w:r>
                    </w:sdtContent>
                  </w:sdt>
                  <w:r>
                    <w:rPr>
                      <w:rFonts w:eastAsia="Calibri"/>
                      <w:color w:val="000000"/>
                      <w:szCs w:val="24"/>
                    </w:rPr>
                    <w:t>. Dienos centre Hata ir atvirame jaunimo centre diskusijos (4) “Netradicinės rūkymo formos: mitai ir faktai”.</w:t>
                  </w:r>
                </w:p>
              </w:sdtContent>
            </w:sdt>
            <w:sdt>
              <w:sdtPr>
                <w:alias w:val="6 p."/>
                <w:tag w:val="part_21d8292c50d14d2a984bbe8cb5b77b84"/>
                <w:lock w:val="sdtLocked"/>
                <w:richText/>
              </w:sdtPr>
              <w:sdtContent>
                <w:p>
                  <w:pPr>
                    <w:ind w:firstLine="851"/>
                    <w:jc w:val="both"/>
                    <w:rPr>
                      <w:rFonts w:eastAsia="Calibri"/>
                      <w:color w:val="000000"/>
                      <w:szCs w:val="24"/>
                    </w:rPr>
                  </w:pPr>
                  <w:sdt>
                    <w:sdtPr>
                      <w:alias w:val="Numeris"/>
                      <w:tag w:val="nr_21d8292c50d14d2a984bbe8cb5b77b84"/>
                      <w:lock w:val="sdtLocked"/>
                      <w:richText/>
                    </w:sdtPr>
                    <w:sdtContent>
                      <w:r>
                        <w:rPr>
                          <w:rFonts w:eastAsia="Calibri"/>
                          <w:color w:val="000000"/>
                          <w:szCs w:val="24"/>
                        </w:rPr>
                        <w:t>6</w:t>
                      </w:r>
                    </w:sdtContent>
                  </w:sdt>
                  <w:r>
                    <w:rPr>
                      <w:rFonts w:eastAsia="Calibri"/>
                      <w:color w:val="000000"/>
                      <w:szCs w:val="24"/>
                    </w:rPr>
                    <w:t xml:space="preserve">. Viktorinos (9) “Kahoot” platformoje “Gegužės mėnuo – nerūkymo mėnuo”. </w:t>
                  </w:r>
                </w:p>
              </w:sdtContent>
            </w:sdt>
            <w:sdt>
              <w:sdtPr>
                <w:alias w:val="7 p."/>
                <w:tag w:val="part_fc98b72578474f04bd6e8c3a4434a74c"/>
                <w:lock w:val="sdtLocked"/>
                <w:richText/>
              </w:sdtPr>
              <w:sdtContent>
                <w:p>
                  <w:pPr>
                    <w:ind w:firstLine="851"/>
                    <w:jc w:val="both"/>
                    <w:rPr>
                      <w:rFonts w:eastAsia="Calibri"/>
                      <w:color w:val="000000"/>
                      <w:szCs w:val="24"/>
                    </w:rPr>
                  </w:pPr>
                  <w:sdt>
                    <w:sdtPr>
                      <w:alias w:val="Numeris"/>
                      <w:tag w:val="nr_fc98b72578474f04bd6e8c3a4434a74c"/>
                      <w:lock w:val="sdtLocked"/>
                      <w:richText/>
                    </w:sdtPr>
                    <w:sdtContent>
                      <w:r>
                        <w:rPr>
                          <w:rFonts w:eastAsia="Calibri"/>
                          <w:color w:val="000000"/>
                          <w:szCs w:val="24"/>
                        </w:rPr>
                        <w:t>7</w:t>
                      </w:r>
                    </w:sdtContent>
                  </w:sdt>
                  <w:r>
                    <w:rPr>
                      <w:rFonts w:eastAsia="Calibri"/>
                      <w:color w:val="000000"/>
                      <w:szCs w:val="24"/>
                    </w:rPr>
                    <w:t xml:space="preserve">. Visuomenės švietimą ir informavimą žalingų įpročių prevencijos temomis (publikuota 15 pranešimų ir 5 straipsniai įstaigos interneto tinklalapyje www.sveikatos-biuras.lt, socialiniuose tinkluose bei miesto spaudoje, TV laidose). </w:t>
                  </w:r>
                </w:p>
              </w:sdtContent>
            </w:sdt>
            <w:sdt>
              <w:sdtPr>
                <w:alias w:val="8 p."/>
                <w:tag w:val="part_85fcd93c7eff43dabc9810338421ea26"/>
                <w:lock w:val="sdtLocked"/>
                <w:richText/>
              </w:sdtPr>
              <w:sdtContent>
                <w:p>
                  <w:pPr>
                    <w:ind w:firstLine="851"/>
                    <w:jc w:val="both"/>
                    <w:rPr>
                      <w:rFonts w:eastAsia="Calibri"/>
                      <w:color w:val="000000"/>
                      <w:szCs w:val="24"/>
                    </w:rPr>
                  </w:pPr>
                  <w:sdt>
                    <w:sdtPr>
                      <w:alias w:val="Numeris"/>
                      <w:tag w:val="nr_85fcd93c7eff43dabc9810338421ea26"/>
                      <w:lock w:val="sdtLocked"/>
                      <w:richText/>
                    </w:sdtPr>
                    <w:sdtContent>
                      <w:r>
                        <w:rPr>
                          <w:rFonts w:eastAsia="Calibri"/>
                          <w:color w:val="000000"/>
                          <w:szCs w:val="24"/>
                        </w:rPr>
                        <w:t>8</w:t>
                      </w:r>
                    </w:sdtContent>
                  </w:sdt>
                  <w:r>
                    <w:rPr>
                      <w:rFonts w:eastAsia="Calibri"/>
                      <w:color w:val="000000"/>
                      <w:szCs w:val="24"/>
                    </w:rPr>
                    <w:t>. Išleista 5000 informacinių lankstinukų “Pagalba vartojantiems psichoaktyviąsias medžiagas ir turintiems kitų priklausomybių”.</w:t>
                  </w:r>
                </w:p>
                <w:p>
                  <w:pPr>
                    <w:ind w:firstLine="860"/>
                    <w:jc w:val="both"/>
                    <w:rPr>
                      <w:rFonts w:eastAsia="Calibri"/>
                      <w:bCs/>
                      <w:szCs w:val="24"/>
                    </w:rPr>
                  </w:pPr>
                  <w:r>
                    <w:rPr>
                      <w:rFonts w:eastAsia="Calibri"/>
                      <w:szCs w:val="24"/>
                    </w:rPr>
                    <w:t>2022 m. ŠVSB s</w:t>
                  </w:r>
                  <w:r>
                    <w:rPr>
                      <w:rFonts w:eastAsia="Calibri"/>
                      <w:bCs/>
                      <w:szCs w:val="24"/>
                    </w:rPr>
                    <w:t>urinko ir išanalizavo rodiklius apie Šiaulių miesto gyventojų mirtingumą nuo atsitiktinio apsinuodijimo alkoholiu ir narkotikais, nusikalstamas veikas, susijusias su narkotikų vartojimu ir jų kontrabanda,</w:t>
                  </w:r>
                  <w:r>
                    <w:rPr>
                      <w:rFonts w:ascii="Calibri" w:eastAsia="Calibri" w:hAnsi="Calibri"/>
                      <w:szCs w:val="24"/>
                    </w:rPr>
                    <w:t xml:space="preserve"> </w:t>
                  </w:r>
                  <w:r>
                    <w:rPr>
                      <w:rFonts w:eastAsia="Calibri"/>
                      <w:szCs w:val="24"/>
                    </w:rPr>
                    <w:t>gyventojų skaičių, tenkantį vienai licencijai verstis mažmenine prekyba alkoholiniais gėrimais</w:t>
                  </w:r>
                  <w:r>
                    <w:rPr>
                      <w:rFonts w:eastAsia="Calibri"/>
                      <w:bCs/>
                      <w:szCs w:val="24"/>
                    </w:rPr>
                    <w:t xml:space="preserve"> bei </w:t>
                  </w:r>
                  <w:r>
                    <w:rPr>
                      <w:rFonts w:eastAsia="Calibri"/>
                      <w:szCs w:val="24"/>
                    </w:rPr>
                    <w:t>gyventojų skaičių, tenkantį vienai licencijai verstis mažmenine prekyba tabako gaminiais gėrimais</w:t>
                  </w:r>
                  <w:r>
                    <w:rPr>
                      <w:rFonts w:eastAsia="Calibri"/>
                      <w:bCs/>
                      <w:szCs w:val="24"/>
                    </w:rPr>
                    <w:t xml:space="preserve"> bei suaugusių gyventojų (18+ m.)</w:t>
                  </w:r>
                  <w:r>
                    <w:rPr>
                      <w:rFonts w:eastAsia="Calibri"/>
                      <w:b/>
                      <w:bCs/>
                      <w:szCs w:val="24"/>
                    </w:rPr>
                    <w:t xml:space="preserve"> </w:t>
                  </w:r>
                  <w:r>
                    <w:rPr>
                      <w:rFonts w:eastAsia="Calibri"/>
                      <w:bCs/>
                      <w:szCs w:val="24"/>
                    </w:rPr>
                    <w:t>tabako ir elektroninių cigarečių, alkoholio,</w:t>
                  </w:r>
                  <w:r>
                    <w:rPr>
                      <w:rFonts w:eastAsia="Calibri"/>
                      <w:szCs w:val="24"/>
                    </w:rPr>
                    <w:t xml:space="preserve"> </w:t>
                  </w:r>
                  <w:r>
                    <w:rPr>
                      <w:rFonts w:eastAsia="Calibri"/>
                      <w:bCs/>
                      <w:szCs w:val="24"/>
                    </w:rPr>
                    <w:t>narkotinių ar psichotropinių medžiagų vartojimo paplitimą.</w:t>
                  </w:r>
                </w:p>
                <w:p>
                  <w:pPr>
                    <w:jc w:val="center"/>
                    <w:rPr>
                      <w:rFonts w:eastAsia="Calibri"/>
                      <w:bCs/>
                      <w:color w:val="00B050"/>
                      <w:szCs w:val="24"/>
                    </w:rPr>
                  </w:pPr>
                </w:p>
              </w:sdtContent>
            </w:sdt>
            <w:sdt>
              <w:sdtPr>
                <w:alias w:val="poskyris"/>
                <w:tag w:val="part_2d40571f5b534d4fa5f4931da29ab58b"/>
                <w:lock w:val="sdtLocked"/>
                <w:richText/>
              </w:sdtPr>
              <w:sdtContent>
                <w:p>
                  <w:pPr>
                    <w:ind w:hanging="567"/>
                    <w:jc w:val="center"/>
                    <w:rPr>
                      <w:rFonts w:eastAsia="Calibri"/>
                      <w:b/>
                      <w:szCs w:val="24"/>
                    </w:rPr>
                  </w:pPr>
                  <w:sdt>
                    <w:sdtPr>
                      <w:alias w:val="Pavadinimas"/>
                      <w:tag w:val="title_2d40571f5b534d4fa5f4931da29ab58b"/>
                      <w:lock w:val="sdtLocked"/>
                      <w:richText/>
                    </w:sdtPr>
                    <w:sdtContent>
                      <w:r>
                        <w:rPr>
                          <w:rFonts w:eastAsia="Calibri"/>
                          <w:b/>
                          <w:bCs/>
                          <w:szCs w:val="24"/>
                        </w:rPr>
                        <w:t>1 lentelė. Šiaulių miesto rodikliai iš pagrindinių rodiklių sąrašo (</w:t>
                      </w:r>
                      <w:r>
                        <w:rPr>
                          <w:rFonts w:eastAsia="Calibri"/>
                          <w:b/>
                          <w:szCs w:val="24"/>
                        </w:rPr>
                        <w:t>100 000 gyv. ir abs. sk.)</w:t>
                      </w:r>
                    </w:sdtContent>
                  </w:sdt>
                </w:p>
                <w:tbl>
                  <w:tblPr>
                    <w:tblW w:w="96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8"/>
                    <w:gridCol w:w="861"/>
                    <w:gridCol w:w="862"/>
                    <w:gridCol w:w="719"/>
                    <w:gridCol w:w="861"/>
                    <w:gridCol w:w="862"/>
                    <w:gridCol w:w="1149"/>
                  </w:tblGrid>
                  <w:tr>
                    <w:trPr>
                      <w:trHeight w:val="561"/>
                    </w:trPr>
                    <w:tc>
                      <w:tcPr>
                        <w:tcW w:w="4288" w:type="dxa"/>
                      </w:tcPr>
                      <w:p>
                        <w:pPr>
                          <w:tabs>
                            <w:tab w:val="center" w:pos="4819"/>
                            <w:tab w:val="right" w:pos="9638"/>
                          </w:tabs>
                          <w:jc w:val="center"/>
                          <w:rPr>
                            <w:rFonts w:eastAsia="Calibri"/>
                            <w:b/>
                            <w:bCs/>
                            <w:szCs w:val="24"/>
                          </w:rPr>
                        </w:pPr>
                        <w:r>
                          <w:rPr>
                            <w:rFonts w:eastAsia="Calibri"/>
                            <w:b/>
                            <w:bCs/>
                            <w:szCs w:val="24"/>
                          </w:rPr>
                          <w:t>Rodiklis</w:t>
                        </w:r>
                      </w:p>
                    </w:tc>
                    <w:tc>
                      <w:tcPr>
                        <w:tcW w:w="861" w:type="dxa"/>
                      </w:tcPr>
                      <w:p>
                        <w:pPr>
                          <w:tabs>
                            <w:tab w:val="center" w:pos="4819"/>
                            <w:tab w:val="right" w:pos="9638"/>
                          </w:tabs>
                          <w:jc w:val="center"/>
                          <w:rPr>
                            <w:rFonts w:eastAsia="Calibri"/>
                            <w:b/>
                            <w:bCs/>
                            <w:szCs w:val="24"/>
                          </w:rPr>
                        </w:pPr>
                        <w:r>
                          <w:rPr>
                            <w:rFonts w:eastAsia="Calibri"/>
                            <w:b/>
                            <w:bCs/>
                            <w:szCs w:val="24"/>
                          </w:rPr>
                          <w:t>2017 m.</w:t>
                        </w:r>
                      </w:p>
                    </w:tc>
                    <w:tc>
                      <w:tcPr>
                        <w:tcW w:w="862" w:type="dxa"/>
                      </w:tcPr>
                      <w:p>
                        <w:pPr>
                          <w:tabs>
                            <w:tab w:val="center" w:pos="4819"/>
                            <w:tab w:val="right" w:pos="9638"/>
                          </w:tabs>
                          <w:jc w:val="center"/>
                          <w:rPr>
                            <w:rFonts w:eastAsia="Calibri"/>
                            <w:b/>
                            <w:bCs/>
                            <w:szCs w:val="24"/>
                          </w:rPr>
                        </w:pPr>
                        <w:r>
                          <w:rPr>
                            <w:rFonts w:eastAsia="Calibri"/>
                            <w:b/>
                            <w:bCs/>
                            <w:szCs w:val="24"/>
                          </w:rPr>
                          <w:t>2018 m.</w:t>
                        </w:r>
                      </w:p>
                    </w:tc>
                    <w:tc>
                      <w:tcPr>
                        <w:tcW w:w="719" w:type="dxa"/>
                      </w:tcPr>
                      <w:p>
                        <w:pPr>
                          <w:tabs>
                            <w:tab w:val="center" w:pos="4819"/>
                            <w:tab w:val="right" w:pos="9638"/>
                          </w:tabs>
                          <w:jc w:val="center"/>
                          <w:rPr>
                            <w:rFonts w:eastAsia="Calibri"/>
                            <w:b/>
                            <w:bCs/>
                            <w:szCs w:val="24"/>
                          </w:rPr>
                        </w:pPr>
                        <w:r>
                          <w:rPr>
                            <w:rFonts w:eastAsia="Calibri"/>
                            <w:b/>
                            <w:bCs/>
                            <w:szCs w:val="24"/>
                          </w:rPr>
                          <w:t>2019 m.</w:t>
                        </w:r>
                      </w:p>
                    </w:tc>
                    <w:tc>
                      <w:tcPr>
                        <w:tcW w:w="861" w:type="dxa"/>
                      </w:tcPr>
                      <w:p>
                        <w:pPr>
                          <w:tabs>
                            <w:tab w:val="center" w:pos="4819"/>
                            <w:tab w:val="right" w:pos="9638"/>
                          </w:tabs>
                          <w:jc w:val="center"/>
                          <w:rPr>
                            <w:rFonts w:eastAsia="Calibri"/>
                            <w:b/>
                            <w:bCs/>
                            <w:szCs w:val="24"/>
                          </w:rPr>
                        </w:pPr>
                        <w:r>
                          <w:rPr>
                            <w:rFonts w:eastAsia="Calibri"/>
                            <w:b/>
                            <w:bCs/>
                            <w:szCs w:val="24"/>
                          </w:rPr>
                          <w:t>2020 m.</w:t>
                        </w:r>
                      </w:p>
                    </w:tc>
                    <w:tc>
                      <w:tcPr>
                        <w:tcW w:w="862" w:type="dxa"/>
                      </w:tcPr>
                      <w:p>
                        <w:pPr>
                          <w:tabs>
                            <w:tab w:val="center" w:pos="4819"/>
                            <w:tab w:val="right" w:pos="9638"/>
                          </w:tabs>
                          <w:jc w:val="center"/>
                          <w:rPr>
                            <w:rFonts w:eastAsia="Calibri"/>
                            <w:b/>
                            <w:bCs/>
                            <w:szCs w:val="24"/>
                          </w:rPr>
                        </w:pPr>
                        <w:r>
                          <w:rPr>
                            <w:rFonts w:eastAsia="Calibri"/>
                            <w:b/>
                            <w:bCs/>
                            <w:szCs w:val="24"/>
                          </w:rPr>
                          <w:t>2021 m.</w:t>
                        </w:r>
                      </w:p>
                    </w:tc>
                    <w:tc>
                      <w:tcPr>
                        <w:tcW w:w="1149" w:type="dxa"/>
                      </w:tcPr>
                      <w:p>
                        <w:pPr>
                          <w:tabs>
                            <w:tab w:val="center" w:pos="4819"/>
                            <w:tab w:val="right" w:pos="9638"/>
                          </w:tabs>
                          <w:jc w:val="center"/>
                          <w:rPr>
                            <w:rFonts w:eastAsia="Calibri"/>
                            <w:b/>
                            <w:bCs/>
                            <w:szCs w:val="24"/>
                          </w:rPr>
                        </w:pPr>
                        <w:r>
                          <w:rPr>
                            <w:rFonts w:eastAsia="Calibri"/>
                            <w:b/>
                            <w:bCs/>
                            <w:szCs w:val="24"/>
                          </w:rPr>
                          <w:t xml:space="preserve">Pokytis </w:t>
                        </w:r>
                      </w:p>
                    </w:tc>
                  </w:tr>
                  <w:tr>
                    <w:trPr>
                      <w:trHeight w:val="561"/>
                    </w:trPr>
                    <w:tc>
                      <w:tcPr>
                        <w:tcW w:w="4288" w:type="dxa"/>
                      </w:tcPr>
                      <w:p>
                        <w:pPr>
                          <w:tabs>
                            <w:tab w:val="center" w:pos="4819"/>
                            <w:tab w:val="right" w:pos="9638"/>
                          </w:tabs>
                          <w:jc w:val="both"/>
                          <w:rPr>
                            <w:rFonts w:eastAsia="Calibri"/>
                            <w:bCs/>
                            <w:szCs w:val="24"/>
                          </w:rPr>
                        </w:pPr>
                        <w:r>
                          <w:rPr>
                            <w:rFonts w:eastAsia="Calibri"/>
                            <w:szCs w:val="24"/>
                          </w:rPr>
                          <w:t>Mirtingumas dėl priežasčių, susijusių su narkotikų vartojimu 100 000 gyv.</w:t>
                        </w:r>
                      </w:p>
                    </w:tc>
                    <w:tc>
                      <w:tcPr>
                        <w:tcW w:w="861" w:type="dxa"/>
                      </w:tcPr>
                      <w:p>
                        <w:pPr>
                          <w:tabs>
                            <w:tab w:val="center" w:pos="4819"/>
                            <w:tab w:val="right" w:pos="9638"/>
                          </w:tabs>
                          <w:jc w:val="center"/>
                          <w:rPr>
                            <w:rFonts w:eastAsia="Calibri"/>
                            <w:bCs/>
                            <w:szCs w:val="24"/>
                          </w:rPr>
                        </w:pPr>
                        <w:r>
                          <w:rPr>
                            <w:rFonts w:eastAsia="Calibri"/>
                            <w:bCs/>
                            <w:szCs w:val="24"/>
                          </w:rPr>
                          <w:t xml:space="preserve">5,0 </w:t>
                        </w:r>
                      </w:p>
                      <w:p>
                        <w:pPr>
                          <w:tabs>
                            <w:tab w:val="center" w:pos="4819"/>
                            <w:tab w:val="right" w:pos="9638"/>
                          </w:tabs>
                          <w:jc w:val="center"/>
                          <w:rPr>
                            <w:rFonts w:eastAsia="Calibri"/>
                            <w:bCs/>
                            <w:szCs w:val="24"/>
                          </w:rPr>
                        </w:pPr>
                        <w:r>
                          <w:rPr>
                            <w:rFonts w:eastAsia="Calibri"/>
                            <w:bCs/>
                            <w:szCs w:val="24"/>
                          </w:rPr>
                          <w:t>(5)</w:t>
                        </w:r>
                      </w:p>
                    </w:tc>
                    <w:tc>
                      <w:tcPr>
                        <w:tcW w:w="862" w:type="dxa"/>
                      </w:tcPr>
                      <w:p>
                        <w:pPr>
                          <w:tabs>
                            <w:tab w:val="center" w:pos="4819"/>
                            <w:tab w:val="right" w:pos="9638"/>
                          </w:tabs>
                          <w:jc w:val="center"/>
                          <w:rPr>
                            <w:rFonts w:eastAsia="Calibri"/>
                            <w:bCs/>
                            <w:szCs w:val="24"/>
                          </w:rPr>
                        </w:pPr>
                        <w:r>
                          <w:rPr>
                            <w:rFonts w:eastAsia="Calibri"/>
                            <w:bCs/>
                            <w:szCs w:val="24"/>
                          </w:rPr>
                          <w:t>3,0 (3)</w:t>
                        </w:r>
                      </w:p>
                    </w:tc>
                    <w:tc>
                      <w:tcPr>
                        <w:tcW w:w="719" w:type="dxa"/>
                      </w:tcPr>
                      <w:p>
                        <w:pPr>
                          <w:tabs>
                            <w:tab w:val="center" w:pos="4819"/>
                            <w:tab w:val="right" w:pos="9638"/>
                          </w:tabs>
                          <w:jc w:val="center"/>
                          <w:rPr>
                            <w:rFonts w:eastAsia="Calibri"/>
                            <w:bCs/>
                            <w:szCs w:val="24"/>
                          </w:rPr>
                        </w:pPr>
                        <w:r>
                          <w:rPr>
                            <w:rFonts w:eastAsia="Calibri"/>
                            <w:bCs/>
                            <w:szCs w:val="24"/>
                          </w:rPr>
                          <w:t>3,0</w:t>
                        </w:r>
                      </w:p>
                      <w:p>
                        <w:pPr>
                          <w:tabs>
                            <w:tab w:val="center" w:pos="4819"/>
                            <w:tab w:val="right" w:pos="9638"/>
                          </w:tabs>
                          <w:jc w:val="center"/>
                          <w:rPr>
                            <w:rFonts w:eastAsia="Calibri"/>
                            <w:bCs/>
                            <w:szCs w:val="24"/>
                          </w:rPr>
                        </w:pPr>
                        <w:r>
                          <w:rPr>
                            <w:rFonts w:eastAsia="Calibri"/>
                            <w:bCs/>
                            <w:szCs w:val="24"/>
                          </w:rPr>
                          <w:t>(3)</w:t>
                        </w:r>
                      </w:p>
                    </w:tc>
                    <w:tc>
                      <w:tcPr>
                        <w:tcW w:w="861" w:type="dxa"/>
                      </w:tcPr>
                      <w:p>
                        <w:pPr>
                          <w:tabs>
                            <w:tab w:val="center" w:pos="4819"/>
                            <w:tab w:val="right" w:pos="9638"/>
                          </w:tabs>
                          <w:jc w:val="center"/>
                          <w:rPr>
                            <w:rFonts w:eastAsia="Calibri"/>
                            <w:bCs/>
                            <w:szCs w:val="24"/>
                          </w:rPr>
                        </w:pPr>
                        <w:r>
                          <w:rPr>
                            <w:rFonts w:eastAsia="Calibri"/>
                            <w:bCs/>
                            <w:szCs w:val="24"/>
                          </w:rPr>
                          <w:t>0,0</w:t>
                        </w:r>
                      </w:p>
                      <w:p>
                        <w:pPr>
                          <w:tabs>
                            <w:tab w:val="center" w:pos="4819"/>
                            <w:tab w:val="right" w:pos="9638"/>
                          </w:tabs>
                          <w:jc w:val="center"/>
                          <w:rPr>
                            <w:rFonts w:eastAsia="Calibri"/>
                            <w:bCs/>
                            <w:szCs w:val="24"/>
                          </w:rPr>
                        </w:pPr>
                        <w:r>
                          <w:rPr>
                            <w:rFonts w:eastAsia="Calibri"/>
                            <w:bCs/>
                            <w:szCs w:val="24"/>
                          </w:rPr>
                          <w:t>(0)</w:t>
                        </w:r>
                      </w:p>
                    </w:tc>
                    <w:tc>
                      <w:tcPr>
                        <w:tcW w:w="862" w:type="dxa"/>
                      </w:tcPr>
                      <w:p>
                        <w:pPr>
                          <w:tabs>
                            <w:tab w:val="center" w:pos="4819"/>
                            <w:tab w:val="right" w:pos="9638"/>
                          </w:tabs>
                          <w:jc w:val="center"/>
                          <w:rPr>
                            <w:rFonts w:eastAsia="Calibri"/>
                            <w:bCs/>
                            <w:szCs w:val="24"/>
                          </w:rPr>
                        </w:pPr>
                        <w:r>
                          <w:rPr>
                            <w:rFonts w:eastAsia="Calibri"/>
                            <w:bCs/>
                            <w:szCs w:val="24"/>
                          </w:rPr>
                          <w:t>2,0</w:t>
                          <w:br/>
                          <w:t>(2)</w:t>
                        </w:r>
                      </w:p>
                    </w:tc>
                    <w:tc>
                      <w:tcPr>
                        <w:tcW w:w="1149" w:type="dxa"/>
                      </w:tcPr>
                      <w:p>
                        <w:pPr>
                          <w:tabs>
                            <w:tab w:val="center" w:pos="4819"/>
                            <w:tab w:val="right" w:pos="9638"/>
                          </w:tabs>
                          <w:jc w:val="center"/>
                          <w:rPr>
                            <w:rFonts w:eastAsia="Calibri"/>
                            <w:bCs/>
                            <w:szCs w:val="24"/>
                          </w:rPr>
                        </w:pPr>
                        <w:r>
                          <w:rPr>
                            <w:rFonts w:ascii="Calibri" w:eastAsia="Calibri" w:hAnsi="Calibri" w:cs="Calibri"/>
                            <w:b/>
                            <w:bCs/>
                            <w:color w:val="FF0000"/>
                            <w:sz w:val="22"/>
                            <w:szCs w:val="24"/>
                            <w:lang w:val="en-US"/>
                          </w:rPr>
                          <w:t>↑</w:t>
                        </w:r>
                        <w:r>
                          <w:rPr>
                            <w:rFonts w:eastAsia="Calibri"/>
                            <w:szCs w:val="24"/>
                          </w:rPr>
                          <w:t xml:space="preserve"> (1 m.)</w:t>
                        </w:r>
                      </w:p>
                    </w:tc>
                  </w:tr>
                  <w:tr>
                    <w:trPr>
                      <w:trHeight w:val="549"/>
                    </w:trPr>
                    <w:tc>
                      <w:tcPr>
                        <w:tcW w:w="4288" w:type="dxa"/>
                      </w:tcPr>
                      <w:p>
                        <w:pPr>
                          <w:tabs>
                            <w:tab w:val="center" w:pos="4819"/>
                            <w:tab w:val="right" w:pos="9638"/>
                          </w:tabs>
                          <w:jc w:val="both"/>
                          <w:rPr>
                            <w:rFonts w:eastAsia="Calibri"/>
                            <w:bCs/>
                            <w:szCs w:val="24"/>
                          </w:rPr>
                        </w:pPr>
                        <w:r>
                          <w:rPr>
                            <w:rFonts w:eastAsia="Calibri"/>
                            <w:szCs w:val="24"/>
                          </w:rPr>
                          <w:t>Mirtingumas dėl priežasčių, susijusių su alkoholio vartojimu 100 000 gyv.</w:t>
                        </w:r>
                      </w:p>
                    </w:tc>
                    <w:tc>
                      <w:tcPr>
                        <w:tcW w:w="861" w:type="dxa"/>
                      </w:tcPr>
                      <w:p>
                        <w:pPr>
                          <w:tabs>
                            <w:tab w:val="center" w:pos="4819"/>
                            <w:tab w:val="right" w:pos="9638"/>
                          </w:tabs>
                          <w:jc w:val="center"/>
                          <w:rPr>
                            <w:rFonts w:eastAsia="Calibri"/>
                            <w:bCs/>
                            <w:szCs w:val="24"/>
                          </w:rPr>
                        </w:pPr>
                        <w:r>
                          <w:rPr>
                            <w:rFonts w:eastAsia="Calibri"/>
                            <w:bCs/>
                            <w:szCs w:val="24"/>
                          </w:rPr>
                          <w:t>13,9 (14)</w:t>
                        </w:r>
                      </w:p>
                    </w:tc>
                    <w:tc>
                      <w:tcPr>
                        <w:tcW w:w="862" w:type="dxa"/>
                      </w:tcPr>
                      <w:p>
                        <w:pPr>
                          <w:tabs>
                            <w:tab w:val="center" w:pos="4819"/>
                            <w:tab w:val="right" w:pos="9638"/>
                          </w:tabs>
                          <w:jc w:val="center"/>
                          <w:rPr>
                            <w:rFonts w:eastAsia="Calibri"/>
                            <w:bCs/>
                            <w:szCs w:val="24"/>
                          </w:rPr>
                        </w:pPr>
                        <w:r>
                          <w:rPr>
                            <w:rFonts w:eastAsia="Calibri"/>
                            <w:bCs/>
                            <w:szCs w:val="24"/>
                          </w:rPr>
                          <w:t>14,0</w:t>
                        </w:r>
                      </w:p>
                      <w:p>
                        <w:pPr>
                          <w:tabs>
                            <w:tab w:val="center" w:pos="4819"/>
                            <w:tab w:val="right" w:pos="9638"/>
                          </w:tabs>
                          <w:jc w:val="center"/>
                          <w:rPr>
                            <w:rFonts w:eastAsia="Calibri"/>
                            <w:bCs/>
                            <w:szCs w:val="24"/>
                          </w:rPr>
                        </w:pPr>
                        <w:r>
                          <w:rPr>
                            <w:rFonts w:eastAsia="Calibri"/>
                            <w:bCs/>
                            <w:szCs w:val="24"/>
                          </w:rPr>
                          <w:t>(14)</w:t>
                        </w:r>
                      </w:p>
                    </w:tc>
                    <w:tc>
                      <w:tcPr>
                        <w:tcW w:w="719" w:type="dxa"/>
                      </w:tcPr>
                      <w:p>
                        <w:pPr>
                          <w:tabs>
                            <w:tab w:val="center" w:pos="4819"/>
                            <w:tab w:val="right" w:pos="9638"/>
                          </w:tabs>
                          <w:jc w:val="center"/>
                          <w:rPr>
                            <w:rFonts w:eastAsia="Calibri"/>
                            <w:bCs/>
                            <w:szCs w:val="24"/>
                          </w:rPr>
                        </w:pPr>
                        <w:r>
                          <w:rPr>
                            <w:rFonts w:eastAsia="Calibri"/>
                            <w:bCs/>
                            <w:szCs w:val="24"/>
                          </w:rPr>
                          <w:t>17,9 (18)</w:t>
                        </w:r>
                      </w:p>
                    </w:tc>
                    <w:tc>
                      <w:tcPr>
                        <w:tcW w:w="861" w:type="dxa"/>
                      </w:tcPr>
                      <w:p>
                        <w:pPr>
                          <w:tabs>
                            <w:tab w:val="center" w:pos="4819"/>
                            <w:tab w:val="right" w:pos="9638"/>
                          </w:tabs>
                          <w:jc w:val="center"/>
                          <w:rPr>
                            <w:rFonts w:eastAsia="Calibri"/>
                            <w:bCs/>
                            <w:szCs w:val="24"/>
                          </w:rPr>
                        </w:pPr>
                        <w:r>
                          <w:rPr>
                            <w:rFonts w:eastAsia="Calibri"/>
                            <w:bCs/>
                            <w:szCs w:val="24"/>
                          </w:rPr>
                          <w:t>15,8</w:t>
                        </w:r>
                      </w:p>
                      <w:p>
                        <w:pPr>
                          <w:tabs>
                            <w:tab w:val="center" w:pos="4819"/>
                            <w:tab w:val="right" w:pos="9638"/>
                          </w:tabs>
                          <w:jc w:val="center"/>
                          <w:rPr>
                            <w:rFonts w:eastAsia="Calibri"/>
                            <w:bCs/>
                            <w:szCs w:val="24"/>
                          </w:rPr>
                        </w:pPr>
                        <w:r>
                          <w:rPr>
                            <w:rFonts w:eastAsia="Calibri"/>
                            <w:bCs/>
                            <w:szCs w:val="24"/>
                          </w:rPr>
                          <w:t>(15)</w:t>
                        </w:r>
                      </w:p>
                    </w:tc>
                    <w:tc>
                      <w:tcPr>
                        <w:tcW w:w="862" w:type="dxa"/>
                      </w:tcPr>
                      <w:p>
                        <w:pPr>
                          <w:tabs>
                            <w:tab w:val="center" w:pos="4819"/>
                            <w:tab w:val="right" w:pos="9638"/>
                          </w:tabs>
                          <w:jc w:val="center"/>
                          <w:rPr>
                            <w:rFonts w:eastAsia="Calibri"/>
                            <w:bCs/>
                            <w:szCs w:val="24"/>
                          </w:rPr>
                        </w:pPr>
                        <w:r>
                          <w:rPr>
                            <w:rFonts w:eastAsia="Calibri"/>
                            <w:bCs/>
                            <w:szCs w:val="24"/>
                          </w:rPr>
                          <w:t>19,8</w:t>
                        </w:r>
                      </w:p>
                      <w:p>
                        <w:pPr>
                          <w:tabs>
                            <w:tab w:val="center" w:pos="4819"/>
                            <w:tab w:val="right" w:pos="9638"/>
                          </w:tabs>
                          <w:jc w:val="center"/>
                          <w:rPr>
                            <w:rFonts w:eastAsia="Calibri"/>
                            <w:bCs/>
                            <w:szCs w:val="24"/>
                          </w:rPr>
                        </w:pPr>
                        <w:r>
                          <w:rPr>
                            <w:rFonts w:eastAsia="Calibri"/>
                            <w:bCs/>
                            <w:szCs w:val="24"/>
                          </w:rPr>
                          <w:t>(20)</w:t>
                        </w:r>
                      </w:p>
                    </w:tc>
                    <w:tc>
                      <w:tcPr>
                        <w:tcW w:w="1149" w:type="dxa"/>
                      </w:tcPr>
                      <w:p>
                        <w:pPr>
                          <w:tabs>
                            <w:tab w:val="center" w:pos="4819"/>
                            <w:tab w:val="right" w:pos="9638"/>
                          </w:tabs>
                          <w:jc w:val="center"/>
                          <w:rPr>
                            <w:rFonts w:eastAsia="Calibri"/>
                            <w:bCs/>
                            <w:szCs w:val="24"/>
                          </w:rPr>
                        </w:pPr>
                        <w:r>
                          <w:rPr>
                            <w:rFonts w:ascii="Calibri" w:eastAsia="Calibri" w:hAnsi="Calibri" w:cs="Calibri"/>
                            <w:b/>
                            <w:bCs/>
                            <w:color w:val="FF0000"/>
                            <w:sz w:val="22"/>
                            <w:szCs w:val="24"/>
                            <w:lang w:val="en-US"/>
                          </w:rPr>
                          <w:t>↑</w:t>
                        </w:r>
                        <w:r>
                          <w:rPr>
                            <w:rFonts w:eastAsia="Calibri"/>
                            <w:b/>
                            <w:szCs w:val="24"/>
                          </w:rPr>
                          <w:t xml:space="preserve"> </w:t>
                        </w:r>
                        <w:r>
                          <w:rPr>
                            <w:rFonts w:eastAsia="Calibri"/>
                            <w:szCs w:val="24"/>
                          </w:rPr>
                          <w:t>(1 m.)</w:t>
                        </w:r>
                      </w:p>
                    </w:tc>
                  </w:tr>
                  <w:tr>
                    <w:trPr>
                      <w:trHeight w:val="844"/>
                    </w:trPr>
                    <w:tc>
                      <w:tcPr>
                        <w:tcW w:w="4288" w:type="dxa"/>
                      </w:tcPr>
                      <w:p>
                        <w:pPr>
                          <w:tabs>
                            <w:tab w:val="center" w:pos="4819"/>
                            <w:tab w:val="right" w:pos="9638"/>
                          </w:tabs>
                          <w:jc w:val="both"/>
                          <w:rPr>
                            <w:rFonts w:eastAsia="Calibri"/>
                            <w:bCs/>
                            <w:szCs w:val="24"/>
                          </w:rPr>
                        </w:pPr>
                        <w:r>
                          <w:rPr>
                            <w:rFonts w:eastAsia="Calibri"/>
                            <w:szCs w:val="24"/>
                          </w:rPr>
                          <w:t>Nusikalstamos veikos, susijusios su disponavimu narkotinėmis medžiagomis ir jų kontrabanda</w:t>
                        </w:r>
                      </w:p>
                    </w:tc>
                    <w:tc>
                      <w:tcPr>
                        <w:tcW w:w="861" w:type="dxa"/>
                      </w:tcPr>
                      <w:p>
                        <w:pPr>
                          <w:tabs>
                            <w:tab w:val="center" w:pos="4819"/>
                            <w:tab w:val="right" w:pos="9638"/>
                          </w:tabs>
                          <w:jc w:val="center"/>
                          <w:rPr>
                            <w:rFonts w:eastAsia="Calibri"/>
                            <w:bCs/>
                            <w:szCs w:val="24"/>
                          </w:rPr>
                        </w:pPr>
                        <w:r>
                          <w:rPr>
                            <w:rFonts w:eastAsia="Calibri"/>
                            <w:bCs/>
                            <w:szCs w:val="24"/>
                          </w:rPr>
                          <w:t>47,6 (48)</w:t>
                        </w:r>
                      </w:p>
                      <w:p>
                        <w:pPr>
                          <w:tabs>
                            <w:tab w:val="center" w:pos="4819"/>
                            <w:tab w:val="right" w:pos="9638"/>
                          </w:tabs>
                          <w:jc w:val="center"/>
                          <w:rPr>
                            <w:rFonts w:eastAsia="Calibri"/>
                            <w:bCs/>
                            <w:szCs w:val="24"/>
                          </w:rPr>
                        </w:pPr>
                      </w:p>
                    </w:tc>
                    <w:tc>
                      <w:tcPr>
                        <w:tcW w:w="862" w:type="dxa"/>
                      </w:tcPr>
                      <w:p>
                        <w:pPr>
                          <w:tabs>
                            <w:tab w:val="center" w:pos="4819"/>
                            <w:tab w:val="right" w:pos="9638"/>
                          </w:tabs>
                          <w:jc w:val="center"/>
                          <w:rPr>
                            <w:rFonts w:eastAsia="Calibri"/>
                            <w:bCs/>
                            <w:szCs w:val="24"/>
                          </w:rPr>
                        </w:pPr>
                        <w:r>
                          <w:rPr>
                            <w:rFonts w:eastAsia="Calibri"/>
                            <w:bCs/>
                            <w:szCs w:val="24"/>
                          </w:rPr>
                          <w:t>64,8</w:t>
                        </w:r>
                      </w:p>
                      <w:p>
                        <w:pPr>
                          <w:tabs>
                            <w:tab w:val="center" w:pos="4819"/>
                            <w:tab w:val="right" w:pos="9638"/>
                          </w:tabs>
                          <w:jc w:val="center"/>
                          <w:rPr>
                            <w:rFonts w:eastAsia="Calibri"/>
                            <w:bCs/>
                            <w:szCs w:val="24"/>
                          </w:rPr>
                        </w:pPr>
                        <w:r>
                          <w:rPr>
                            <w:rFonts w:eastAsia="Calibri"/>
                            <w:bCs/>
                            <w:szCs w:val="24"/>
                          </w:rPr>
                          <w:t>(65)</w:t>
                        </w:r>
                      </w:p>
                      <w:p>
                        <w:pPr>
                          <w:tabs>
                            <w:tab w:val="center" w:pos="4819"/>
                            <w:tab w:val="right" w:pos="9638"/>
                          </w:tabs>
                          <w:jc w:val="center"/>
                          <w:rPr>
                            <w:rFonts w:eastAsia="Calibri"/>
                            <w:bCs/>
                            <w:szCs w:val="24"/>
                          </w:rPr>
                        </w:pPr>
                      </w:p>
                    </w:tc>
                    <w:tc>
                      <w:tcPr>
                        <w:tcW w:w="719" w:type="dxa"/>
                      </w:tcPr>
                      <w:p>
                        <w:pPr>
                          <w:tabs>
                            <w:tab w:val="center" w:pos="4819"/>
                            <w:tab w:val="right" w:pos="9638"/>
                          </w:tabs>
                          <w:jc w:val="center"/>
                          <w:rPr>
                            <w:rFonts w:eastAsia="Calibri"/>
                            <w:bCs/>
                            <w:szCs w:val="24"/>
                          </w:rPr>
                        </w:pPr>
                        <w:r>
                          <w:rPr>
                            <w:rFonts w:eastAsia="Calibri"/>
                            <w:bCs/>
                            <w:szCs w:val="24"/>
                          </w:rPr>
                          <w:t>69,4 (70)</w:t>
                        </w:r>
                      </w:p>
                    </w:tc>
                    <w:tc>
                      <w:tcPr>
                        <w:tcW w:w="861" w:type="dxa"/>
                      </w:tcPr>
                      <w:p>
                        <w:pPr>
                          <w:tabs>
                            <w:tab w:val="center" w:pos="4819"/>
                            <w:tab w:val="right" w:pos="9638"/>
                          </w:tabs>
                          <w:jc w:val="center"/>
                          <w:rPr>
                            <w:rFonts w:eastAsia="Calibri"/>
                            <w:bCs/>
                            <w:szCs w:val="24"/>
                          </w:rPr>
                        </w:pPr>
                        <w:r>
                          <w:rPr>
                            <w:rFonts w:eastAsia="Calibri"/>
                            <w:bCs/>
                            <w:szCs w:val="24"/>
                          </w:rPr>
                          <w:t>53,0</w:t>
                        </w:r>
                      </w:p>
                      <w:p>
                        <w:pPr>
                          <w:tabs>
                            <w:tab w:val="center" w:pos="4819"/>
                            <w:tab w:val="right" w:pos="9638"/>
                          </w:tabs>
                          <w:jc w:val="center"/>
                          <w:rPr>
                            <w:rFonts w:eastAsia="Calibri"/>
                            <w:bCs/>
                            <w:szCs w:val="24"/>
                          </w:rPr>
                        </w:pPr>
                        <w:r>
                          <w:rPr>
                            <w:rFonts w:eastAsia="Calibri"/>
                            <w:bCs/>
                            <w:szCs w:val="24"/>
                          </w:rPr>
                          <w:t>(53)</w:t>
                        </w:r>
                      </w:p>
                    </w:tc>
                    <w:tc>
                      <w:tcPr>
                        <w:tcW w:w="862" w:type="dxa"/>
                      </w:tcPr>
                      <w:p>
                        <w:pPr>
                          <w:tabs>
                            <w:tab w:val="center" w:pos="4819"/>
                            <w:tab w:val="right" w:pos="9638"/>
                          </w:tabs>
                          <w:jc w:val="center"/>
                          <w:rPr>
                            <w:rFonts w:eastAsia="Calibri"/>
                            <w:bCs/>
                            <w:szCs w:val="24"/>
                          </w:rPr>
                        </w:pPr>
                        <w:r>
                          <w:rPr>
                            <w:rFonts w:eastAsia="Calibri"/>
                            <w:bCs/>
                            <w:szCs w:val="24"/>
                          </w:rPr>
                          <w:t>78,1</w:t>
                        </w:r>
                      </w:p>
                      <w:p>
                        <w:pPr>
                          <w:tabs>
                            <w:tab w:val="center" w:pos="4819"/>
                            <w:tab w:val="right" w:pos="9638"/>
                          </w:tabs>
                          <w:jc w:val="center"/>
                          <w:rPr>
                            <w:rFonts w:eastAsia="Calibri"/>
                            <w:bCs/>
                            <w:szCs w:val="24"/>
                          </w:rPr>
                        </w:pPr>
                        <w:r>
                          <w:rPr>
                            <w:rFonts w:eastAsia="Calibri"/>
                            <w:bCs/>
                            <w:szCs w:val="24"/>
                          </w:rPr>
                          <w:t>(79)</w:t>
                        </w:r>
                      </w:p>
                    </w:tc>
                    <w:tc>
                      <w:tcPr>
                        <w:tcW w:w="1149" w:type="dxa"/>
                      </w:tcPr>
                      <w:p>
                        <w:pPr>
                          <w:tabs>
                            <w:tab w:val="center" w:pos="4819"/>
                            <w:tab w:val="right" w:pos="9638"/>
                          </w:tabs>
                          <w:jc w:val="center"/>
                          <w:rPr>
                            <w:rFonts w:eastAsia="Calibri"/>
                            <w:bCs/>
                            <w:szCs w:val="24"/>
                          </w:rPr>
                        </w:pPr>
                        <w:r>
                          <w:rPr>
                            <w:rFonts w:ascii="Calibri" w:eastAsia="Calibri" w:hAnsi="Calibri" w:cs="Calibri"/>
                            <w:b/>
                            <w:bCs/>
                            <w:color w:val="FF0000"/>
                            <w:sz w:val="22"/>
                            <w:szCs w:val="24"/>
                            <w:lang w:val="en-US"/>
                          </w:rPr>
                          <w:t>↑</w:t>
                        </w:r>
                        <w:r>
                          <w:rPr>
                            <w:rFonts w:eastAsia="Calibri"/>
                            <w:b/>
                            <w:szCs w:val="24"/>
                          </w:rPr>
                          <w:t xml:space="preserve"> </w:t>
                        </w:r>
                        <w:r>
                          <w:rPr>
                            <w:rFonts w:eastAsia="Calibri"/>
                            <w:szCs w:val="24"/>
                          </w:rPr>
                          <w:t>(1 m.)</w:t>
                        </w:r>
                      </w:p>
                    </w:tc>
                  </w:tr>
                  <w:tr>
                    <w:trPr>
                      <w:trHeight w:val="293"/>
                    </w:trPr>
                    <w:tc>
                      <w:tcPr>
                        <w:tcW w:w="4288" w:type="dxa"/>
                      </w:tcPr>
                      <w:p>
                        <w:pPr>
                          <w:tabs>
                            <w:tab w:val="center" w:pos="4819"/>
                            <w:tab w:val="right" w:pos="9638"/>
                          </w:tabs>
                          <w:jc w:val="both"/>
                          <w:rPr>
                            <w:rFonts w:eastAsia="Calibri"/>
                            <w:bCs/>
                            <w:szCs w:val="24"/>
                          </w:rPr>
                        </w:pPr>
                        <w:r>
                          <w:rPr>
                            <w:rFonts w:eastAsia="Calibri"/>
                            <w:szCs w:val="24"/>
                          </w:rPr>
                          <w:t xml:space="preserve">Gyventojų skaičius, tenkantis vienai licencijai verstis mažmenine prekyba tabako gaminiais </w:t>
                        </w:r>
                      </w:p>
                    </w:tc>
                    <w:tc>
                      <w:tcPr>
                        <w:tcW w:w="861" w:type="dxa"/>
                      </w:tcPr>
                      <w:p>
                        <w:pPr>
                          <w:tabs>
                            <w:tab w:val="center" w:pos="4819"/>
                            <w:tab w:val="right" w:pos="9638"/>
                          </w:tabs>
                          <w:jc w:val="center"/>
                          <w:rPr>
                            <w:rFonts w:eastAsia="Calibri"/>
                            <w:bCs/>
                            <w:szCs w:val="24"/>
                          </w:rPr>
                        </w:pPr>
                      </w:p>
                      <w:p>
                        <w:pPr>
                          <w:tabs>
                            <w:tab w:val="center" w:pos="4819"/>
                            <w:tab w:val="right" w:pos="9638"/>
                          </w:tabs>
                          <w:jc w:val="center"/>
                          <w:rPr>
                            <w:rFonts w:eastAsia="Calibri"/>
                            <w:bCs/>
                            <w:szCs w:val="24"/>
                          </w:rPr>
                        </w:pPr>
                        <w:r>
                          <w:rPr>
                            <w:rFonts w:eastAsia="Calibri"/>
                            <w:bCs/>
                            <w:szCs w:val="24"/>
                          </w:rPr>
                          <w:t>191</w:t>
                        </w:r>
                      </w:p>
                    </w:tc>
                    <w:tc>
                      <w:tcPr>
                        <w:tcW w:w="862" w:type="dxa"/>
                      </w:tcPr>
                      <w:p>
                        <w:pPr>
                          <w:tabs>
                            <w:tab w:val="center" w:pos="4819"/>
                            <w:tab w:val="right" w:pos="9638"/>
                          </w:tabs>
                          <w:rPr>
                            <w:rFonts w:eastAsia="Calibri"/>
                            <w:bCs/>
                            <w:szCs w:val="24"/>
                          </w:rPr>
                        </w:pPr>
                      </w:p>
                      <w:p>
                        <w:pPr>
                          <w:tabs>
                            <w:tab w:val="center" w:pos="4819"/>
                            <w:tab w:val="right" w:pos="9638"/>
                          </w:tabs>
                          <w:jc w:val="center"/>
                          <w:rPr>
                            <w:rFonts w:eastAsia="Calibri"/>
                            <w:bCs/>
                            <w:szCs w:val="24"/>
                          </w:rPr>
                        </w:pPr>
                        <w:r>
                          <w:rPr>
                            <w:rFonts w:eastAsia="Calibri"/>
                            <w:bCs/>
                            <w:szCs w:val="24"/>
                          </w:rPr>
                          <w:t>230</w:t>
                        </w:r>
                      </w:p>
                    </w:tc>
                    <w:tc>
                      <w:tcPr>
                        <w:tcW w:w="719" w:type="dxa"/>
                      </w:tcPr>
                      <w:p>
                        <w:pPr>
                          <w:tabs>
                            <w:tab w:val="center" w:pos="4819"/>
                            <w:tab w:val="right" w:pos="9638"/>
                          </w:tabs>
                          <w:jc w:val="center"/>
                          <w:rPr>
                            <w:rFonts w:eastAsia="Calibri"/>
                            <w:bCs/>
                            <w:szCs w:val="24"/>
                          </w:rPr>
                        </w:pPr>
                      </w:p>
                      <w:p>
                        <w:pPr>
                          <w:tabs>
                            <w:tab w:val="center" w:pos="4819"/>
                            <w:tab w:val="right" w:pos="9638"/>
                          </w:tabs>
                          <w:jc w:val="center"/>
                          <w:rPr>
                            <w:rFonts w:eastAsia="Calibri"/>
                            <w:bCs/>
                            <w:szCs w:val="24"/>
                          </w:rPr>
                        </w:pPr>
                        <w:r>
                          <w:rPr>
                            <w:rFonts w:eastAsia="Calibri"/>
                            <w:bCs/>
                            <w:szCs w:val="24"/>
                          </w:rPr>
                          <w:t>285</w:t>
                        </w:r>
                      </w:p>
                    </w:tc>
                    <w:tc>
                      <w:tcPr>
                        <w:tcW w:w="861" w:type="dxa"/>
                      </w:tcPr>
                      <w:p>
                        <w:pPr>
                          <w:tabs>
                            <w:tab w:val="center" w:pos="4819"/>
                            <w:tab w:val="right" w:pos="9638"/>
                          </w:tabs>
                          <w:jc w:val="center"/>
                          <w:rPr>
                            <w:rFonts w:eastAsia="Calibri"/>
                            <w:bCs/>
                            <w:szCs w:val="24"/>
                          </w:rPr>
                        </w:pPr>
                      </w:p>
                      <w:p>
                        <w:pPr>
                          <w:tabs>
                            <w:tab w:val="center" w:pos="4819"/>
                            <w:tab w:val="right" w:pos="9638"/>
                          </w:tabs>
                          <w:jc w:val="center"/>
                          <w:rPr>
                            <w:rFonts w:eastAsia="Calibri"/>
                            <w:bCs/>
                            <w:szCs w:val="24"/>
                          </w:rPr>
                        </w:pPr>
                        <w:r>
                          <w:rPr>
                            <w:rFonts w:eastAsia="Calibri"/>
                            <w:bCs/>
                            <w:szCs w:val="24"/>
                          </w:rPr>
                          <w:t>288</w:t>
                        </w:r>
                      </w:p>
                    </w:tc>
                    <w:tc>
                      <w:tcPr>
                        <w:tcW w:w="862" w:type="dxa"/>
                      </w:tcPr>
                      <w:p>
                        <w:pPr>
                          <w:tabs>
                            <w:tab w:val="center" w:pos="4819"/>
                            <w:tab w:val="right" w:pos="9638"/>
                          </w:tabs>
                          <w:jc w:val="center"/>
                          <w:rPr>
                            <w:rFonts w:eastAsia="Calibri"/>
                            <w:bCs/>
                            <w:szCs w:val="24"/>
                          </w:rPr>
                        </w:pPr>
                      </w:p>
                      <w:p>
                        <w:pPr>
                          <w:tabs>
                            <w:tab w:val="center" w:pos="4819"/>
                            <w:tab w:val="right" w:pos="9638"/>
                          </w:tabs>
                          <w:jc w:val="center"/>
                          <w:rPr>
                            <w:rFonts w:eastAsia="Calibri"/>
                            <w:bCs/>
                            <w:szCs w:val="24"/>
                          </w:rPr>
                        </w:pPr>
                        <w:r>
                          <w:rPr>
                            <w:rFonts w:eastAsia="Calibri"/>
                            <w:bCs/>
                            <w:szCs w:val="24"/>
                          </w:rPr>
                          <w:t>293</w:t>
                        </w:r>
                      </w:p>
                    </w:tc>
                    <w:tc>
                      <w:tcPr>
                        <w:tcW w:w="1149" w:type="dxa"/>
                      </w:tcPr>
                      <w:p>
                        <w:pPr>
                          <w:tabs>
                            <w:tab w:val="center" w:pos="4819"/>
                            <w:tab w:val="right" w:pos="9638"/>
                          </w:tabs>
                          <w:jc w:val="center"/>
                          <w:rPr>
                            <w:rFonts w:ascii="Calibri" w:eastAsia="Calibri" w:hAnsi="Calibri" w:cs="Calibri"/>
                            <w:szCs w:val="24"/>
                          </w:rPr>
                        </w:pPr>
                      </w:p>
                      <w:p>
                        <w:pPr>
                          <w:tabs>
                            <w:tab w:val="center" w:pos="4819"/>
                            <w:tab w:val="right" w:pos="9638"/>
                          </w:tabs>
                          <w:jc w:val="center"/>
                          <w:rPr>
                            <w:rFonts w:eastAsia="Calibri"/>
                            <w:bCs/>
                            <w:szCs w:val="24"/>
                          </w:rPr>
                        </w:pPr>
                        <w:r>
                          <w:rPr>
                            <w:rFonts w:ascii="Calibri" w:eastAsia="Calibri" w:hAnsi="Calibri" w:cs="Calibri"/>
                            <w:b/>
                            <w:color w:val="92D050"/>
                            <w:szCs w:val="24"/>
                          </w:rPr>
                          <w:t>↓</w:t>
                        </w:r>
                        <w:r>
                          <w:rPr>
                            <w:rFonts w:eastAsia="Calibri"/>
                            <w:b/>
                            <w:szCs w:val="24"/>
                          </w:rPr>
                          <w:t xml:space="preserve"> </w:t>
                        </w:r>
                        <w:r>
                          <w:rPr>
                            <w:rFonts w:eastAsia="Calibri"/>
                            <w:szCs w:val="24"/>
                          </w:rPr>
                          <w:t>(4 m.)</w:t>
                        </w:r>
                      </w:p>
                    </w:tc>
                  </w:tr>
                  <w:tr>
                    <w:trPr>
                      <w:trHeight w:val="832"/>
                    </w:trPr>
                    <w:tc>
                      <w:tcPr>
                        <w:tcW w:w="4288" w:type="dxa"/>
                      </w:tcPr>
                      <w:p>
                        <w:pPr>
                          <w:tabs>
                            <w:tab w:val="center" w:pos="4819"/>
                            <w:tab w:val="right" w:pos="9638"/>
                          </w:tabs>
                          <w:jc w:val="both"/>
                          <w:rPr>
                            <w:rFonts w:eastAsia="Calibri"/>
                            <w:szCs w:val="24"/>
                          </w:rPr>
                        </w:pPr>
                        <w:r>
                          <w:rPr>
                            <w:rFonts w:eastAsia="Calibri"/>
                            <w:szCs w:val="24"/>
                          </w:rPr>
                          <w:t xml:space="preserve">Gyventojų skaičius, tenkantis vienai licencijai verstis mažmenine prekyba alkoholiniais gėrimais </w:t>
                        </w:r>
                      </w:p>
                    </w:tc>
                    <w:tc>
                      <w:tcPr>
                        <w:tcW w:w="861" w:type="dxa"/>
                      </w:tcPr>
                      <w:p>
                        <w:pPr>
                          <w:tabs>
                            <w:tab w:val="center" w:pos="4819"/>
                            <w:tab w:val="right" w:pos="9638"/>
                          </w:tabs>
                          <w:jc w:val="center"/>
                          <w:rPr>
                            <w:rFonts w:eastAsia="Calibri"/>
                            <w:bCs/>
                            <w:szCs w:val="24"/>
                          </w:rPr>
                        </w:pPr>
                      </w:p>
                      <w:p>
                        <w:pPr>
                          <w:tabs>
                            <w:tab w:val="center" w:pos="4819"/>
                            <w:tab w:val="right" w:pos="9638"/>
                          </w:tabs>
                          <w:jc w:val="center"/>
                          <w:rPr>
                            <w:rFonts w:eastAsia="Calibri"/>
                            <w:bCs/>
                            <w:szCs w:val="24"/>
                          </w:rPr>
                        </w:pPr>
                        <w:r>
                          <w:rPr>
                            <w:rFonts w:eastAsia="Calibri"/>
                            <w:bCs/>
                            <w:szCs w:val="24"/>
                          </w:rPr>
                          <w:t>244</w:t>
                        </w:r>
                      </w:p>
                    </w:tc>
                    <w:tc>
                      <w:tcPr>
                        <w:tcW w:w="862" w:type="dxa"/>
                      </w:tcPr>
                      <w:p>
                        <w:pPr>
                          <w:tabs>
                            <w:tab w:val="center" w:pos="4819"/>
                            <w:tab w:val="right" w:pos="9638"/>
                          </w:tabs>
                          <w:jc w:val="center"/>
                          <w:rPr>
                            <w:rFonts w:eastAsia="Calibri"/>
                            <w:bCs/>
                            <w:szCs w:val="24"/>
                          </w:rPr>
                        </w:pPr>
                      </w:p>
                      <w:p>
                        <w:pPr>
                          <w:tabs>
                            <w:tab w:val="center" w:pos="4819"/>
                            <w:tab w:val="right" w:pos="9638"/>
                          </w:tabs>
                          <w:jc w:val="center"/>
                          <w:rPr>
                            <w:rFonts w:eastAsia="Calibri"/>
                            <w:bCs/>
                            <w:szCs w:val="24"/>
                          </w:rPr>
                        </w:pPr>
                        <w:r>
                          <w:rPr>
                            <w:rFonts w:eastAsia="Calibri"/>
                            <w:bCs/>
                            <w:szCs w:val="24"/>
                          </w:rPr>
                          <w:t>274</w:t>
                        </w:r>
                      </w:p>
                    </w:tc>
                    <w:tc>
                      <w:tcPr>
                        <w:tcW w:w="719" w:type="dxa"/>
                      </w:tcPr>
                      <w:p>
                        <w:pPr>
                          <w:tabs>
                            <w:tab w:val="center" w:pos="4819"/>
                            <w:tab w:val="right" w:pos="9638"/>
                          </w:tabs>
                          <w:jc w:val="center"/>
                          <w:rPr>
                            <w:rFonts w:eastAsia="Calibri"/>
                            <w:bCs/>
                            <w:szCs w:val="24"/>
                          </w:rPr>
                        </w:pPr>
                      </w:p>
                      <w:p>
                        <w:pPr>
                          <w:tabs>
                            <w:tab w:val="center" w:pos="4819"/>
                            <w:tab w:val="right" w:pos="9638"/>
                          </w:tabs>
                          <w:jc w:val="center"/>
                          <w:rPr>
                            <w:rFonts w:eastAsia="Calibri"/>
                            <w:bCs/>
                            <w:szCs w:val="24"/>
                          </w:rPr>
                        </w:pPr>
                        <w:r>
                          <w:rPr>
                            <w:rFonts w:eastAsia="Calibri"/>
                            <w:bCs/>
                            <w:szCs w:val="24"/>
                          </w:rPr>
                          <w:t>339</w:t>
                        </w:r>
                      </w:p>
                    </w:tc>
                    <w:tc>
                      <w:tcPr>
                        <w:tcW w:w="861" w:type="dxa"/>
                      </w:tcPr>
                      <w:p>
                        <w:pPr>
                          <w:tabs>
                            <w:tab w:val="center" w:pos="4819"/>
                            <w:tab w:val="right" w:pos="9638"/>
                          </w:tabs>
                          <w:jc w:val="center"/>
                          <w:rPr>
                            <w:rFonts w:eastAsia="Calibri"/>
                            <w:bCs/>
                            <w:szCs w:val="24"/>
                          </w:rPr>
                        </w:pPr>
                      </w:p>
                      <w:p>
                        <w:pPr>
                          <w:tabs>
                            <w:tab w:val="center" w:pos="4819"/>
                            <w:tab w:val="right" w:pos="9638"/>
                          </w:tabs>
                          <w:jc w:val="center"/>
                          <w:rPr>
                            <w:rFonts w:eastAsia="Calibri"/>
                            <w:bCs/>
                            <w:szCs w:val="24"/>
                          </w:rPr>
                        </w:pPr>
                        <w:r>
                          <w:rPr>
                            <w:rFonts w:eastAsia="Calibri"/>
                            <w:bCs/>
                            <w:szCs w:val="24"/>
                          </w:rPr>
                          <w:t>347</w:t>
                        </w:r>
                      </w:p>
                    </w:tc>
                    <w:tc>
                      <w:tcPr>
                        <w:tcW w:w="862" w:type="dxa"/>
                      </w:tcPr>
                      <w:p>
                        <w:pPr>
                          <w:tabs>
                            <w:tab w:val="center" w:pos="4819"/>
                            <w:tab w:val="right" w:pos="9638"/>
                          </w:tabs>
                          <w:jc w:val="center"/>
                          <w:rPr>
                            <w:rFonts w:eastAsia="Calibri"/>
                            <w:bCs/>
                            <w:szCs w:val="24"/>
                          </w:rPr>
                        </w:pPr>
                      </w:p>
                      <w:p>
                        <w:pPr>
                          <w:tabs>
                            <w:tab w:val="center" w:pos="4819"/>
                            <w:tab w:val="right" w:pos="9638"/>
                          </w:tabs>
                          <w:jc w:val="center"/>
                          <w:rPr>
                            <w:rFonts w:eastAsia="Calibri"/>
                            <w:bCs/>
                            <w:szCs w:val="24"/>
                          </w:rPr>
                        </w:pPr>
                        <w:r>
                          <w:rPr>
                            <w:rFonts w:eastAsia="Calibri"/>
                            <w:bCs/>
                            <w:szCs w:val="24"/>
                          </w:rPr>
                          <w:t>347</w:t>
                        </w:r>
                      </w:p>
                    </w:tc>
                    <w:tc>
                      <w:tcPr>
                        <w:tcW w:w="1149" w:type="dxa"/>
                      </w:tcPr>
                      <w:p>
                        <w:pPr>
                          <w:tabs>
                            <w:tab w:val="center" w:pos="4819"/>
                            <w:tab w:val="right" w:pos="9638"/>
                          </w:tabs>
                          <w:jc w:val="center"/>
                          <w:rPr>
                            <w:rFonts w:ascii="Calibri" w:eastAsia="Calibri" w:hAnsi="Calibri" w:cs="Calibri"/>
                            <w:b/>
                            <w:color w:val="92D050"/>
                            <w:szCs w:val="24"/>
                          </w:rPr>
                        </w:pPr>
                      </w:p>
                      <w:p>
                        <w:pPr>
                          <w:tabs>
                            <w:tab w:val="center" w:pos="4819"/>
                            <w:tab w:val="right" w:pos="9638"/>
                          </w:tabs>
                          <w:jc w:val="center"/>
                          <w:rPr>
                            <w:rFonts w:ascii="Calibri" w:eastAsia="Calibri" w:hAnsi="Calibri" w:cs="Calibri"/>
                            <w:b/>
                            <w:bCs/>
                            <w:szCs w:val="24"/>
                          </w:rPr>
                        </w:pPr>
                        <w:r>
                          <w:rPr>
                            <w:rFonts w:ascii="Calibri" w:eastAsia="Calibri" w:hAnsi="Calibri" w:cs="Calibri"/>
                            <w:b/>
                            <w:bCs/>
                            <w:szCs w:val="24"/>
                          </w:rPr>
                          <w:t>→</w:t>
                        </w:r>
                      </w:p>
                    </w:tc>
                  </w:tr>
                </w:tbl>
                <w:p>
                  <w:pPr>
                    <w:spacing w:line="259" w:lineRule="auto"/>
                    <w:jc w:val="both"/>
                    <w:rPr>
                      <w:rFonts w:eastAsia="Calibri"/>
                      <w:bCs/>
                      <w:szCs w:val="24"/>
                      <w:lang w:val="en-US"/>
                    </w:rPr>
                  </w:pPr>
                </w:p>
                <w:p>
                  <w:pPr>
                    <w:rPr>
                      <w:sz w:val="14"/>
                      <w:szCs w:val="14"/>
                    </w:rPr>
                  </w:pPr>
                </w:p>
                <w:p>
                  <w:pPr>
                    <w:ind w:left="-142" w:firstLine="993"/>
                    <w:jc w:val="both"/>
                    <w:rPr>
                      <w:rFonts w:eastAsia="Calibri"/>
                      <w:bCs/>
                      <w:szCs w:val="24"/>
                      <w:lang w:val="en-US"/>
                    </w:rPr>
                  </w:pPr>
                  <w:r>
                    <w:rPr>
                      <w:rFonts w:eastAsia="Calibri"/>
                      <w:bCs/>
                      <w:szCs w:val="24"/>
                      <w:lang w:val="en-US"/>
                    </w:rPr>
                    <w:t>Duomenys iš 1 lentelės pateikti Šiaulių miesto savivaldybės visuomenės sveikatos stebėsenos 2021 m. ataskaitoje.</w:t>
                  </w:r>
                </w:p>
                <w:p>
                  <w:pPr>
                    <w:rPr>
                      <w:sz w:val="14"/>
                      <w:szCs w:val="14"/>
                    </w:rPr>
                  </w:pPr>
                </w:p>
                <w:p>
                  <w:pPr>
                    <w:ind w:left="-142" w:firstLine="993"/>
                    <w:jc w:val="both"/>
                    <w:rPr>
                      <w:rFonts w:eastAsia="Calibri"/>
                      <w:bCs/>
                      <w:szCs w:val="24"/>
                    </w:rPr>
                  </w:pPr>
                  <w:r>
                    <w:rPr>
                      <w:rFonts w:eastAsia="Calibri"/>
                      <w:bCs/>
                      <w:szCs w:val="24"/>
                    </w:rPr>
                    <w:t>2022 m. pavasarį atliktas antrasis Šiaulių miesto suaugusių gyventojų gyvensenos tyrimas. Buvo apklausti 428 asmenys. 2 lentelėje pateikiame rezultatus.</w:t>
                  </w:r>
                </w:p>
                <w:p>
                  <w:pPr>
                    <w:rPr>
                      <w:sz w:val="14"/>
                      <w:szCs w:val="14"/>
                    </w:rPr>
                  </w:pPr>
                </w:p>
                <w:p>
                  <w:pPr>
                    <w:jc w:val="both"/>
                    <w:rPr>
                      <w:rFonts w:eastAsia="Calibri"/>
                      <w:b/>
                      <w:bCs/>
                      <w:szCs w:val="24"/>
                    </w:rPr>
                  </w:pPr>
                </w:p>
              </w:sdtContent>
            </w:sdt>
            <w:sdt>
              <w:sdtPr>
                <w:alias w:val="poskyris"/>
                <w:tag w:val="part_3285eee6d55641a09590757c164d8230"/>
                <w:lock w:val="sdtLocked"/>
                <w:richText/>
              </w:sdtPr>
              <w:sdtContent>
                <w:p>
                  <w:pPr>
                    <w:jc w:val="both"/>
                    <w:rPr>
                      <w:rFonts w:eastAsia="Calibri"/>
                      <w:b/>
                      <w:bCs/>
                      <w:szCs w:val="24"/>
                    </w:rPr>
                  </w:pPr>
                  <w:sdt>
                    <w:sdtPr>
                      <w:alias w:val="Pavadinimas"/>
                      <w:tag w:val="title_3285eee6d55641a09590757c164d8230"/>
                      <w:lock w:val="sdtLocked"/>
                      <w:richText/>
                    </w:sdtPr>
                    <w:sdtContent>
                      <w:r>
                        <w:rPr>
                          <w:rFonts w:eastAsia="Calibri"/>
                          <w:b/>
                          <w:bCs/>
                          <w:szCs w:val="24"/>
                        </w:rPr>
                        <w:t>2 lentelė. Šiaulių miesto suaugusių gyventojų gyvensenos stebėsenos rodikliai (proc.)</w:t>
                      </w:r>
                    </w:sdtContent>
                  </w:sdt>
                </w:p>
                <w:tbl>
                  <w:tblPr>
                    <w:tblW w:w="9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86"/>
                    <w:gridCol w:w="682"/>
                    <w:gridCol w:w="681"/>
                    <w:gridCol w:w="920"/>
                  </w:tblGrid>
                  <w:tr>
                    <w:trPr>
                      <w:trHeight w:val="505"/>
                    </w:trPr>
                    <w:tc>
                      <w:tcPr>
                        <w:tcW w:w="7486" w:type="dxa"/>
                        <w:shd w:val="clear" w:color="auto" w:fill="auto"/>
                      </w:tcPr>
                      <w:p>
                        <w:pPr>
                          <w:jc w:val="both"/>
                          <w:rPr>
                            <w:rFonts w:eastAsia="Calibri"/>
                            <w:b/>
                            <w:bCs/>
                            <w:szCs w:val="24"/>
                          </w:rPr>
                        </w:pPr>
                        <w:r>
                          <w:rPr>
                            <w:rFonts w:eastAsia="Calibri"/>
                            <w:b/>
                            <w:bCs/>
                            <w:szCs w:val="24"/>
                          </w:rPr>
                          <w:t>Rodikliai</w:t>
                        </w:r>
                      </w:p>
                    </w:tc>
                    <w:tc>
                      <w:tcPr>
                        <w:tcW w:w="682" w:type="dxa"/>
                        <w:shd w:val="clear" w:color="auto" w:fill="auto"/>
                      </w:tcPr>
                      <w:p>
                        <w:pPr>
                          <w:jc w:val="both"/>
                          <w:rPr>
                            <w:rFonts w:eastAsia="Calibri"/>
                            <w:b/>
                            <w:bCs/>
                            <w:szCs w:val="24"/>
                          </w:rPr>
                        </w:pPr>
                        <w:r>
                          <w:rPr>
                            <w:rFonts w:eastAsia="Calibri"/>
                            <w:b/>
                            <w:bCs/>
                            <w:szCs w:val="24"/>
                          </w:rPr>
                          <w:t>2018 m.</w:t>
                        </w:r>
                      </w:p>
                    </w:tc>
                    <w:tc>
                      <w:tcPr>
                        <w:tcW w:w="681" w:type="dxa"/>
                        <w:shd w:val="clear" w:color="auto" w:fill="auto"/>
                      </w:tcPr>
                      <w:p>
                        <w:pPr>
                          <w:jc w:val="both"/>
                          <w:rPr>
                            <w:rFonts w:eastAsia="Calibri"/>
                            <w:b/>
                            <w:bCs/>
                            <w:szCs w:val="24"/>
                          </w:rPr>
                        </w:pPr>
                        <w:r>
                          <w:rPr>
                            <w:rFonts w:eastAsia="Calibri"/>
                            <w:b/>
                            <w:bCs/>
                            <w:szCs w:val="24"/>
                          </w:rPr>
                          <w:t>2022 m.</w:t>
                        </w:r>
                      </w:p>
                    </w:tc>
                    <w:tc>
                      <w:tcPr>
                        <w:tcW w:w="920" w:type="dxa"/>
                        <w:shd w:val="clear" w:color="auto" w:fill="auto"/>
                      </w:tcPr>
                      <w:p>
                        <w:pPr>
                          <w:jc w:val="both"/>
                          <w:rPr>
                            <w:rFonts w:eastAsia="Calibri"/>
                            <w:b/>
                            <w:bCs/>
                            <w:szCs w:val="24"/>
                          </w:rPr>
                        </w:pPr>
                        <w:r>
                          <w:rPr>
                            <w:rFonts w:eastAsia="Calibri"/>
                            <w:b/>
                            <w:bCs/>
                            <w:szCs w:val="24"/>
                          </w:rPr>
                          <w:t>Pokytis</w:t>
                        </w:r>
                      </w:p>
                    </w:tc>
                  </w:tr>
                  <w:tr>
                    <w:trPr>
                      <w:trHeight w:val="264"/>
                    </w:trPr>
                    <w:tc>
                      <w:tcPr>
                        <w:tcW w:w="7486" w:type="dxa"/>
                        <w:shd w:val="clear" w:color="auto" w:fill="auto"/>
                      </w:tcPr>
                      <w:p>
                        <w:pPr>
                          <w:jc w:val="both"/>
                          <w:rPr>
                            <w:rFonts w:eastAsia="Calibri"/>
                            <w:szCs w:val="24"/>
                            <w:lang w:val="en-US"/>
                          </w:rPr>
                        </w:pPr>
                        <w:r>
                          <w:rPr>
                            <w:rFonts w:eastAsia="Calibri"/>
                            <w:color w:val="000000"/>
                            <w:szCs w:val="24"/>
                            <w:lang w:val="en-US"/>
                          </w:rPr>
                          <w:t xml:space="preserve">Suaugusieji, </w:t>
                        </w:r>
                        <w:r>
                          <w:rPr>
                            <w:rFonts w:eastAsia="Calibri"/>
                            <w:color w:val="000000"/>
                            <w:szCs w:val="24"/>
                          </w:rPr>
                          <w:t>kurie</w:t>
                        </w:r>
                        <w:r>
                          <w:rPr>
                            <w:rFonts w:eastAsia="Calibri"/>
                            <w:color w:val="000000"/>
                            <w:szCs w:val="24"/>
                            <w:lang w:val="en-US"/>
                          </w:rPr>
                          <w:t xml:space="preserve"> per </w:t>
                        </w:r>
                        <w:r>
                          <w:rPr>
                            <w:rFonts w:eastAsia="Calibri"/>
                            <w:color w:val="000000"/>
                            <w:szCs w:val="24"/>
                          </w:rPr>
                          <w:t>paskutines</w:t>
                        </w:r>
                        <w:r>
                          <w:rPr>
                            <w:rFonts w:eastAsia="Calibri"/>
                            <w:color w:val="000000"/>
                            <w:szCs w:val="24"/>
                            <w:lang w:val="en-US"/>
                          </w:rPr>
                          <w:t xml:space="preserve"> 30 d. kasdien rūkė tabako gaminius, proc.</w:t>
                        </w:r>
                      </w:p>
                    </w:tc>
                    <w:tc>
                      <w:tcPr>
                        <w:tcW w:w="682" w:type="dxa"/>
                        <w:shd w:val="clear" w:color="auto" w:fill="auto"/>
                      </w:tcPr>
                      <w:p>
                        <w:pPr>
                          <w:jc w:val="both"/>
                          <w:rPr>
                            <w:b/>
                            <w:bCs/>
                            <w:szCs w:val="24"/>
                            <w:lang w:val="en-US" w:eastAsia="lt-LT"/>
                          </w:rPr>
                        </w:pPr>
                        <w:r>
                          <w:rPr>
                            <w:b/>
                            <w:bCs/>
                            <w:szCs w:val="24"/>
                            <w:lang w:val="en-US" w:eastAsia="lt-LT"/>
                          </w:rPr>
                          <w:t>16,0</w:t>
                        </w:r>
                      </w:p>
                    </w:tc>
                    <w:tc>
                      <w:tcPr>
                        <w:tcW w:w="681" w:type="dxa"/>
                        <w:shd w:val="clear" w:color="auto" w:fill="auto"/>
                      </w:tcPr>
                      <w:p>
                        <w:pPr>
                          <w:jc w:val="both"/>
                          <w:rPr>
                            <w:b/>
                            <w:bCs/>
                            <w:szCs w:val="24"/>
                            <w:lang w:val="en-US" w:eastAsia="lt-LT"/>
                          </w:rPr>
                        </w:pPr>
                        <w:r>
                          <w:rPr>
                            <w:b/>
                            <w:bCs/>
                            <w:szCs w:val="24"/>
                            <w:lang w:val="en-US" w:eastAsia="lt-LT"/>
                          </w:rPr>
                          <w:t>21,7</w:t>
                        </w:r>
                      </w:p>
                    </w:tc>
                    <w:tc>
                      <w:tcPr>
                        <w:tcW w:w="920" w:type="dxa"/>
                        <w:shd w:val="clear" w:color="auto" w:fill="auto"/>
                      </w:tcPr>
                      <w:p>
                        <w:pPr>
                          <w:jc w:val="both"/>
                          <w:rPr>
                            <w:szCs w:val="24"/>
                            <w:lang w:val="en-US" w:eastAsia="lt-LT"/>
                          </w:rPr>
                        </w:pPr>
                        <w:r>
                          <w:rPr>
                            <w:rFonts w:eastAsia="Calibri"/>
                            <w:b/>
                            <w:bCs/>
                            <w:color w:val="FF0000"/>
                            <w:szCs w:val="24"/>
                            <w:lang w:val="en-US"/>
                          </w:rPr>
                          <w:t>↑</w:t>
                        </w:r>
                      </w:p>
                    </w:tc>
                  </w:tr>
                  <w:tr>
                    <w:trPr>
                      <w:trHeight w:val="264"/>
                    </w:trPr>
                    <w:tc>
                      <w:tcPr>
                        <w:tcW w:w="7486" w:type="dxa"/>
                        <w:shd w:val="clear" w:color="auto" w:fill="auto"/>
                      </w:tcPr>
                      <w:p>
                        <w:pPr>
                          <w:jc w:val="both"/>
                          <w:rPr>
                            <w:rFonts w:eastAsia="Calibri"/>
                            <w:szCs w:val="24"/>
                            <w:lang w:val="en-US"/>
                          </w:rPr>
                        </w:pPr>
                        <w:r>
                          <w:rPr>
                            <w:rFonts w:eastAsia="Calibri"/>
                            <w:color w:val="000000"/>
                            <w:szCs w:val="24"/>
                            <w:lang w:val="en-US"/>
                          </w:rPr>
                          <w:t>Suaugusieji, kurie per paskutines 30 d. kasdien rūkė elektronines cigaretes, proc.</w:t>
                        </w:r>
                      </w:p>
                    </w:tc>
                    <w:tc>
                      <w:tcPr>
                        <w:tcW w:w="682" w:type="dxa"/>
                        <w:shd w:val="clear" w:color="auto" w:fill="auto"/>
                      </w:tcPr>
                      <w:p>
                        <w:pPr>
                          <w:jc w:val="both"/>
                          <w:rPr>
                            <w:b/>
                            <w:bCs/>
                            <w:szCs w:val="24"/>
                            <w:lang w:val="en-US" w:eastAsia="lt-LT"/>
                          </w:rPr>
                        </w:pPr>
                        <w:r>
                          <w:rPr>
                            <w:b/>
                            <w:bCs/>
                            <w:szCs w:val="24"/>
                            <w:lang w:val="en-US" w:eastAsia="lt-LT"/>
                          </w:rPr>
                          <w:t>1,7</w:t>
                        </w:r>
                      </w:p>
                    </w:tc>
                    <w:tc>
                      <w:tcPr>
                        <w:tcW w:w="681" w:type="dxa"/>
                        <w:shd w:val="clear" w:color="auto" w:fill="auto"/>
                      </w:tcPr>
                      <w:p>
                        <w:pPr>
                          <w:jc w:val="both"/>
                          <w:rPr>
                            <w:b/>
                            <w:bCs/>
                            <w:szCs w:val="24"/>
                            <w:lang w:val="en-US" w:eastAsia="lt-LT"/>
                          </w:rPr>
                        </w:pPr>
                        <w:r>
                          <w:rPr>
                            <w:b/>
                            <w:bCs/>
                            <w:szCs w:val="24"/>
                            <w:lang w:val="en-US" w:eastAsia="lt-LT"/>
                          </w:rPr>
                          <w:t>9,1</w:t>
                        </w:r>
                      </w:p>
                    </w:tc>
                    <w:tc>
                      <w:tcPr>
                        <w:tcW w:w="920" w:type="dxa"/>
                        <w:shd w:val="clear" w:color="auto" w:fill="auto"/>
                      </w:tcPr>
                      <w:p>
                        <w:pPr>
                          <w:jc w:val="both"/>
                          <w:rPr>
                            <w:szCs w:val="24"/>
                            <w:lang w:val="en-US" w:eastAsia="lt-LT"/>
                          </w:rPr>
                        </w:pPr>
                        <w:r>
                          <w:rPr>
                            <w:rFonts w:eastAsia="Calibri"/>
                            <w:b/>
                            <w:bCs/>
                            <w:color w:val="FF0000"/>
                            <w:szCs w:val="24"/>
                            <w:lang w:val="en-US"/>
                          </w:rPr>
                          <w:t>↑</w:t>
                        </w:r>
                      </w:p>
                    </w:tc>
                  </w:tr>
                  <w:tr>
                    <w:trPr>
                      <w:trHeight w:val="276"/>
                    </w:trPr>
                    <w:tc>
                      <w:tcPr>
                        <w:tcW w:w="7486" w:type="dxa"/>
                        <w:shd w:val="clear" w:color="auto" w:fill="auto"/>
                      </w:tcPr>
                      <w:p>
                        <w:pPr>
                          <w:jc w:val="both"/>
                          <w:rPr>
                            <w:rFonts w:eastAsia="Calibri"/>
                            <w:color w:val="000000"/>
                            <w:szCs w:val="24"/>
                            <w:lang w:val="en-US"/>
                          </w:rPr>
                        </w:pPr>
                        <w:r>
                          <w:rPr>
                            <w:rFonts w:eastAsia="Calibri"/>
                            <w:color w:val="000000"/>
                            <w:szCs w:val="24"/>
                            <w:lang w:val="en-US"/>
                          </w:rPr>
                          <w:t>Suaugusieji, kurie per paskutinius 12 mėn. kasdien rūkė elektronines cigaretes, proc.</w:t>
                        </w:r>
                      </w:p>
                    </w:tc>
                    <w:tc>
                      <w:tcPr>
                        <w:tcW w:w="682" w:type="dxa"/>
                        <w:shd w:val="clear" w:color="auto" w:fill="auto"/>
                      </w:tcPr>
                      <w:p>
                        <w:pPr>
                          <w:jc w:val="both"/>
                          <w:rPr>
                            <w:b/>
                            <w:bCs/>
                            <w:szCs w:val="24"/>
                            <w:lang w:val="en-US" w:eastAsia="lt-LT"/>
                          </w:rPr>
                        </w:pPr>
                        <w:r>
                          <w:rPr>
                            <w:b/>
                            <w:bCs/>
                            <w:szCs w:val="24"/>
                            <w:lang w:val="en-US" w:eastAsia="lt-LT"/>
                          </w:rPr>
                          <w:t>1,2</w:t>
                        </w:r>
                      </w:p>
                    </w:tc>
                    <w:tc>
                      <w:tcPr>
                        <w:tcW w:w="681" w:type="dxa"/>
                        <w:shd w:val="clear" w:color="auto" w:fill="auto"/>
                      </w:tcPr>
                      <w:p>
                        <w:pPr>
                          <w:jc w:val="both"/>
                          <w:rPr>
                            <w:b/>
                            <w:bCs/>
                            <w:szCs w:val="24"/>
                            <w:lang w:val="en-US" w:eastAsia="lt-LT"/>
                          </w:rPr>
                        </w:pPr>
                        <w:r>
                          <w:rPr>
                            <w:b/>
                            <w:bCs/>
                            <w:szCs w:val="24"/>
                            <w:lang w:val="en-US" w:eastAsia="lt-LT"/>
                          </w:rPr>
                          <w:t>8,6</w:t>
                        </w:r>
                      </w:p>
                    </w:tc>
                    <w:tc>
                      <w:tcPr>
                        <w:tcW w:w="920" w:type="dxa"/>
                        <w:shd w:val="clear" w:color="auto" w:fill="auto"/>
                      </w:tcPr>
                      <w:p>
                        <w:pPr>
                          <w:jc w:val="both"/>
                          <w:rPr>
                            <w:szCs w:val="24"/>
                            <w:lang w:val="en-US" w:eastAsia="lt-LT"/>
                          </w:rPr>
                        </w:pPr>
                        <w:r>
                          <w:rPr>
                            <w:rFonts w:eastAsia="Calibri"/>
                            <w:b/>
                            <w:bCs/>
                            <w:color w:val="FF0000"/>
                            <w:szCs w:val="24"/>
                            <w:lang w:val="en-US"/>
                          </w:rPr>
                          <w:t>↑</w:t>
                        </w:r>
                      </w:p>
                    </w:tc>
                  </w:tr>
                  <w:tr>
                    <w:trPr>
                      <w:trHeight w:val="264"/>
                    </w:trPr>
                    <w:tc>
                      <w:tcPr>
                        <w:tcW w:w="7486" w:type="dxa"/>
                        <w:shd w:val="clear" w:color="auto" w:fill="auto"/>
                      </w:tcPr>
                      <w:p>
                        <w:pPr>
                          <w:jc w:val="both"/>
                          <w:rPr>
                            <w:rFonts w:eastAsia="Calibri"/>
                            <w:szCs w:val="24"/>
                            <w:lang w:val="en-US"/>
                          </w:rPr>
                        </w:pPr>
                        <w:r>
                          <w:rPr>
                            <w:rFonts w:eastAsia="Calibri"/>
                            <w:color w:val="000000"/>
                            <w:szCs w:val="24"/>
                            <w:lang w:val="en-US"/>
                          </w:rPr>
                          <w:t>Suaugusieji, kurie per paskutines 30 d. kasdien vartojo alkoholinius gėrimus, proc.</w:t>
                        </w:r>
                      </w:p>
                    </w:tc>
                    <w:tc>
                      <w:tcPr>
                        <w:tcW w:w="682" w:type="dxa"/>
                        <w:shd w:val="clear" w:color="auto" w:fill="auto"/>
                      </w:tcPr>
                      <w:p>
                        <w:pPr>
                          <w:jc w:val="both"/>
                          <w:rPr>
                            <w:b/>
                            <w:bCs/>
                            <w:szCs w:val="24"/>
                            <w:lang w:val="en-US" w:eastAsia="lt-LT"/>
                          </w:rPr>
                        </w:pPr>
                        <w:r>
                          <w:rPr>
                            <w:b/>
                            <w:bCs/>
                            <w:szCs w:val="24"/>
                            <w:lang w:val="en-US" w:eastAsia="lt-LT"/>
                          </w:rPr>
                          <w:t>0,8</w:t>
                        </w:r>
                      </w:p>
                    </w:tc>
                    <w:tc>
                      <w:tcPr>
                        <w:tcW w:w="681" w:type="dxa"/>
                        <w:shd w:val="clear" w:color="auto" w:fill="auto"/>
                      </w:tcPr>
                      <w:p>
                        <w:pPr>
                          <w:jc w:val="both"/>
                          <w:rPr>
                            <w:b/>
                            <w:bCs/>
                            <w:szCs w:val="24"/>
                            <w:lang w:val="en-US" w:eastAsia="lt-LT"/>
                          </w:rPr>
                        </w:pPr>
                        <w:r>
                          <w:rPr>
                            <w:b/>
                            <w:bCs/>
                            <w:szCs w:val="24"/>
                            <w:lang w:val="en-US" w:eastAsia="lt-LT"/>
                          </w:rPr>
                          <w:t>1,2</w:t>
                        </w:r>
                      </w:p>
                    </w:tc>
                    <w:tc>
                      <w:tcPr>
                        <w:tcW w:w="920" w:type="dxa"/>
                        <w:shd w:val="clear" w:color="auto" w:fill="auto"/>
                      </w:tcPr>
                      <w:p>
                        <w:pPr>
                          <w:jc w:val="both"/>
                          <w:rPr>
                            <w:szCs w:val="24"/>
                            <w:lang w:val="en-US" w:eastAsia="lt-LT"/>
                          </w:rPr>
                        </w:pPr>
                        <w:r>
                          <w:rPr>
                            <w:rFonts w:eastAsia="Calibri"/>
                            <w:b/>
                            <w:bCs/>
                            <w:color w:val="FF0000"/>
                            <w:szCs w:val="24"/>
                            <w:lang w:val="en-US"/>
                          </w:rPr>
                          <w:t>↑</w:t>
                        </w:r>
                      </w:p>
                    </w:tc>
                  </w:tr>
                  <w:tr>
                    <w:trPr>
                      <w:trHeight w:val="505"/>
                    </w:trPr>
                    <w:tc>
                      <w:tcPr>
                        <w:tcW w:w="7486" w:type="dxa"/>
                        <w:shd w:val="clear" w:color="auto" w:fill="auto"/>
                      </w:tcPr>
                      <w:p>
                        <w:pPr>
                          <w:jc w:val="both"/>
                          <w:rPr>
                            <w:rFonts w:eastAsia="Calibri"/>
                            <w:szCs w:val="24"/>
                            <w:lang w:val="en-US"/>
                          </w:rPr>
                        </w:pPr>
                        <w:r>
                          <w:rPr>
                            <w:rFonts w:eastAsia="Calibri"/>
                            <w:color w:val="000000"/>
                            <w:szCs w:val="24"/>
                            <w:lang w:val="en-US"/>
                          </w:rPr>
                          <w:t>Suaugusieji, kurie per paskutines 30 d. vartojo alkoholinius gėrimus kartą per savaitę ir dažniau, proc.</w:t>
                        </w:r>
                      </w:p>
                    </w:tc>
                    <w:tc>
                      <w:tcPr>
                        <w:tcW w:w="682" w:type="dxa"/>
                        <w:shd w:val="clear" w:color="auto" w:fill="auto"/>
                      </w:tcPr>
                      <w:p>
                        <w:pPr>
                          <w:jc w:val="both"/>
                          <w:rPr>
                            <w:rFonts w:eastAsia="Calibri"/>
                            <w:b/>
                            <w:bCs/>
                            <w:szCs w:val="24"/>
                            <w:lang w:val="en-US"/>
                          </w:rPr>
                        </w:pPr>
                        <w:r>
                          <w:rPr>
                            <w:rFonts w:eastAsia="Calibri"/>
                            <w:b/>
                            <w:bCs/>
                            <w:szCs w:val="24"/>
                            <w:lang w:val="en-US"/>
                          </w:rPr>
                          <w:t>15,9</w:t>
                        </w:r>
                      </w:p>
                    </w:tc>
                    <w:tc>
                      <w:tcPr>
                        <w:tcW w:w="681" w:type="dxa"/>
                        <w:shd w:val="clear" w:color="auto" w:fill="auto"/>
                      </w:tcPr>
                      <w:p>
                        <w:pPr>
                          <w:jc w:val="both"/>
                          <w:rPr>
                            <w:rFonts w:eastAsia="Calibri"/>
                            <w:b/>
                            <w:bCs/>
                            <w:szCs w:val="24"/>
                            <w:lang w:val="en-US"/>
                          </w:rPr>
                        </w:pPr>
                        <w:r>
                          <w:rPr>
                            <w:rFonts w:eastAsia="Calibri"/>
                            <w:b/>
                            <w:bCs/>
                            <w:szCs w:val="24"/>
                            <w:lang w:val="en-US"/>
                          </w:rPr>
                          <w:t>24,8</w:t>
                        </w:r>
                      </w:p>
                    </w:tc>
                    <w:tc>
                      <w:tcPr>
                        <w:tcW w:w="920" w:type="dxa"/>
                        <w:shd w:val="clear" w:color="auto" w:fill="auto"/>
                      </w:tcPr>
                      <w:p>
                        <w:pPr>
                          <w:jc w:val="both"/>
                          <w:rPr>
                            <w:rFonts w:eastAsia="Calibri"/>
                            <w:szCs w:val="24"/>
                            <w:lang w:val="en-US"/>
                          </w:rPr>
                        </w:pPr>
                        <w:r>
                          <w:rPr>
                            <w:rFonts w:eastAsia="Calibri"/>
                            <w:b/>
                            <w:bCs/>
                            <w:color w:val="FF0000"/>
                            <w:szCs w:val="24"/>
                            <w:lang w:val="en-US"/>
                          </w:rPr>
                          <w:t>↑</w:t>
                        </w:r>
                      </w:p>
                    </w:tc>
                  </w:tr>
                  <w:tr>
                    <w:trPr>
                      <w:trHeight w:val="505"/>
                    </w:trPr>
                    <w:tc>
                      <w:tcPr>
                        <w:tcW w:w="7486" w:type="dxa"/>
                        <w:shd w:val="clear" w:color="auto" w:fill="auto"/>
                      </w:tcPr>
                      <w:p>
                        <w:pPr>
                          <w:jc w:val="both"/>
                          <w:rPr>
                            <w:rFonts w:eastAsia="Calibri"/>
                            <w:szCs w:val="24"/>
                            <w:lang w:val="en-US"/>
                          </w:rPr>
                        </w:pPr>
                        <w:r>
                          <w:rPr>
                            <w:rFonts w:eastAsia="Calibri"/>
                            <w:color w:val="000000"/>
                            <w:szCs w:val="24"/>
                            <w:lang w:val="en-US"/>
                          </w:rPr>
                          <w:t>Suaugusieji, kurie per paskutinius 12 mėn. vartojo alkoholinius gėrimus kartą per savaitę ir dažniau, proc.</w:t>
                        </w:r>
                      </w:p>
                    </w:tc>
                    <w:tc>
                      <w:tcPr>
                        <w:tcW w:w="682" w:type="dxa"/>
                        <w:shd w:val="clear" w:color="auto" w:fill="auto"/>
                      </w:tcPr>
                      <w:p>
                        <w:pPr>
                          <w:jc w:val="both"/>
                          <w:rPr>
                            <w:b/>
                            <w:bCs/>
                            <w:szCs w:val="24"/>
                            <w:lang w:val="en-US" w:eastAsia="lt-LT"/>
                          </w:rPr>
                        </w:pPr>
                        <w:r>
                          <w:rPr>
                            <w:b/>
                            <w:bCs/>
                            <w:szCs w:val="24"/>
                            <w:lang w:val="en-US" w:eastAsia="lt-LT"/>
                          </w:rPr>
                          <w:t>11,2</w:t>
                        </w:r>
                      </w:p>
                    </w:tc>
                    <w:tc>
                      <w:tcPr>
                        <w:tcW w:w="681" w:type="dxa"/>
                        <w:shd w:val="clear" w:color="auto" w:fill="auto"/>
                      </w:tcPr>
                      <w:p>
                        <w:pPr>
                          <w:jc w:val="both"/>
                          <w:rPr>
                            <w:b/>
                            <w:bCs/>
                            <w:szCs w:val="24"/>
                            <w:lang w:val="en-US" w:eastAsia="lt-LT"/>
                          </w:rPr>
                        </w:pPr>
                        <w:r>
                          <w:rPr>
                            <w:b/>
                            <w:bCs/>
                            <w:szCs w:val="24"/>
                            <w:lang w:val="en-US" w:eastAsia="lt-LT"/>
                          </w:rPr>
                          <w:t>23,6</w:t>
                        </w:r>
                      </w:p>
                    </w:tc>
                    <w:tc>
                      <w:tcPr>
                        <w:tcW w:w="920" w:type="dxa"/>
                        <w:shd w:val="clear" w:color="auto" w:fill="auto"/>
                      </w:tcPr>
                      <w:p>
                        <w:pPr>
                          <w:jc w:val="both"/>
                          <w:rPr>
                            <w:szCs w:val="24"/>
                            <w:lang w:val="en-US" w:eastAsia="lt-LT"/>
                          </w:rPr>
                        </w:pPr>
                        <w:r>
                          <w:rPr>
                            <w:rFonts w:eastAsia="Calibri"/>
                            <w:b/>
                            <w:bCs/>
                            <w:color w:val="FF0000"/>
                            <w:szCs w:val="24"/>
                            <w:lang w:val="en-US"/>
                          </w:rPr>
                          <w:t>↑</w:t>
                        </w:r>
                      </w:p>
                    </w:tc>
                  </w:tr>
                  <w:tr>
                    <w:trPr>
                      <w:trHeight w:val="505"/>
                    </w:trPr>
                    <w:tc>
                      <w:tcPr>
                        <w:tcW w:w="7486" w:type="dxa"/>
                        <w:shd w:val="clear" w:color="auto" w:fill="auto"/>
                      </w:tcPr>
                      <w:p>
                        <w:pPr>
                          <w:jc w:val="both"/>
                          <w:rPr>
                            <w:rFonts w:eastAsia="Calibri"/>
                            <w:szCs w:val="24"/>
                            <w:lang w:val="en-US"/>
                          </w:rPr>
                        </w:pPr>
                        <w:r>
                          <w:rPr>
                            <w:rFonts w:eastAsia="Calibri"/>
                            <w:color w:val="000000"/>
                            <w:szCs w:val="24"/>
                            <w:lang w:val="en-US"/>
                          </w:rPr>
                          <w:t>Suaugusieji, kurie per savo gyvenimą bent kartą vartojo narkotinių ar psichotropinių medžiagų be gydytojo paskyrimo, proc.</w:t>
                        </w:r>
                      </w:p>
                    </w:tc>
                    <w:tc>
                      <w:tcPr>
                        <w:tcW w:w="682" w:type="dxa"/>
                        <w:shd w:val="clear" w:color="auto" w:fill="auto"/>
                      </w:tcPr>
                      <w:p>
                        <w:pPr>
                          <w:jc w:val="both"/>
                          <w:rPr>
                            <w:b/>
                            <w:bCs/>
                            <w:szCs w:val="24"/>
                            <w:lang w:val="en-US" w:eastAsia="lt-LT"/>
                          </w:rPr>
                        </w:pPr>
                        <w:r>
                          <w:rPr>
                            <w:b/>
                            <w:bCs/>
                            <w:szCs w:val="24"/>
                            <w:lang w:val="en-US" w:eastAsia="lt-LT"/>
                          </w:rPr>
                          <w:t>9,4</w:t>
                        </w:r>
                      </w:p>
                    </w:tc>
                    <w:tc>
                      <w:tcPr>
                        <w:tcW w:w="681" w:type="dxa"/>
                        <w:shd w:val="clear" w:color="auto" w:fill="auto"/>
                      </w:tcPr>
                      <w:p>
                        <w:pPr>
                          <w:jc w:val="both"/>
                          <w:rPr>
                            <w:b/>
                            <w:bCs/>
                            <w:szCs w:val="24"/>
                            <w:lang w:val="en-US" w:eastAsia="lt-LT"/>
                          </w:rPr>
                        </w:pPr>
                        <w:r>
                          <w:rPr>
                            <w:b/>
                            <w:bCs/>
                            <w:szCs w:val="24"/>
                            <w:lang w:val="en-US" w:eastAsia="lt-LT"/>
                          </w:rPr>
                          <w:t>14,3</w:t>
                        </w:r>
                      </w:p>
                    </w:tc>
                    <w:tc>
                      <w:tcPr>
                        <w:tcW w:w="920" w:type="dxa"/>
                        <w:shd w:val="clear" w:color="auto" w:fill="auto"/>
                      </w:tcPr>
                      <w:p>
                        <w:pPr>
                          <w:ind w:right="-183"/>
                          <w:jc w:val="both"/>
                          <w:rPr>
                            <w:szCs w:val="24"/>
                            <w:lang w:val="en-US" w:eastAsia="lt-LT"/>
                          </w:rPr>
                        </w:pPr>
                        <w:r>
                          <w:rPr>
                            <w:rFonts w:eastAsia="Calibri"/>
                            <w:b/>
                            <w:bCs/>
                            <w:color w:val="FF0000"/>
                            <w:szCs w:val="24"/>
                            <w:lang w:val="en-US"/>
                          </w:rPr>
                          <w:t>↑</w:t>
                        </w:r>
                      </w:p>
                    </w:tc>
                  </w:tr>
                </w:tbl>
                <w:p>
                  <w:pPr>
                    <w:jc w:val="both"/>
                    <w:rPr>
                      <w:rFonts w:eastAsia="Calibri"/>
                      <w:bCs/>
                      <w:szCs w:val="24"/>
                      <w:lang w:val="en-US"/>
                    </w:rPr>
                  </w:pPr>
                </w:p>
                <w:p>
                  <w:pPr>
                    <w:ind w:left="-142" w:firstLine="851"/>
                    <w:jc w:val="both"/>
                    <w:rPr>
                      <w:rFonts w:ascii="Calibri" w:eastAsia="Calibri" w:hAnsi="Calibri"/>
                      <w:szCs w:val="24"/>
                      <w:lang w:val="en-US"/>
                    </w:rPr>
                  </w:pPr>
                  <w:r>
                    <w:rPr>
                      <w:rFonts w:eastAsia="Calibri"/>
                      <w:bCs/>
                      <w:szCs w:val="24"/>
                      <w:lang w:val="en-US"/>
                    </w:rPr>
                    <w:t>Suaugusių gyventojų gyvensenos stebėsenos rodikliai pateikti Šiaulių miesto savivaldybės visuomenės sveikatos stebėsenos 2022 m. ataskaitoje.</w:t>
                  </w:r>
                </w:p>
                <w:p>
                  <w:pPr>
                    <w:suppressAutoHyphens/>
                    <w:ind w:firstLine="864"/>
                    <w:jc w:val="center"/>
                    <w:rPr>
                      <w:rFonts w:ascii="Calibri" w:eastAsia="Calibri" w:hAnsi="Calibri"/>
                      <w:sz w:val="22"/>
                      <w:szCs w:val="22"/>
                      <w:lang w:eastAsia="zh-CN"/>
                    </w:rPr>
                  </w:pPr>
                </w:p>
              </w:sdtContent>
            </w:sdt>
          </w:sdtContent>
        </w:sdt>
        <w:sdt>
          <w:sdtPr>
            <w:alias w:val="pabaiga"/>
            <w:tag w:val="part_7b2a85c89c0a484c84a695ad3562ae69"/>
            <w:lock w:val="sdtLocked"/>
            <w:richText/>
          </w:sdtPr>
          <w:sdtContent>
            <w:p>
              <w:pPr>
                <w:suppressAutoHyphens/>
                <w:ind w:firstLine="864"/>
                <w:jc w:val="center"/>
                <w:rPr>
                  <w:rFonts w:ascii="Calibri" w:eastAsia="Calibri" w:hAnsi="Calibri"/>
                  <w:sz w:val="22"/>
                  <w:szCs w:val="22"/>
                  <w:lang w:eastAsia="zh-CN"/>
                </w:rPr>
              </w:pPr>
              <w:r>
                <w:rPr>
                  <w:rFonts w:eastAsia="Calibri"/>
                  <w:szCs w:val="24"/>
                  <w:lang w:eastAsia="zh-CN"/>
                </w:rPr>
                <w:t>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FB84EA" w16cex:dateUtc="2023-05-02T09:47:00Z"/>
</w16cex:commentsExtensible>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rFonts w:ascii="Calibri" w:eastAsia="Calibri" w:hAnsi="Calibri"/>
          <w:sz w:val="22"/>
          <w:szCs w:val="22"/>
          <w:lang w:val="en-US" w:eastAsia="zh-CN"/>
        </w:rPr>
      </w:pPr>
      <w:r>
        <w:rPr>
          <w:rFonts w:ascii="Calibri" w:eastAsia="Calibri" w:hAnsi="Calibri"/>
          <w:sz w:val="22"/>
          <w:szCs w:val="22"/>
          <w:lang w:val="en-US" w:eastAsia="zh-CN"/>
        </w:rPr>
        <w:separator/>
      </w:r>
    </w:p>
  </w:endnote>
  <w:endnote w:type="continuationSeparator" w:id="0">
    <w:p>
      <w:pPr>
        <w:suppressAutoHyphens/>
        <w:rPr>
          <w:rFonts w:ascii="Calibri" w:eastAsia="Calibri" w:hAnsi="Calibri"/>
          <w:sz w:val="22"/>
          <w:szCs w:val="22"/>
          <w:lang w:val="en-US" w:eastAsia="zh-CN"/>
        </w:rPr>
      </w:pPr>
      <w:r>
        <w:rPr>
          <w:rFonts w:ascii="Calibri" w:eastAsia="Calibri" w:hAnsi="Calibri"/>
          <w:sz w:val="22"/>
          <w:szCs w:val="22"/>
          <w:lang w:val="en-US"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rPr>
        <w:rFonts w:ascii="Calibri" w:eastAsia="Calibri" w:hAnsi="Calibri"/>
        <w:sz w:val="20"/>
        <w:lang w:val="en-US"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rPr>
        <w:rFonts w:ascii="Calibri" w:eastAsia="Calibri" w:hAnsi="Calibri"/>
        <w:sz w:val="20"/>
        <w:lang w:val="en-US"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rPr>
        <w:rFonts w:ascii="Calibri" w:eastAsia="Calibri" w:hAnsi="Calibri"/>
        <w:sz w:val="20"/>
        <w:lang w:val="en-US"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rFonts w:ascii="Calibri" w:eastAsia="Calibri" w:hAnsi="Calibri"/>
          <w:sz w:val="22"/>
          <w:szCs w:val="22"/>
          <w:lang w:val="en-US" w:eastAsia="zh-CN"/>
        </w:rPr>
      </w:pPr>
      <w:r>
        <w:rPr>
          <w:rFonts w:ascii="Calibri" w:eastAsia="Calibri" w:hAnsi="Calibri"/>
          <w:sz w:val="22"/>
          <w:szCs w:val="22"/>
          <w:lang w:val="en-US" w:eastAsia="zh-CN"/>
        </w:rPr>
        <w:separator/>
      </w:r>
    </w:p>
  </w:footnote>
  <w:footnote w:type="continuationSeparator" w:id="0">
    <w:p>
      <w:pPr>
        <w:suppressAutoHyphens/>
        <w:rPr>
          <w:rFonts w:ascii="Calibri" w:eastAsia="Calibri" w:hAnsi="Calibri"/>
          <w:sz w:val="22"/>
          <w:szCs w:val="22"/>
          <w:lang w:val="en-US" w:eastAsia="zh-CN"/>
        </w:rPr>
      </w:pPr>
      <w:r>
        <w:rPr>
          <w:rFonts w:ascii="Calibri" w:eastAsia="Calibri" w:hAnsi="Calibri"/>
          <w:sz w:val="22"/>
          <w:szCs w:val="22"/>
          <w:lang w:val="en-US"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rPr>
        <w:rFonts w:ascii="Calibri" w:eastAsia="Calibri" w:hAnsi="Calibri"/>
        <w:sz w:val="20"/>
        <w:lang w:val="en-US"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jc w:val="center"/>
      <w:rPr>
        <w:rFonts w:eastAsia="Calibri"/>
        <w:szCs w:val="24"/>
        <w:lang w:val="en-US" w:eastAsia="zh-CN"/>
      </w:rPr>
    </w:pPr>
    <w:r>
      <w:rPr>
        <w:rFonts w:eastAsia="Calibri"/>
        <w:szCs w:val="24"/>
        <w:lang w:val="en-US" w:eastAsia="zh-CN"/>
      </w:rPr>
      <w:fldChar w:fldCharType="begin"/>
    </w:r>
    <w:r>
      <w:rPr>
        <w:rFonts w:eastAsia="Calibri"/>
        <w:szCs w:val="24"/>
        <w:lang w:val="en-US" w:eastAsia="zh-CN"/>
      </w:rPr>
      <w:instrText xml:space="preserve"> PAGE </w:instrText>
    </w:r>
    <w:r>
      <w:rPr>
        <w:rFonts w:eastAsia="Calibri"/>
        <w:szCs w:val="24"/>
        <w:lang w:val="en-US" w:eastAsia="zh-CN"/>
      </w:rPr>
      <w:fldChar w:fldCharType="separate"/>
    </w:r>
    <w:r>
      <w:rPr>
        <w:rFonts w:eastAsia="Calibri"/>
        <w:szCs w:val="24"/>
        <w:lang w:val="en-US" w:eastAsia="zh-CN"/>
      </w:rPr>
      <w:t>2</w:t>
    </w:r>
    <w:r>
      <w:rPr>
        <w:rFonts w:eastAsia="Calibri"/>
        <w:szCs w:val="24"/>
        <w:lang w:val="en-US" w:eastAsia="zh-CN"/>
      </w:rPr>
      <w:fldChar w:fldCharType="end"/>
    </w:r>
  </w:p>
  <w:p>
    <w:pPr>
      <w:suppressAutoHyphens/>
      <w:rPr>
        <w:rFonts w:eastAsia="Calibri"/>
        <w:szCs w:val="24"/>
        <w:lang w:val="en-US"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rPr>
        <w:rFonts w:ascii="Calibri" w:eastAsia="Calibri" w:hAnsi="Calibri"/>
        <w:sz w:val="20"/>
        <w:lang w:val="en-US"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0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AC51215A-F50C-413D-8601-37C0F041228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microsoft.com/office/2018/08/relationships/commentsExtensible" Target="commentsExtensible.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abafb5de69f4c848fd15ede3b2ade5e" PartId="cb82c3f2af474d29956d2588f7fbe3f9"/>
  <Part Type="patvirtinta" Title="ŠIAULIŲ MIESTO SAVIVALDYBĖS NARKOTIKŲ KONTROLĖS KOMISIJA" DocPartId="2d961343d7d3435a8ba91ccf212d8d4a" PartId="d374eadc4ba34e9eaa69180820531a2e">
    <Part Type="skirsnis" Title="2022 METŲ VEIKLOS ATASKAITA" DocPartId="f119262e45c1425791381080c820fac1" PartId="ddfd2ff756174b90bd4ee3e4d5239f76"/>
    <Part Type="skyrius" Nr="1" Title="BENDROSIOS NUOSTATOS" DocPartId="a41bc1c9d22d455d85357d57235a9ce3" PartId="d3e5001ae3e84a7a96b6d5f0cdcd07b2"/>
    <Part Type="skyrius" Nr="2" Title="ŠIAULIŲ APSKRITIES VYRIAUSIASIS POLICIJOS KOMISARIATAS" DocPartId="f6a9e020c5d2423b972532075a06c8d0" PartId="8f6fd125dce546b5a421416e2c6c4e26">
      <Part Type="punktas" Nr="1" Abbr="1 p." DocPartId="c4eb6d34e13945db9ae3484da186b9b5" PartId="f20a0cc65af34066bc21ff168c7061fd"/>
      <Part Type="punktas" Nr="2" Abbr="2 p." DocPartId="65f524b7cc754591a2f2c71847b0ac76" PartId="a3160a482a3c465dade6ccbb0b1c2364"/>
    </Part>
    <Part Type="skyrius" Nr="999" Notes="Numeris ne iš eilės. Trūksta dalių? [DocDalys]" DocPartId="aefcd0cf32a44cf08992325775abd5c7" PartId="13de55a429754cd0baac5f5433c1b586">
      <Part Type="punktas" Nr="5" Abbr="5 p." Notes="Numeris ne iš eilės. Trūksta dalių? [DocDalys]" DocPartId="ee60b756f6f341f0b6a8c9968c9d859b" PartId="cf8606769a7d4e6a98f39d6cf2a66263"/>
    </Part>
    <Part Type="skyrius" Nr="999" Notes="Numeris ne iš eilės. Trūksta dalių? [DocDalys]" DocPartId="a30607b82b0d459b9ae916bbb06addbb" PartId="ba2e985b27944596a9e53601563b6b1a">
      <Part Type="punktas" Nr="7" Abbr="7 p." Notes="Numeris ne iš eilės. Trūksta dalių? [DocDalys]" DocPartId="13bbd0a430924244bfd5f8c0b2260f0b" PartId="9d27b10a91b644aeb88191523e772294"/>
      <Part Type="punktas" Nr="1" Abbr="1 p." Notes="Numeris ne iš eilės. Trūksta dalių? [DocDalys]" DocPartId="254aa555529545019efd4f3c79eef874" PartId="4e193291b748414dba3130de0d845635"/>
      <Part Type="punktas" Nr="2" Abbr="2 p." DocPartId="1282ed643e784b169e8db0d9d4028931" PartId="54bf144bbd944218b49a78f432f39841">
        <Part Type="papunktis" Nr="2.1" Abbr="2.1 pp." DocPartId="8fe88067d81e4b84a2f98c52425cd0ca" PartId="562d2a31abf147b2819a248cd123520d"/>
        <Part Type="papunktis" Nr="2.2" Abbr="2.2 pp." DocPartId="df38787eae8d402f888cd5c80ae3755c" PartId="96297cc7c9094372b55ab7f949d89eb7"/>
      </Part>
      <Part Type="punktas" Nr="1" Abbr="1 p." Notes="Numeris ne iš eilės. Trūksta dalių? [DocDalys]" DocPartId="1655018caa224a6b9884b95d904d6435" PartId="6f04f218ff5e44aabe9c5c88f8b7bd90"/>
      <Part Type="punktas" Nr="2" Abbr="2 p." DocPartId="604075c232ee4dca9047de86e5a89af9" PartId="a818cb64e5664045bd2d1738b3c32f0e"/>
      <Part Type="punktas" Nr="3" Abbr="3 p." DocPartId="0084745b67d049989ae49c37c08f00a0" PartId="97cd38a6c10243f49c14a6d8714abf6a"/>
      <Part Type="punktas" Nr="4" Abbr="4 p." DocPartId="7ca44d2c3dcb45e9a95a701eba4d32d3" PartId="fded71076a054b21a321b90820a7861c"/>
      <Part Type="punktas" Nr="5" Abbr="5 p." DocPartId="54fab029833d45dfa692cbb766c5055d" PartId="85f6371da22b4f7f9aba596ceea5a79a"/>
      <Part Type="punktas" Nr="6" Abbr="6 p." DocPartId="f33b17621cee4d1eb64abf49d60324f7" PartId="21d8292c50d14d2a984bbe8cb5b77b84"/>
      <Part Type="punktas" Nr="7" Abbr="7 p." DocPartId="529d448f8c0c4479b4722709bdd41dc0" PartId="fc98b72578474f04bd6e8c3a4434a74c"/>
      <Part Type="punktas" Nr="8" Abbr="8 p." DocPartId="3221a9020f4e4a74a2e05069ac45e85b" PartId="85fcd93c7eff43dabc9810338421ea26"/>
      <Part Type="poskyris" Title="1 lentelė. Šiaulių miesto rodikliai iš pagrindinių rodiklių sąrašo (100 000 gyv. ir abs. sk.)" DocPartId="0dc2f17c62d4466aa843565740bd5b53" PartId="2d40571f5b534d4fa5f4931da29ab58b"/>
      <Part Type="poskyris" Title="2 lentelė. Šiaulių miesto suaugusių gyventojų gyvensenos stebėsenos rodikliai (proc.)" DocPartId="03ccef7f3d384a25aa0843aead6becac" PartId="3285eee6d55641a09590757c164d8230"/>
    </Part>
    <Part Type="pabaiga" DocPartId="db3b768239694088a47a597ab68ca239" PartId="7b2a85c89c0a484c84a695ad3562ae69"/>
  </Part>
</Parts>
</file>

<file path=customXml/itemProps1.xml><?xml version="1.0" encoding="utf-8"?>
<ds:datastoreItem xmlns:ds="http://schemas.openxmlformats.org/officeDocument/2006/customXml" ds:itemID="{E31BCC0A-C735-464D-B82C-1E0C3A6A79E1}">
  <ds:schemaRefs>
    <ds:schemaRef ds:uri="http://schemas.openxmlformats.org/officeDocument/2006/bibliography"/>
  </ds:schemaRefs>
</ds:datastoreItem>
</file>

<file path=customXml/itemProps2.xml><?xml version="1.0" encoding="utf-8"?>
<ds:datastoreItem xmlns:ds="http://schemas.openxmlformats.org/officeDocument/2006/customXml" ds:itemID="{0CD36348-3C36-4110-960A-5B09407108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2915</Words>
  <Characters>21491</Characters>
  <Application>Microsoft Office Word</Application>
  <DocSecurity>4</DocSecurity>
  <Lines>447</Lines>
  <Paragraphs>200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24206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2023-05-16T09:59:00Z</dcterms:created>
  <dc:creator>Rūta Pečiukėnė</dc:creator>
  <lastModifiedBy>adlibuser</lastModifiedBy>
  <lastPrinted>2019-04-11T09:48:00Z</lastPrinted>
  <dcterms:modified xsi:type="dcterms:W3CDTF">2023-05-16T09:59:00Z</dcterms:modified>
  <revision>2</revision>
</coreProperties>
</file>