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6741f6311e46969b27aed32a885cd6"/>
        <w:lock w:val="sdtLocked"/>
        <w:richText/>
      </w:sdtPr>
      <w:sdtContent>
        <w:p w14:paraId="381B3000" w14:textId="77777777">
          <w:pPr>
            <w:tabs>
              <w:tab w:val="center" w:pos="4819"/>
              <w:tab w:val="right" w:pos="9638"/>
            </w:tabs>
            <w:rPr>
              <w:szCs w:val="24"/>
              <w:lang w:eastAsia="lt-LT"/>
            </w:rPr>
          </w:pPr>
        </w:p>
        <w:p w14:paraId="3694EA77" w14:textId="78EB24D2">
          <w:pPr>
            <w:spacing w:line="288" w:lineRule="auto"/>
            <w:jc w:val="center"/>
            <w:rPr>
              <w:sz w:val="22"/>
              <w:szCs w:val="22"/>
              <w:lang w:eastAsia="lt-LT"/>
            </w:rPr>
          </w:pPr>
          <w:r>
            <w:rPr>
              <w:sz w:val="22"/>
              <w:szCs w:val="22"/>
              <w:lang w:val="en-US"/>
            </w:rPr>
            <w:drawing>
              <wp:inline distT="0" distB="0" distL="0" distR="0" wp14:anchorId="04A0BDC1" wp14:editId="259C4F56">
                <wp:extent cx="1057275" cy="723900"/>
                <wp:effectExtent l="0" t="0" r="952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LOGOnespalv-maz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57275" cy="723900"/>
                        </a:xfrm>
                        <a:prstGeom prst="rect">
                          <a:avLst/>
                        </a:prstGeom>
                        <a:noFill/>
                        <a:ln>
                          <a:noFill/>
                        </a:ln>
                      </pic:spPr>
                    </pic:pic>
                  </a:graphicData>
                </a:graphic>
              </wp:inline>
            </w:drawing>
          </w:r>
        </w:p>
        <w:p w14:paraId="2FC03FEA" w14:textId="59A6E939">
          <w:pPr>
            <w:framePr w:w="9314" w:h="754" w:hSpace="181" w:wrap="notBeside" w:vAnchor="text" w:hAnchor="page" w:x="1959" w:y="1" w:anchorLock="1"/>
            <w:spacing w:line="288" w:lineRule="auto"/>
            <w:jc w:val="center"/>
            <w:rPr>
              <w:b/>
              <w:sz w:val="26"/>
              <w:szCs w:val="26"/>
              <w:lang w:eastAsia="lt-LT"/>
            </w:rPr>
          </w:pPr>
          <w:r>
            <w:rPr>
              <w:b/>
              <w:sz w:val="26"/>
              <w:szCs w:val="26"/>
              <w:lang w:eastAsia="lt-LT"/>
            </w:rPr>
            <w:t>LIETUVOS RESPUBLIKOS ŽEMĖS ŪKIO MINISTERIJOS</w:t>
          </w:r>
        </w:p>
        <w:p w14:paraId="734E0BF1" w14:textId="59931D4C">
          <w:pPr>
            <w:framePr w:w="9314" w:h="754" w:hSpace="181" w:wrap="notBeside" w:vAnchor="text" w:hAnchor="page" w:x="1959" w:y="1" w:anchorLock="1"/>
            <w:spacing w:line="288" w:lineRule="auto"/>
            <w:jc w:val="center"/>
            <w:rPr>
              <w:b/>
              <w:sz w:val="26"/>
              <w:szCs w:val="26"/>
              <w:lang w:eastAsia="lt-LT"/>
            </w:rPr>
          </w:pPr>
          <w:r>
            <w:rPr>
              <w:b/>
              <w:sz w:val="26"/>
              <w:szCs w:val="26"/>
              <w:lang w:eastAsia="lt-LT"/>
            </w:rPr>
            <w:t>STRATEGINIO PLANAVIMO DEPARTAMENTAS</w:t>
          </w:r>
        </w:p>
        <w:p w14:paraId="45DBE067" w14:textId="77777777">
          <w:pPr>
            <w:spacing w:line="288" w:lineRule="auto"/>
            <w:jc w:val="center"/>
            <w:rPr>
              <w:b/>
              <w:szCs w:val="24"/>
              <w:lang w:eastAsia="lt-LT"/>
            </w:rPr>
          </w:pPr>
        </w:p>
        <w:p w14:paraId="1F3CA896" w14:textId="41FD99C7">
          <w:pPr>
            <w:spacing w:line="288" w:lineRule="auto"/>
            <w:jc w:val="center"/>
            <w:rPr>
              <w:b/>
              <w:szCs w:val="24"/>
              <w:lang w:eastAsia="lt-LT"/>
            </w:rPr>
          </w:pPr>
          <w:r>
            <w:rPr>
              <w:b/>
              <w:szCs w:val="24"/>
              <w:lang w:eastAsia="lt-LT"/>
            </w:rPr>
            <w:t>AIŠKINAMASIS RAŠTAS</w:t>
          </w:r>
        </w:p>
        <w:p w14:paraId="524F4810" w14:textId="0AB67DED">
          <w:pPr>
            <w:spacing w:line="288" w:lineRule="auto"/>
            <w:jc w:val="center"/>
            <w:rPr>
              <w:b/>
              <w:i/>
              <w:iCs/>
              <w:szCs w:val="24"/>
              <w:lang w:eastAsia="lt-LT"/>
            </w:rPr>
          </w:pPr>
          <w:r>
            <w:rPr>
              <w:b/>
              <w:caps/>
              <w:szCs w:val="24"/>
              <w:lang w:eastAsia="lt-LT"/>
            </w:rPr>
            <w:t xml:space="preserve">dėl </w:t>
          </w:r>
          <w:r>
            <w:rPr>
              <w:b/>
              <w:szCs w:val="24"/>
              <w:lang w:eastAsia="lt-LT"/>
            </w:rPr>
            <w:t>DIDŽIAUSIŲJŲ GALIMŲ DRAUDIMO ĮMOKŲ ĮKAINIŲ NUSTATYMO</w:t>
          </w:r>
          <w:r>
            <w:rPr>
              <w:b/>
              <w:caps/>
              <w:szCs w:val="24"/>
              <w:lang w:eastAsia="lt-LT"/>
            </w:rPr>
            <w:t xml:space="preserve"> </w:t>
          </w:r>
        </w:p>
        <w:p w14:paraId="468C7942" w14:textId="77777777">
          <w:pPr>
            <w:spacing w:line="288" w:lineRule="auto"/>
            <w:jc w:val="center"/>
            <w:rPr>
              <w:b/>
              <w:szCs w:val="24"/>
              <w:lang w:eastAsia="lt-LT"/>
            </w:rPr>
          </w:pPr>
        </w:p>
        <w:p w14:paraId="1614C4F3" w14:textId="2715528A">
          <w:pPr>
            <w:tabs>
              <w:tab w:val="center" w:pos="4819"/>
              <w:tab w:val="left" w:pos="8510"/>
            </w:tabs>
            <w:spacing w:line="288" w:lineRule="auto"/>
            <w:jc w:val="center"/>
            <w:rPr>
              <w:szCs w:val="24"/>
              <w:u w:val="single"/>
              <w:lang w:eastAsia="lt-LT"/>
            </w:rPr>
          </w:pPr>
          <w:r>
            <w:rPr>
              <w:szCs w:val="24"/>
              <w:lang w:eastAsia="lt-LT"/>
            </w:rPr>
            <w:t xml:space="preserve">______________  Nr. ___________</w:t>
          </w:r>
        </w:p>
        <w:p w14:paraId="35D46E4D" w14:textId="4A730F8A">
          <w:pPr>
            <w:spacing w:line="288" w:lineRule="auto"/>
            <w:jc w:val="center"/>
            <w:rPr>
              <w:b/>
              <w:bCs/>
              <w:szCs w:val="24"/>
            </w:rPr>
          </w:pPr>
        </w:p>
        <w:sdt>
          <w:sdtPr>
            <w:alias w:val="1 p."/>
            <w:tag w:val="part_ef987285275c4af19a450bbf9e18d511"/>
            <w:lock w:val="sdtLocked"/>
            <w:richText/>
          </w:sdtPr>
          <w:sdtContent>
            <w:p w14:paraId="34B90FF9" w14:textId="77777777">
              <w:pPr>
                <w:spacing w:line="288" w:lineRule="auto"/>
                <w:ind w:firstLine="709"/>
                <w:jc w:val="both"/>
                <w:rPr>
                  <w:b/>
                  <w:bCs/>
                  <w:color w:val="000000"/>
                  <w:szCs w:val="24"/>
                </w:rPr>
              </w:pPr>
              <w:sdt>
                <w:sdtPr>
                  <w:alias w:val="Numeris"/>
                  <w:tag w:val="nr_ef987285275c4af19a450bbf9e18d511"/>
                  <w:lock w:val="sdtLocked"/>
                  <w:richText/>
                </w:sdtPr>
                <w:sdtContent>
                  <w:r>
                    <w:rPr>
                      <w:b/>
                      <w:bCs/>
                      <w:color w:val="000000"/>
                      <w:szCs w:val="24"/>
                    </w:rPr>
                    <w:t>1</w:t>
                  </w:r>
                </w:sdtContent>
              </w:sdt>
              <w:r>
                <w:rPr>
                  <w:b/>
                  <w:bCs/>
                  <w:color w:val="000000"/>
                  <w:szCs w:val="24"/>
                </w:rPr>
                <w:t>. Įsakymo projekto rengimą paskatinusios priežastys, įsakymo projekto tikslai ir uždaviniai.</w:t>
              </w:r>
            </w:p>
            <w:p w14:paraId="6A1B355F" w14:textId="4AC7D5DE">
              <w:pPr>
                <w:spacing w:line="288" w:lineRule="auto"/>
                <w:ind w:firstLine="709"/>
                <w:jc w:val="both"/>
                <w:rPr>
                  <w:bCs/>
                  <w:szCs w:val="24"/>
                </w:rPr>
              </w:pPr>
              <w:r>
                <w:rPr>
                  <w:szCs w:val="24"/>
                </w:rPr>
                <w:t xml:space="preserve">Teikiamas Lietuvos Respublikos žemės ūkio ministro įsakymo </w:t>
                <w:br/>
                <w:t>„Dėl didžiausiųjų galimų draudimo įmokų įkainių nustatymo“ projektas (toliau – Įsakymo projektas). Įsakymo projektas parengtas siekiant sumažinti administracinę naštą pareiškėjams, teikiantiems paraiškas pagal Pasėlių ir augalų draudimo įmokų kompensavimo</w:t>
              </w:r>
              <w:r>
                <w:rPr>
                  <w:color w:val="000000"/>
                  <w:szCs w:val="24"/>
                </w:rPr>
                <w:t xml:space="preserve"> taisykles, patvirtintas Lietuvos Respublikos žemės ūkio ministro 2009 m. balandžio 10 d. įsakymu Nr. 3D-236 „Dėl </w:t>
              </w:r>
              <w:r>
                <w:rPr>
                  <w:szCs w:val="24"/>
                </w:rPr>
                <w:t xml:space="preserve">Pasėlių ir augalų draudimo įmokų kompensavimo </w:t>
              </w:r>
              <w:r>
                <w:rPr>
                  <w:color w:val="000000"/>
                  <w:szCs w:val="24"/>
                </w:rPr>
                <w:t xml:space="preserve">taisyklių patvirtinimo“, </w:t>
              </w:r>
              <w:r>
                <w:rPr>
                  <w:bCs/>
                  <w:szCs w:val="24"/>
                </w:rPr>
                <w:t xml:space="preserve">Lietuvos kaimo plėtros 2014–2020 m. programos priemonės „Rizikos valdymas“ veiklos srities „Pasėlių, gyvūnų ir augalų draudimo įmokos“, susijusios su pasėlių ir augalų draudimo įmokų kompensavimu, įgyvendinimo taisykles, patvirtintas Lietuvos Respublikos žemės ūkio ministro 2016 m. gegužės 25 d. įsakymu Nr. 3D-327 „Dėl Lietuvos kaimo plėtros 2014–2020 m. programos priemonės „Rizikos valdymas“ veiklos srities „Pasėlių, gyvūnų ir augalų draudimo įmokos“, susijusios su pasėlių ir augalų draudimo įmokų kompensavimu, įgyvendinimo taisyklių patvirtinimo“, bei pagal </w:t>
              </w:r>
              <w:r>
                <w:rPr>
                  <w:szCs w:val="24"/>
                </w:rPr>
                <w:t>Lietuvos žemės ūkio ir kaimo plėtros 2023–2027 m. strateginio plano intervencinės priemonės „</w:t>
              </w:r>
              <w:r>
                <w:rPr>
                  <w:bCs/>
                  <w:szCs w:val="24"/>
                </w:rPr>
                <w:t>Pasėlių, augalų ir gyvūnų draudimas“ veiklos „Pasėlių ir augalų draudimo įmokos kompensacija“</w:t>
              </w:r>
              <w:r>
                <w:rPr>
                  <w:szCs w:val="24"/>
                </w:rPr>
                <w:t xml:space="preserve"> </w:t>
              </w:r>
              <w:r>
                <w:rPr>
                  <w:spacing w:val="-2"/>
                  <w:szCs w:val="24"/>
                </w:rPr>
                <w:t xml:space="preserve">įgyvendinimo taisykles, patvirtintas </w:t>
              </w:r>
              <w:r>
                <w:rPr>
                  <w:color w:val="000000"/>
                  <w:szCs w:val="24"/>
                </w:rPr>
                <w:t xml:space="preserve">Lietuvos Respublikos žemės ūkio ministro 2023 m. rugpjūčio 1 d. įsakymu Nr. 3D-513 „Dėl </w:t>
              </w:r>
              <w:r>
                <w:rPr>
                  <w:szCs w:val="24"/>
                </w:rPr>
                <w:t>Lietuvos žemės ūkio ir kaimo plėtros 2023–2027 m. strateginio plano intervencinės priemonės „</w:t>
              </w:r>
              <w:r>
                <w:rPr>
                  <w:bCs/>
                  <w:szCs w:val="24"/>
                </w:rPr>
                <w:t xml:space="preserve">Pasėlių, augalų ir gyvūnų draudimas“ veiklos „Pasėlių ir augalų draudimo įmokos kompensacija“ įgyvendinimo taisyklių patvirtinimo“, pasėlių ir (arba) augalų draudimo įmokos kompensacijai gauti. </w:t>
              </w:r>
            </w:p>
            <w:p w14:paraId="62E935CD" w14:textId="41EE491F">
              <w:pPr>
                <w:spacing w:line="288" w:lineRule="auto"/>
                <w:ind w:firstLine="709"/>
                <w:jc w:val="both"/>
                <w:rPr>
                  <w:szCs w:val="24"/>
                </w:rPr>
              </w:pPr>
              <w:r>
                <w:rPr>
                  <w:bCs/>
                  <w:szCs w:val="24"/>
                </w:rPr>
                <w:t>Patvirtinus Įsakymo projektu didžiausiuosius galimus draudimo įmokų įkainius pareiškėjams nereikės atlikti pirkimo procedūrų.</w:t>
              </w:r>
            </w:p>
            <w:p w14:paraId="7B893E59" w14:textId="17C44380">
              <w:pPr>
                <w:spacing w:line="288" w:lineRule="auto"/>
                <w:ind w:firstLine="771"/>
                <w:jc w:val="both"/>
                <w:rPr>
                  <w:bCs/>
                  <w:szCs w:val="24"/>
                  <w:lang w:eastAsia="lt-LT"/>
                </w:rPr>
              </w:pPr>
              <w:r>
                <w:rPr>
                  <w:szCs w:val="24"/>
                  <w:lang w:eastAsia="lt-LT"/>
                </w:rPr>
                <w:t>Įsakymo projektu tvirtinami didžiausieji galimi draudimo įmokų įkainiai pagal Konsultavimo dėl augalų ir pasėlių draudimo fiksuotųjų vieneto įkainių nustatymo paslaugų ataskaitą</w:t>
              </w:r>
              <w:r>
                <w:rPr>
                  <w:bCs/>
                  <w:iCs/>
                  <w:szCs w:val="24"/>
                  <w:lang w:eastAsia="lt-LT"/>
                </w:rPr>
                <w:t>, parengtą pagal 2023 m. vasario 23 d. viešojo pirkimo sutartį „S</w:t>
              </w:r>
              <w:r>
                <w:rPr>
                  <w:rFonts w:eastAsia="Lucida Sans Unicode"/>
                  <w:bCs/>
                  <w:szCs w:val="24"/>
                  <w:lang w:eastAsia="lt-LT"/>
                </w:rPr>
                <w:t>utartis su UAB</w:t>
              </w:r>
              <w:r>
                <w:rPr>
                  <w:bCs/>
                  <w:spacing w:val="-1"/>
                  <w:szCs w:val="24"/>
                  <w:lang w:eastAsia="lt-LT"/>
                </w:rPr>
                <w:t xml:space="preserve"> </w:t>
              </w:r>
              <w:r>
                <w:rPr>
                  <w:bCs/>
                  <w:szCs w:val="24"/>
                  <w:lang w:eastAsia="lt-LT"/>
                </w:rPr>
                <w:t>„Verslo valdymo technologijų grupė“</w:t>
              </w:r>
              <w:r>
                <w:rPr>
                  <w:bCs/>
                  <w:caps/>
                  <w:szCs w:val="24"/>
                  <w:lang w:eastAsia="lt-LT"/>
                </w:rPr>
                <w:t xml:space="preserve"> </w:t>
              </w:r>
              <w:r>
                <w:rPr>
                  <w:bCs/>
                  <w:szCs w:val="24"/>
                  <w:lang w:eastAsia="lt-LT"/>
                </w:rPr>
                <w:t xml:space="preserve">dėl paslaugų pirkimo“ Nr. 8P-23-36 (toliau – įkainių nustatymo ataskaita). </w:t>
              </w:r>
            </w:p>
          </w:sdtContent>
        </w:sdt>
        <w:sdt>
          <w:sdtPr>
            <w:alias w:val="2 p."/>
            <w:tag w:val="part_906495d2ebe547e49c1edca6b427c90e"/>
            <w:lock w:val="sdtLocked"/>
            <w:richText/>
          </w:sdtPr>
          <w:sdtContent>
            <w:p w14:paraId="47F18836" w14:textId="4D6374EB">
              <w:pPr>
                <w:spacing w:line="288" w:lineRule="auto"/>
                <w:ind w:firstLine="709"/>
                <w:jc w:val="both"/>
                <w:rPr>
                  <w:rFonts w:eastAsia="Calibri"/>
                  <w:b/>
                  <w:bCs/>
                  <w:szCs w:val="24"/>
                </w:rPr>
              </w:pPr>
              <w:sdt>
                <w:sdtPr>
                  <w:alias w:val="Numeris"/>
                  <w:tag w:val="nr_906495d2ebe547e49c1edca6b427c90e"/>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14:paraId="1CC28A7F" w14:textId="52A3D8D5">
              <w:pPr>
                <w:spacing w:line="288" w:lineRule="auto"/>
                <w:ind w:firstLine="709"/>
                <w:jc w:val="both"/>
                <w:rPr>
                  <w:rFonts w:eastAsia="Calibri"/>
                  <w:szCs w:val="24"/>
                </w:rPr>
              </w:pPr>
              <w:r>
                <w:rPr>
                  <w:rFonts w:eastAsia="Calibri"/>
                  <w:szCs w:val="24"/>
                </w:rPr>
                <w:t>Įsakymo projektui įgyvendinti nereikalingi informacinių sistemų pakeitimai.</w:t>
              </w:r>
            </w:p>
          </w:sdtContent>
        </w:sdt>
        <w:sdt>
          <w:sdtPr>
            <w:alias w:val="3 p."/>
            <w:tag w:val="part_f713d2b3359a4ed2a95bad340ebc9d1c"/>
            <w:lock w:val="sdtLocked"/>
            <w:richText/>
          </w:sdtPr>
          <w:sdtContent>
            <w:p w14:paraId="155B229C" w14:textId="3A8B03B5">
              <w:pPr>
                <w:spacing w:line="288" w:lineRule="auto"/>
                <w:ind w:firstLine="709"/>
                <w:jc w:val="both"/>
                <w:rPr>
                  <w:b/>
                  <w:bCs/>
                  <w:szCs w:val="24"/>
                  <w:lang w:eastAsia="lt-LT"/>
                </w:rPr>
              </w:pPr>
              <w:sdt>
                <w:sdtPr>
                  <w:alias w:val="Numeris"/>
                  <w:tag w:val="nr_f713d2b3359a4ed2a95bad340ebc9d1c"/>
                  <w:lock w:val="sdtLocked"/>
                  <w:richText/>
                </w:sdtPr>
                <w:sdtContent>
                  <w:r>
                    <w:rPr>
                      <w:b/>
                      <w:bCs/>
                      <w:szCs w:val="24"/>
                      <w:lang w:eastAsia="lt-LT"/>
                    </w:rPr>
                    <w:t>3</w:t>
                  </w:r>
                </w:sdtContent>
              </w:sdt>
              <w:r>
                <w:rPr>
                  <w:b/>
                  <w:bCs/>
                  <w:szCs w:val="24"/>
                  <w:lang w:eastAsia="lt-LT"/>
                </w:rPr>
                <w:t>. Informacija dėl įsakymo projekto skelbimo Lietuvos Respublikos Seimo kanceliarijos Teisės aktų informacinėje sistemoje (toliau – TAIS)</w:t>
              </w:r>
            </w:p>
            <w:p w14:paraId="00AE910B" w14:textId="4B3FFDB3">
              <w:pPr>
                <w:spacing w:line="288" w:lineRule="auto"/>
                <w:ind w:firstLine="709"/>
                <w:jc w:val="both"/>
                <w:rPr>
                  <w:szCs w:val="24"/>
                  <w:lang w:eastAsia="lt-LT"/>
                </w:rPr>
              </w:pPr>
              <w:r>
                <w:rPr>
                  <w:spacing w:val="4"/>
                  <w:szCs w:val="24"/>
                  <w:lang w:eastAsia="lt-LT"/>
                </w:rPr>
                <w:t>Įsakymo projektas bus skelbiamas Lietuvos Respublikos Seimo kanceliarijos teisės aktų informacinės sistemos Projektų registravimo posistemyje 5 darbo dienas. Įsakymo projektas bus derinamas su Nacionaline mokėjimo a</w:t>
              </w:r>
              <w:r>
                <w:rPr>
                  <w:szCs w:val="24"/>
                  <w:lang w:eastAsia="lt-LT"/>
                </w:rPr>
                <w:t>gentūra prie Žemės ūkio ministerijos.</w:t>
              </w:r>
            </w:p>
          </w:sdtContent>
        </w:sdt>
        <w:sdt>
          <w:sdtPr>
            <w:alias w:val="4 p."/>
            <w:tag w:val="part_bb32a9f66a1540baadaebba1b35d6ccf"/>
            <w:lock w:val="sdtLocked"/>
            <w:richText/>
          </w:sdtPr>
          <w:sdtContent>
            <w:p w14:paraId="618AEF08" w14:textId="02408803">
              <w:pPr>
                <w:spacing w:line="288" w:lineRule="auto"/>
                <w:ind w:firstLine="709"/>
                <w:jc w:val="both"/>
                <w:rPr>
                  <w:b/>
                  <w:bCs/>
                  <w:color w:val="000000"/>
                  <w:szCs w:val="24"/>
                  <w:lang w:eastAsia="lt-LT"/>
                </w:rPr>
              </w:pPr>
              <w:sdt>
                <w:sdtPr>
                  <w:alias w:val="Numeris"/>
                  <w:tag w:val="nr_bb32a9f66a1540baadaebba1b35d6ccf"/>
                  <w:lock w:val="sdtLocked"/>
                  <w:richText/>
                </w:sdtPr>
                <w:sdtContent>
                  <w:r>
                    <w:rPr>
                      <w:b/>
                      <w:bCs/>
                      <w:color w:val="000000"/>
                      <w:szCs w:val="24"/>
                      <w:lang w:eastAsia="lt-LT"/>
                    </w:rPr>
                    <w:t>4</w:t>
                  </w:r>
                </w:sdtContent>
              </w:sdt>
              <w:r>
                <w:rPr>
                  <w:b/>
                  <w:bCs/>
                  <w:color w:val="000000"/>
                  <w:szCs w:val="24"/>
                  <w:lang w:eastAsia="lt-LT"/>
                </w:rPr>
                <w:t>. Informacija dėl įsakymo projekto derinimo su suinteresuotomis valstybės institucijomis ir (ar) įstaigomis</w:t>
              </w:r>
            </w:p>
            <w:p w14:paraId="305D2393" w14:textId="25AA9050">
              <w:pPr>
                <w:spacing w:line="288" w:lineRule="auto"/>
                <w:ind w:firstLine="709"/>
                <w:jc w:val="both"/>
                <w:rPr>
                  <w:rFonts w:eastAsia="Calibri"/>
                  <w:szCs w:val="24"/>
                </w:rPr>
              </w:pPr>
              <w:r>
                <w:rPr>
                  <w:spacing w:val="4"/>
                  <w:szCs w:val="24"/>
                  <w:lang w:eastAsia="lt-LT"/>
                </w:rPr>
                <w:t>Nėra.</w:t>
              </w:r>
            </w:p>
          </w:sdtContent>
        </w:sdt>
        <w:sdt>
          <w:sdtPr>
            <w:alias w:val="5 p."/>
            <w:tag w:val="part_0f0dfbe8f2244f5f9f39c092d9cf00b4"/>
            <w:lock w:val="sdtLocked"/>
            <w:richText/>
          </w:sdtPr>
          <w:sdtContent>
            <w:p w14:paraId="6956D986" w14:textId="5145E067">
              <w:pPr>
                <w:spacing w:line="288" w:lineRule="auto"/>
                <w:ind w:firstLine="709"/>
                <w:jc w:val="both"/>
                <w:rPr>
                  <w:b/>
                  <w:bCs/>
                  <w:color w:val="000000"/>
                  <w:szCs w:val="24"/>
                  <w:lang w:eastAsia="lt-LT"/>
                </w:rPr>
              </w:pPr>
              <w:sdt>
                <w:sdtPr>
                  <w:alias w:val="Numeris"/>
                  <w:tag w:val="nr_0f0dfbe8f2244f5f9f39c092d9cf00b4"/>
                  <w:lock w:val="sdtLocked"/>
                  <w:richText/>
                </w:sdtPr>
                <w:sdtContent>
                  <w:r>
                    <w:rPr>
                      <w:b/>
                      <w:bCs/>
                      <w:color w:val="000000"/>
                      <w:szCs w:val="24"/>
                      <w:lang w:eastAsia="lt-LT"/>
                    </w:rPr>
                    <w:t>5</w:t>
                  </w:r>
                </w:sdtContent>
              </w:sdt>
              <w:r>
                <w:rPr>
                  <w:b/>
                  <w:bCs/>
                  <w:color w:val="000000"/>
                  <w:szCs w:val="24"/>
                  <w:lang w:eastAsia="lt-LT"/>
                </w:rPr>
                <w:t>. Informacija dėl įsakymo projekto antikorupcinio vertinimo</w:t>
              </w:r>
            </w:p>
            <w:p w14:paraId="1120869C" w14:textId="50A794CE">
              <w:pPr>
                <w:spacing w:line="360" w:lineRule="auto"/>
                <w:ind w:firstLine="709"/>
                <w:jc w:val="both"/>
                <w:rPr>
                  <w:color w:val="000000"/>
                  <w:szCs w:val="24"/>
                  <w:lang w:eastAsia="lt-LT"/>
                </w:rPr>
              </w:pPr>
              <w:r>
                <w:rPr>
                  <w:color w:val="000000"/>
                  <w:szCs w:val="24"/>
                  <w:lang w:eastAsia="lt-LT"/>
                </w:rPr>
                <w:t xml:space="preserve">Atliktas įsakymo projekto antikorupcinis vertinimas. </w:t>
              </w:r>
            </w:p>
          </w:sdtContent>
        </w:sdt>
        <w:sdt>
          <w:sdtPr>
            <w:alias w:val="6 p."/>
            <w:tag w:val="part_942cf460a0bb46ee8f25aed16090bc59"/>
            <w:lock w:val="sdtLocked"/>
            <w:richText/>
          </w:sdtPr>
          <w:sdtContent>
            <w:p w14:paraId="5DB7C866" w14:textId="4DCF3A5B">
              <w:pPr>
                <w:spacing w:line="288" w:lineRule="auto"/>
                <w:ind w:firstLine="709"/>
                <w:jc w:val="both"/>
                <w:rPr>
                  <w:b/>
                  <w:bCs/>
                  <w:color w:val="000000"/>
                  <w:szCs w:val="24"/>
                  <w:lang w:eastAsia="lt-LT"/>
                </w:rPr>
              </w:pPr>
              <w:sdt>
                <w:sdtPr>
                  <w:alias w:val="Numeris"/>
                  <w:tag w:val="nr_942cf460a0bb46ee8f25aed16090bc59"/>
                  <w:lock w:val="sdtLocked"/>
                  <w:richText/>
                </w:sdtPr>
                <w:sdtContent>
                  <w:r>
                    <w:rPr>
                      <w:b/>
                      <w:bCs/>
                      <w:color w:val="000000"/>
                      <w:szCs w:val="24"/>
                      <w:lang w:eastAsia="lt-LT"/>
                    </w:rPr>
                    <w:t>6</w:t>
                  </w:r>
                </w:sdtContent>
              </w:sdt>
              <w:r>
                <w:rPr>
                  <w:b/>
                  <w:bCs/>
                  <w:color w:val="000000"/>
                  <w:szCs w:val="24"/>
                  <w:lang w:eastAsia="lt-LT"/>
                </w:rPr>
                <w:t>. Informacija dėl ūkio subjektams sukeliamų prisitaikymo prie reguliavimo išlaidų vertinimo, numatomo teisinio reguliavimo poveikio vertinimo, įsakymo projekto, perkeliančio ir (ar) įgyvendinančio Europos Sąjungos direktyvų ar kitų Europos Sąjungos teisės aktų nuostatų atitikties</w:t>
              </w:r>
            </w:p>
            <w:p w14:paraId="1903D042" w14:textId="77777777">
              <w:pPr>
                <w:spacing w:line="288" w:lineRule="auto"/>
                <w:ind w:firstLine="709"/>
                <w:jc w:val="both"/>
                <w:rPr>
                  <w:color w:val="000000"/>
                  <w:szCs w:val="24"/>
                  <w:shd w:val="clear" w:color="auto" w:fill="FFFFFF"/>
                  <w:lang w:eastAsia="lt-LT"/>
                </w:rPr>
              </w:pPr>
              <w:r>
                <w:rPr>
                  <w:color w:val="000000"/>
                  <w:szCs w:val="24"/>
                  <w:lang w:eastAsia="lt-LT"/>
                </w:rPr>
                <w:t>Prisitaikymo prie reguliavimo išlaidų vertinimas neatliekamas</w:t>
              </w:r>
              <w:r>
                <w:rPr>
                  <w:color w:val="000000"/>
                  <w:szCs w:val="24"/>
                  <w:shd w:val="clear" w:color="auto" w:fill="FFFFFF"/>
                  <w:lang w:eastAsia="lt-LT"/>
                </w:rPr>
                <w:t xml:space="preserve">. </w:t>
              </w:r>
            </w:p>
            <w:p w14:paraId="25DAF271" w14:textId="60F7AF10">
              <w:pPr>
                <w:spacing w:line="288" w:lineRule="auto"/>
                <w:ind w:firstLine="709"/>
                <w:jc w:val="both"/>
                <w:rPr>
                  <w:color w:val="000000"/>
                  <w:szCs w:val="24"/>
                  <w:lang w:eastAsia="lt-LT"/>
                </w:rPr>
              </w:pPr>
              <w:r>
                <w:rPr>
                  <w:color w:val="000000"/>
                  <w:szCs w:val="24"/>
                  <w:lang w:eastAsia="lt-LT"/>
                </w:rPr>
                <w:t>Numatomo teisinio reguliavimo poveikio vertinimas neatliekamas.</w:t>
              </w:r>
            </w:p>
            <w:p w14:paraId="6802C901" w14:textId="53B7B6B3">
              <w:pPr>
                <w:spacing w:line="360" w:lineRule="auto"/>
                <w:ind w:firstLine="709"/>
                <w:jc w:val="both"/>
                <w:rPr>
                  <w:color w:val="000000"/>
                  <w:szCs w:val="24"/>
                  <w:lang w:eastAsia="lt-LT"/>
                </w:rPr>
              </w:pPr>
              <w:r>
                <w:rPr>
                  <w:color w:val="000000"/>
                  <w:szCs w:val="24"/>
                  <w:lang w:eastAsia="lt-LT"/>
                </w:rPr>
                <w:t>Įsakymo projektas neperkelia ir neįgyvendina ES teisės aktų nuostatų.</w:t>
              </w:r>
            </w:p>
          </w:sdtContent>
        </w:sdt>
        <w:sdt>
          <w:sdtPr>
            <w:alias w:val="7 p."/>
            <w:tag w:val="part_0cb91670e9f8401285cea66b15948565"/>
            <w:lock w:val="sdtLocked"/>
            <w:richText/>
          </w:sdtPr>
          <w:sdtContent>
            <w:p w14:paraId="171595B1" w14:textId="50B4453C">
              <w:pPr>
                <w:spacing w:line="288" w:lineRule="auto"/>
                <w:ind w:firstLine="709"/>
                <w:jc w:val="both"/>
                <w:rPr>
                  <w:b/>
                  <w:bCs/>
                  <w:color w:val="000000"/>
                  <w:szCs w:val="24"/>
                  <w:lang w:eastAsia="lt-LT"/>
                </w:rPr>
              </w:pPr>
              <w:sdt>
                <w:sdtPr>
                  <w:alias w:val="Numeris"/>
                  <w:tag w:val="nr_0cb91670e9f8401285cea66b15948565"/>
                  <w:lock w:val="sdtLocked"/>
                  <w:richText/>
                </w:sdtPr>
                <w:sdtContent>
                  <w:r>
                    <w:rPr>
                      <w:b/>
                      <w:bCs/>
                      <w:color w:val="000000"/>
                      <w:szCs w:val="24"/>
                      <w:lang w:eastAsia="lt-LT"/>
                    </w:rPr>
                    <w:t>7</w:t>
                  </w:r>
                </w:sdtContent>
              </w:sdt>
              <w:r>
                <w:rPr>
                  <w:b/>
                  <w:bCs/>
                  <w:color w:val="000000"/>
                  <w:szCs w:val="24"/>
                  <w:lang w:eastAsia="lt-LT"/>
                </w:rPr>
                <w:t>. Kita svarbi informacija</w:t>
              </w:r>
            </w:p>
            <w:p w14:paraId="13816B6C" w14:textId="5DA5C77B">
              <w:pPr>
                <w:spacing w:line="288" w:lineRule="auto"/>
                <w:ind w:firstLine="709"/>
                <w:jc w:val="both"/>
                <w:rPr>
                  <w:color w:val="000000"/>
                  <w:szCs w:val="24"/>
                  <w:lang w:eastAsia="lt-LT"/>
                </w:rPr>
              </w:pPr>
              <w:r>
                <w:rPr>
                  <w:color w:val="000000"/>
                  <w:szCs w:val="24"/>
                  <w:lang w:eastAsia="lt-LT"/>
                </w:rPr>
                <w:t>Nėra.</w:t>
              </w:r>
            </w:p>
            <w:p w14:paraId="1FBE67B6" w14:textId="5F5E408B">
              <w:pPr>
                <w:spacing w:line="288" w:lineRule="auto"/>
                <w:ind w:firstLine="709"/>
                <w:jc w:val="both"/>
                <w:rPr>
                  <w:color w:val="000000"/>
                  <w:szCs w:val="24"/>
                </w:rPr>
              </w:pPr>
              <w:r>
                <w:rPr>
                  <w:bCs/>
                  <w:color w:val="000000"/>
                  <w:szCs w:val="24"/>
                </w:rPr>
                <w:t>PRIDEDAMA</w:t>
              </w:r>
              <w:r>
                <w:rPr>
                  <w:color w:val="000000"/>
                  <w:szCs w:val="24"/>
                </w:rPr>
                <w:t>:</w:t>
              </w:r>
            </w:p>
          </w:sdtContent>
        </w:sdt>
        <w:sdt>
          <w:sdtPr>
            <w:alias w:val="1 p."/>
            <w:tag w:val="part_f8f9f682f0c04d919f5ed6a788fbc4db"/>
            <w:lock w:val="sdtLocked"/>
            <w:richText/>
          </w:sdtPr>
          <w:sdtContent>
            <w:p w14:paraId="0B708964" w14:textId="25C42C15">
              <w:pPr>
                <w:spacing w:line="288" w:lineRule="auto"/>
                <w:ind w:left="1069" w:hanging="360"/>
                <w:jc w:val="both"/>
                <w:rPr>
                  <w:color w:val="000000"/>
                  <w:szCs w:val="24"/>
                </w:rPr>
              </w:pPr>
              <w:sdt>
                <w:sdtPr>
                  <w:alias w:val="Numeris"/>
                  <w:tag w:val="nr_f8f9f682f0c04d919f5ed6a788fbc4db"/>
                  <w:lock w:val="sdtLocked"/>
                  <w:richText/>
                </w:sdtPr>
                <w:sdtContent>
                  <w:r>
                    <w:rPr>
                      <w:color w:val="000000"/>
                      <w:szCs w:val="24"/>
                    </w:rPr>
                    <w:t>1</w:t>
                  </w:r>
                </w:sdtContent>
              </w:sdt>
              <w:r>
                <w:rPr>
                  <w:color w:val="000000"/>
                  <w:szCs w:val="24"/>
                </w:rPr>
                <w:t>.</w:t>
                <w:tab/>
                <w:t>Įsakymo projektas, 2 lapai.</w:t>
              </w:r>
            </w:p>
          </w:sdtContent>
        </w:sdt>
        <w:sdt>
          <w:sdtPr>
            <w:alias w:val="2 p."/>
            <w:tag w:val="part_54d40b81f2794745b2c0f48ff3900453"/>
            <w:lock w:val="sdtLocked"/>
            <w:richText/>
          </w:sdtPr>
          <w:sdtContent>
            <w:p w14:paraId="771EB85F" w14:textId="3BE6F14F">
              <w:pPr>
                <w:spacing w:line="288" w:lineRule="auto"/>
                <w:ind w:left="1069" w:hanging="360"/>
                <w:jc w:val="both"/>
                <w:rPr>
                  <w:color w:val="000000"/>
                  <w:szCs w:val="24"/>
                </w:rPr>
              </w:pPr>
              <w:sdt>
                <w:sdtPr>
                  <w:alias w:val="Numeris"/>
                  <w:tag w:val="nr_54d40b81f2794745b2c0f48ff3900453"/>
                  <w:lock w:val="sdtLocked"/>
                  <w:richText/>
                </w:sdtPr>
                <w:sdtContent>
                  <w:r>
                    <w:rPr>
                      <w:color w:val="000000"/>
                      <w:szCs w:val="24"/>
                    </w:rPr>
                    <w:t>2</w:t>
                  </w:r>
                </w:sdtContent>
              </w:sdt>
              <w:r>
                <w:rPr>
                  <w:color w:val="000000"/>
                  <w:szCs w:val="24"/>
                </w:rPr>
                <w:t>.</w:t>
                <w:tab/>
                <w:t>A</w:t>
              </w:r>
              <w:r>
                <w:rPr>
                  <w:bCs/>
                  <w:color w:val="000000"/>
                  <w:szCs w:val="24"/>
                </w:rPr>
                <w:t>ntikorupcinio vertinimo</w:t>
              </w:r>
              <w:r>
                <w:rPr>
                  <w:color w:val="000000"/>
                  <w:szCs w:val="24"/>
                </w:rPr>
                <w:t xml:space="preserve"> pažyma, 6 lapai.</w:t>
              </w:r>
            </w:p>
            <w:p w14:paraId="0BB5A0FD" w14:textId="77777777">
              <w:pPr>
                <w:spacing w:line="288" w:lineRule="auto"/>
                <w:rPr>
                  <w:bCs/>
                  <w:color w:val="000000"/>
                  <w:szCs w:val="24"/>
                </w:rPr>
              </w:pPr>
            </w:p>
            <w:p w14:paraId="3C5F4DA5" w14:textId="23256C98">
              <w:pPr>
                <w:spacing w:line="288" w:lineRule="auto"/>
                <w:jc w:val="both"/>
                <w:rPr>
                  <w:szCs w:val="24"/>
                </w:rPr>
              </w:pPr>
              <w:r>
                <w:rPr>
                  <w:szCs w:val="24"/>
                </w:rPr>
                <w:t>Direktorė</w:t>
                <w:tab/>
                <w:tab/>
                <w:tab/>
                <w:tab/>
                <w:tab/>
                <w:t xml:space="preserve">                  Virginija Žoštautienė</w:t>
              </w:r>
            </w:p>
            <w:p w14:paraId="3BD2DDA4" w14:textId="30879419">
              <w:pPr>
                <w:spacing w:line="288" w:lineRule="auto"/>
                <w:jc w:val="both"/>
                <w:rPr>
                  <w:szCs w:val="24"/>
                </w:rPr>
              </w:pPr>
            </w:p>
            <w:p w14:paraId="79AB64FC" w14:textId="6C9F872D">
              <w:pPr>
                <w:tabs>
                  <w:tab w:val="left" w:pos="2040"/>
                </w:tabs>
                <w:spacing w:line="288" w:lineRule="auto"/>
                <w:rPr>
                  <w:szCs w:val="24"/>
                </w:rPr>
              </w:pPr>
            </w:p>
            <w:p w14:paraId="3F11B745" w14:textId="25B09787">
              <w:pPr>
                <w:tabs>
                  <w:tab w:val="left" w:pos="2040"/>
                </w:tabs>
                <w:spacing w:line="288" w:lineRule="auto"/>
                <w:rPr>
                  <w:szCs w:val="24"/>
                </w:rPr>
              </w:pPr>
            </w:p>
            <w:p w14:paraId="3368A5C1" w14:textId="77777777">
              <w:pPr>
                <w:tabs>
                  <w:tab w:val="left" w:pos="2040"/>
                </w:tabs>
                <w:spacing w:line="288" w:lineRule="auto"/>
                <w:rPr>
                  <w:szCs w:val="24"/>
                  <w:lang w:eastAsia="lt-LT"/>
                </w:rPr>
              </w:pPr>
            </w:p>
            <w:p w14:paraId="22BF6535" w14:textId="77777777">
              <w:pPr>
                <w:tabs>
                  <w:tab w:val="left" w:pos="2040"/>
                </w:tabs>
                <w:spacing w:line="288" w:lineRule="auto"/>
                <w:rPr>
                  <w:szCs w:val="24"/>
                  <w:lang w:eastAsia="lt-LT"/>
                </w:rPr>
              </w:pPr>
            </w:p>
            <w:p w14:paraId="7558BBC3" w14:textId="77777777">
              <w:pPr>
                <w:tabs>
                  <w:tab w:val="left" w:pos="2040"/>
                </w:tabs>
                <w:spacing w:line="288" w:lineRule="auto"/>
                <w:rPr>
                  <w:szCs w:val="24"/>
                  <w:lang w:eastAsia="lt-LT"/>
                </w:rPr>
              </w:pPr>
            </w:p>
            <w:p w14:paraId="67C5DD78" w14:textId="77777777">
              <w:pPr>
                <w:tabs>
                  <w:tab w:val="left" w:pos="2040"/>
                </w:tabs>
                <w:spacing w:line="288" w:lineRule="auto"/>
                <w:rPr>
                  <w:szCs w:val="24"/>
                  <w:lang w:eastAsia="lt-LT"/>
                </w:rPr>
              </w:pPr>
            </w:p>
            <w:p w14:paraId="7B60EF42" w14:textId="77777777">
              <w:pPr>
                <w:tabs>
                  <w:tab w:val="left" w:pos="2040"/>
                </w:tabs>
                <w:spacing w:line="288" w:lineRule="auto"/>
                <w:rPr>
                  <w:szCs w:val="24"/>
                  <w:lang w:eastAsia="lt-LT"/>
                </w:rPr>
              </w:pPr>
            </w:p>
            <w:p w14:paraId="19358C9A" w14:textId="77777777">
              <w:pPr>
                <w:tabs>
                  <w:tab w:val="left" w:pos="2040"/>
                </w:tabs>
                <w:spacing w:line="288" w:lineRule="auto"/>
                <w:rPr>
                  <w:szCs w:val="24"/>
                  <w:lang w:eastAsia="lt-LT"/>
                </w:rPr>
              </w:pPr>
            </w:p>
            <w:p w14:paraId="0E215701" w14:textId="77777777">
              <w:pPr>
                <w:tabs>
                  <w:tab w:val="left" w:pos="2040"/>
                </w:tabs>
                <w:spacing w:line="288" w:lineRule="auto"/>
                <w:rPr>
                  <w:szCs w:val="24"/>
                  <w:lang w:eastAsia="lt-LT"/>
                </w:rPr>
              </w:pPr>
            </w:p>
            <w:p w14:paraId="76D1FE20" w14:textId="77777777">
              <w:pPr>
                <w:tabs>
                  <w:tab w:val="left" w:pos="2040"/>
                </w:tabs>
                <w:spacing w:line="288" w:lineRule="auto"/>
                <w:rPr>
                  <w:szCs w:val="24"/>
                  <w:lang w:eastAsia="lt-LT"/>
                </w:rPr>
              </w:pPr>
            </w:p>
            <w:p w14:paraId="6A1D647B" w14:textId="77777777">
              <w:pPr>
                <w:tabs>
                  <w:tab w:val="left" w:pos="2040"/>
                </w:tabs>
                <w:spacing w:line="288" w:lineRule="auto"/>
                <w:rPr>
                  <w:szCs w:val="24"/>
                  <w:lang w:eastAsia="lt-LT"/>
                </w:rPr>
              </w:pPr>
            </w:p>
            <w:p w14:paraId="3F345761" w14:textId="77777777">
              <w:pPr>
                <w:tabs>
                  <w:tab w:val="left" w:pos="2040"/>
                </w:tabs>
                <w:spacing w:line="288" w:lineRule="auto"/>
                <w:rPr>
                  <w:szCs w:val="24"/>
                  <w:lang w:eastAsia="lt-LT"/>
                </w:rPr>
              </w:pPr>
            </w:p>
            <w:p w14:paraId="320DD6AE" w14:textId="77777777">
              <w:pPr>
                <w:tabs>
                  <w:tab w:val="left" w:pos="2040"/>
                </w:tabs>
                <w:spacing w:line="288" w:lineRule="auto"/>
                <w:rPr>
                  <w:szCs w:val="24"/>
                  <w:lang w:eastAsia="lt-LT"/>
                </w:rPr>
              </w:pPr>
            </w:p>
            <w:p w14:paraId="6BEE7265" w14:textId="77777777">
              <w:pPr>
                <w:tabs>
                  <w:tab w:val="left" w:pos="2040"/>
                </w:tabs>
                <w:spacing w:line="288" w:lineRule="auto"/>
                <w:rPr>
                  <w:szCs w:val="24"/>
                  <w:lang w:eastAsia="lt-LT"/>
                </w:rPr>
              </w:pPr>
            </w:p>
            <w:p w14:paraId="74AA6368" w14:textId="77777777">
              <w:pPr>
                <w:tabs>
                  <w:tab w:val="left" w:pos="2040"/>
                </w:tabs>
                <w:spacing w:line="288" w:lineRule="auto"/>
                <w:rPr>
                  <w:szCs w:val="24"/>
                  <w:lang w:eastAsia="lt-LT"/>
                </w:rPr>
              </w:pPr>
            </w:p>
            <w:p w14:paraId="717AF4C8" w14:textId="77777777">
              <w:pPr>
                <w:tabs>
                  <w:tab w:val="left" w:pos="2040"/>
                </w:tabs>
                <w:spacing w:line="288" w:lineRule="auto"/>
                <w:rPr>
                  <w:szCs w:val="24"/>
                  <w:lang w:eastAsia="lt-LT"/>
                </w:rPr>
              </w:pPr>
            </w:p>
            <w:p w14:paraId="4392B4E9" w14:textId="77777777">
              <w:pPr>
                <w:tabs>
                  <w:tab w:val="left" w:pos="2040"/>
                </w:tabs>
                <w:spacing w:line="288" w:lineRule="auto"/>
                <w:rPr>
                  <w:szCs w:val="24"/>
                  <w:lang w:eastAsia="lt-LT"/>
                </w:rPr>
              </w:pPr>
            </w:p>
            <w:p w14:paraId="3D067ED0" w14:textId="77777777">
              <w:pPr>
                <w:tabs>
                  <w:tab w:val="left" w:pos="2040"/>
                </w:tabs>
                <w:spacing w:line="288" w:lineRule="auto"/>
                <w:rPr>
                  <w:szCs w:val="24"/>
                  <w:lang w:eastAsia="lt-LT"/>
                </w:rPr>
              </w:pPr>
            </w:p>
            <w:p w14:paraId="208F1C07" w14:textId="77777777">
              <w:pPr>
                <w:tabs>
                  <w:tab w:val="left" w:pos="2040"/>
                </w:tabs>
                <w:spacing w:line="288" w:lineRule="auto"/>
                <w:rPr>
                  <w:szCs w:val="24"/>
                  <w:lang w:eastAsia="lt-LT"/>
                </w:rPr>
              </w:pPr>
            </w:p>
            <w:p w14:paraId="66AC8CC1" w14:textId="5081C676">
              <w:pPr>
                <w:tabs>
                  <w:tab w:val="left" w:pos="2040"/>
                </w:tabs>
                <w:spacing w:line="288" w:lineRule="auto"/>
                <w:rPr>
                  <w:i/>
                  <w:iCs/>
                  <w:szCs w:val="24"/>
                </w:rPr>
              </w:pPr>
              <w:r>
                <w:rPr>
                  <w:szCs w:val="24"/>
                  <w:lang w:eastAsia="lt-LT"/>
                </w:rPr>
                <w:t xml:space="preserve">Regina Voverytė-Šimkienė, tel. (8 5) 239 8468, el. p. </w:t>
              </w:r>
              <w:r>
                <w:rPr>
                  <w:color w:val="0000FF"/>
                  <w:szCs w:val="24"/>
                  <w:u w:val="single"/>
                  <w:lang w:eastAsia="lt-LT"/>
                </w:rPr>
                <w:t>Regina.Voveryte@zum.lt</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6F590E" w14:textId="77777777">
      <w:pPr>
        <w:rPr>
          <w:szCs w:val="24"/>
          <w:lang w:eastAsia="lt-LT"/>
        </w:rPr>
      </w:pPr>
      <w:r>
        <w:rPr>
          <w:szCs w:val="24"/>
          <w:lang w:eastAsia="lt-LT"/>
        </w:rPr>
        <w:separator/>
      </w:r>
    </w:p>
  </w:endnote>
  <w:endnote w:type="continuationSeparator" w:id="0">
    <w:p w14:paraId="20B822C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BEEA8"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69624"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5700A"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5D450C" w14:textId="77777777">
      <w:pPr>
        <w:rPr>
          <w:szCs w:val="24"/>
          <w:lang w:eastAsia="lt-LT"/>
        </w:rPr>
      </w:pPr>
      <w:r>
        <w:rPr>
          <w:szCs w:val="24"/>
          <w:lang w:eastAsia="lt-LT"/>
        </w:rPr>
        <w:separator/>
      </w:r>
    </w:p>
  </w:footnote>
  <w:footnote w:type="continuationSeparator" w:id="0">
    <w:p w14:paraId="45113BD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1B0BF9"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F115A" w14:textId="77777777">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14:paraId="40695D3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47A76"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7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6EAFD"/>
  <w15:docId w15:val="{EC8A7A97-6516-4843-83EA-4E649F66CA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443745">
      <w:bodyDiv w:val="1"/>
      <w:marLeft w:val="0"/>
      <w:marRight w:val="0"/>
      <w:marTop w:val="0"/>
      <w:marBottom w:val="0"/>
      <w:divBdr>
        <w:top w:val="none" w:sz="0" w:space="0" w:color="auto"/>
        <w:left w:val="none" w:sz="0" w:space="0" w:color="auto"/>
        <w:bottom w:val="none" w:sz="0" w:space="0" w:color="auto"/>
        <w:right w:val="none" w:sz="0" w:space="0" w:color="auto"/>
      </w:divBdr>
    </w:div>
    <w:div w:id="179635678">
      <w:bodyDiv w:val="1"/>
      <w:marLeft w:val="0"/>
      <w:marRight w:val="0"/>
      <w:marTop w:val="0"/>
      <w:marBottom w:val="0"/>
      <w:divBdr>
        <w:top w:val="none" w:sz="0" w:space="0" w:color="auto"/>
        <w:left w:val="none" w:sz="0" w:space="0" w:color="auto"/>
        <w:bottom w:val="none" w:sz="0" w:space="0" w:color="auto"/>
        <w:right w:val="none" w:sz="0" w:space="0" w:color="auto"/>
      </w:divBdr>
    </w:div>
    <w:div w:id="424114746">
      <w:bodyDiv w:val="1"/>
      <w:marLeft w:val="0"/>
      <w:marRight w:val="0"/>
      <w:marTop w:val="0"/>
      <w:marBottom w:val="0"/>
      <w:divBdr>
        <w:top w:val="none" w:sz="0" w:space="0" w:color="auto"/>
        <w:left w:val="none" w:sz="0" w:space="0" w:color="auto"/>
        <w:bottom w:val="none" w:sz="0" w:space="0" w:color="auto"/>
        <w:right w:val="none" w:sz="0" w:space="0" w:color="auto"/>
      </w:divBdr>
    </w:div>
    <w:div w:id="427697669">
      <w:bodyDiv w:val="1"/>
      <w:marLeft w:val="0"/>
      <w:marRight w:val="0"/>
      <w:marTop w:val="0"/>
      <w:marBottom w:val="0"/>
      <w:divBdr>
        <w:top w:val="none" w:sz="0" w:space="0" w:color="auto"/>
        <w:left w:val="none" w:sz="0" w:space="0" w:color="auto"/>
        <w:bottom w:val="none" w:sz="0" w:space="0" w:color="auto"/>
        <w:right w:val="none" w:sz="0" w:space="0" w:color="auto"/>
      </w:divBdr>
    </w:div>
    <w:div w:id="510722316">
      <w:bodyDiv w:val="1"/>
      <w:marLeft w:val="0"/>
      <w:marRight w:val="0"/>
      <w:marTop w:val="0"/>
      <w:marBottom w:val="0"/>
      <w:divBdr>
        <w:top w:val="none" w:sz="0" w:space="0" w:color="auto"/>
        <w:left w:val="none" w:sz="0" w:space="0" w:color="auto"/>
        <w:bottom w:val="none" w:sz="0" w:space="0" w:color="auto"/>
        <w:right w:val="none" w:sz="0" w:space="0" w:color="auto"/>
      </w:divBdr>
    </w:div>
    <w:div w:id="1049258244">
      <w:bodyDiv w:val="1"/>
      <w:marLeft w:val="0"/>
      <w:marRight w:val="0"/>
      <w:marTop w:val="0"/>
      <w:marBottom w:val="0"/>
      <w:divBdr>
        <w:top w:val="none" w:sz="0" w:space="0" w:color="auto"/>
        <w:left w:val="none" w:sz="0" w:space="0" w:color="auto"/>
        <w:bottom w:val="none" w:sz="0" w:space="0" w:color="auto"/>
        <w:right w:val="none" w:sz="0" w:space="0" w:color="auto"/>
      </w:divBdr>
    </w:div>
    <w:div w:id="1067535544">
      <w:bodyDiv w:val="1"/>
      <w:marLeft w:val="0"/>
      <w:marRight w:val="0"/>
      <w:marTop w:val="0"/>
      <w:marBottom w:val="0"/>
      <w:divBdr>
        <w:top w:val="none" w:sz="0" w:space="0" w:color="auto"/>
        <w:left w:val="none" w:sz="0" w:space="0" w:color="auto"/>
        <w:bottom w:val="none" w:sz="0" w:space="0" w:color="auto"/>
        <w:right w:val="none" w:sz="0" w:space="0" w:color="auto"/>
      </w:divBdr>
    </w:div>
    <w:div w:id="1373577984">
      <w:bodyDiv w:val="1"/>
      <w:marLeft w:val="0"/>
      <w:marRight w:val="0"/>
      <w:marTop w:val="0"/>
      <w:marBottom w:val="0"/>
      <w:divBdr>
        <w:top w:val="none" w:sz="0" w:space="0" w:color="auto"/>
        <w:left w:val="none" w:sz="0" w:space="0" w:color="auto"/>
        <w:bottom w:val="none" w:sz="0" w:space="0" w:color="auto"/>
        <w:right w:val="none" w:sz="0" w:space="0" w:color="auto"/>
      </w:divBdr>
    </w:div>
    <w:div w:id="1433285310">
      <w:bodyDiv w:val="1"/>
      <w:marLeft w:val="0"/>
      <w:marRight w:val="0"/>
      <w:marTop w:val="0"/>
      <w:marBottom w:val="0"/>
      <w:divBdr>
        <w:top w:val="none" w:sz="0" w:space="0" w:color="auto"/>
        <w:left w:val="none" w:sz="0" w:space="0" w:color="auto"/>
        <w:bottom w:val="none" w:sz="0" w:space="0" w:color="auto"/>
        <w:right w:val="none" w:sz="0" w:space="0" w:color="auto"/>
      </w:divBdr>
    </w:div>
    <w:div w:id="1610117440">
      <w:bodyDiv w:val="1"/>
      <w:marLeft w:val="0"/>
      <w:marRight w:val="0"/>
      <w:marTop w:val="0"/>
      <w:marBottom w:val="0"/>
      <w:divBdr>
        <w:top w:val="none" w:sz="0" w:space="0" w:color="auto"/>
        <w:left w:val="none" w:sz="0" w:space="0" w:color="auto"/>
        <w:bottom w:val="none" w:sz="0" w:space="0" w:color="auto"/>
        <w:right w:val="none" w:sz="0" w:space="0" w:color="auto"/>
      </w:divBdr>
    </w:div>
    <w:div w:id="1618566640">
      <w:bodyDiv w:val="1"/>
      <w:marLeft w:val="0"/>
      <w:marRight w:val="0"/>
      <w:marTop w:val="0"/>
      <w:marBottom w:val="0"/>
      <w:divBdr>
        <w:top w:val="none" w:sz="0" w:space="0" w:color="auto"/>
        <w:left w:val="none" w:sz="0" w:space="0" w:color="auto"/>
        <w:bottom w:val="none" w:sz="0" w:space="0" w:color="auto"/>
        <w:right w:val="none" w:sz="0" w:space="0" w:color="auto"/>
      </w:divBdr>
    </w:div>
    <w:div w:id="1821656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9E073037889034C81D9949DCDF3BDAF" ma:contentTypeVersion="4" ma:contentTypeDescription="Create a new document." ma:contentTypeScope="" ma:versionID="7daad91e2fbf1d96010bdfab51ee83f1">
  <xsd:schema xmlns:xsd="http://www.w3.org/2001/XMLSchema" xmlns:xs="http://www.w3.org/2001/XMLSchema" xmlns:p="http://schemas.microsoft.com/office/2006/metadata/properties" xmlns:ns2="feb42671-b126-420d-8a5a-13519c192cce" xmlns:ns3="03a1741a-acc7-4a75-a52c-93a2c39f3404" targetNamespace="http://schemas.microsoft.com/office/2006/metadata/properties" ma:root="true" ma:fieldsID="68d06617160506a91953fade9e19e831" ns2:_="" ns3:_="">
    <xsd:import namespace="feb42671-b126-420d-8a5a-13519c192cce"/>
    <xsd:import namespace="03a1741a-acc7-4a75-a52c-93a2c39f340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b42671-b126-420d-8a5a-13519c192c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3a1741a-acc7-4a75-a52c-93a2c39f340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7cfe9356e9a949d6a7bdebb3c539a5a9" PartId="5f6741f6311e46969b27aed32a885cd6">
    <Part Type="punktas" Nr="1" Abbr="1 p." DocPartId="90f32d3a334f4281a491bd3af0f2c324" PartId="ef987285275c4af19a450bbf9e18d511"/>
    <Part Type="punktas" Nr="2" Abbr="2 p." DocPartId="d9ae3407d9a34a56a82787c69288a0bd" PartId="906495d2ebe547e49c1edca6b427c90e"/>
    <Part Type="punktas" Nr="3" Abbr="3 p." DocPartId="ad77003cec95447fbee81134318ff1bb" PartId="f713d2b3359a4ed2a95bad340ebc9d1c"/>
    <Part Type="punktas" Nr="4" Abbr="4 p." DocPartId="a1586fa00cde491e8afb8c6530f8f240" PartId="bb32a9f66a1540baadaebba1b35d6ccf"/>
    <Part Type="punktas" Nr="5" Abbr="5 p." DocPartId="5180df22a84a4d4abececd7835249480" PartId="0f0dfbe8f2244f5f9f39c092d9cf00b4"/>
    <Part Type="punktas" Nr="6" Abbr="6 p." DocPartId="e897f6e4de29473483fec92505970790" PartId="942cf460a0bb46ee8f25aed16090bc59"/>
    <Part Type="punktas" Nr="7" Abbr="7 p." DocPartId="7a74a56fcb7a446ab1f5d9fbe8b3a5f7" PartId="0cb91670e9f8401285cea66b15948565"/>
    <Part Type="punktas" Nr="1" Abbr="1 p." Notes="Numeris ne iš eilės. Trūksta dalių? [DocDalys]" DocPartId="db59e85238d140a9a248744a1cca61ea" PartId="f8f9f682f0c04d919f5ed6a788fbc4db"/>
    <Part Type="punktas" Nr="2" Abbr="2 p." DocPartId="650edc6c0a6b4821a02166563f47cdb2" PartId="54d40b81f2794745b2c0f48ff3900453"/>
  </Part>
</Parts>
</file>

<file path=customXml/itemProps1.xml><?xml version="1.0" encoding="utf-8"?>
<ds:datastoreItem xmlns:ds="http://schemas.openxmlformats.org/officeDocument/2006/customXml" ds:itemID="{358414C7-D810-44B9-9774-5A299D436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b42671-b126-420d-8a5a-13519c192cce"/>
    <ds:schemaRef ds:uri="03a1741a-acc7-4a75-a52c-93a2c39f34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CCB2C1-638C-4316-949B-A7EFAAA63FA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DA01D7B-2C95-4E73-B532-9FA33DECE8BC}">
  <ds:schemaRefs>
    <ds:schemaRef ds:uri="http://schemas.microsoft.com/sharepoint/v3/contenttype/forms"/>
  </ds:schemaRefs>
</ds:datastoreItem>
</file>

<file path=customXml/itemProps4.xml><?xml version="1.0" encoding="utf-8"?>
<ds:datastoreItem xmlns:ds="http://schemas.openxmlformats.org/officeDocument/2006/customXml" ds:itemID="{B91524E1-9D1D-4CD0-A7B4-871F2A0416C3}">
  <ds:schemaRefs>
    <ds:schemaRef ds:uri="http://schemas.openxmlformats.org/officeDocument/2006/bibliography"/>
  </ds:schemaRefs>
</ds:datastoreItem>
</file>

<file path=customXml/itemProps5.xml><?xml version="1.0" encoding="utf-8"?>
<ds:datastoreItem xmlns:ds="http://schemas.openxmlformats.org/officeDocument/2006/customXml" ds:itemID="{2C3104B2-39DE-4809-8C25-517A0638FF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489</Words>
  <Characters>3563</Characters>
  <Application>Microsoft Office Word</Application>
  <DocSecurity>4</DocSecurity>
  <Lines>86</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4020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2023-08-17T06:28:00Z</dcterms:created>
  <dc:creator>Lina Pugačiukienė</dc:creator>
  <lastModifiedBy>adlibuser</lastModifiedBy>
  <dcterms:modified xsi:type="dcterms:W3CDTF">2023-08-17T06:28:00Z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0x010100B9E073037889034C81D9949DCDF3BDAF</vt:lpwstr>
  </property>
</Properties>
</file>