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686f16f2b8e40b9ae907765949c6f58"/>
        <w:lock w:val="sdtLocked"/>
        <w:richText/>
      </w:sdtPr>
      <w:sdtContent>
        <w:p>
          <w:pPr>
            <w:jc w:val="center"/>
            <w:rPr>
              <w:color w:val="000000"/>
              <w:szCs w:val="24"/>
              <w:lang w:eastAsia="en-GB"/>
            </w:rPr>
          </w:pPr>
          <w:r>
            <w:rPr>
              <w:b/>
              <w:bCs/>
              <w:color w:val="000000"/>
              <w:szCs w:val="24"/>
              <w:lang w:eastAsia="en-GB"/>
            </w:rPr>
            <w:t>AIŠKINAMASIS RAŠTAS</w:t>
          </w:r>
        </w:p>
        <w:p>
          <w:pPr>
            <w:rPr>
              <w:sz w:val="10"/>
              <w:szCs w:val="10"/>
            </w:rPr>
          </w:pPr>
        </w:p>
        <w:p>
          <w:pPr>
            <w:ind w:right="4"/>
            <w:jc w:val="center"/>
            <w:rPr>
              <w:b/>
              <w:bCs/>
              <w:color w:val="000000"/>
              <w:szCs w:val="24"/>
              <w:lang w:eastAsia="en-GB"/>
            </w:rPr>
          </w:pPr>
          <w:r>
            <w:rPr>
              <w:b/>
              <w:bCs/>
              <w:color w:val="000000"/>
              <w:szCs w:val="24"/>
              <w:lang w:eastAsia="en-GB"/>
            </w:rPr>
            <w:t xml:space="preserve">DĖL LIETUVOS RESPUBLIKOS DARBO KODEKSO </w:t>
          </w:r>
          <w:r>
            <w:rPr>
              <w:b/>
              <w:bCs/>
              <w:color w:val="000000"/>
              <w:szCs w:val="24"/>
              <w:lang w:val="en-GB" w:eastAsia="en-GB"/>
            </w:rPr>
            <w:t xml:space="preserve">138 </w:t>
          </w:r>
          <w:r>
            <w:rPr>
              <w:b/>
              <w:bCs/>
              <w:color w:val="000000"/>
              <w:szCs w:val="24"/>
              <w:lang w:eastAsia="en-GB"/>
            </w:rPr>
            <w:t>STRAIPSNIO PAKEITIMO ĮSTATYMO PROJEKTO</w:t>
          </w:r>
        </w:p>
        <w:p>
          <w:pPr>
            <w:ind w:firstLine="720"/>
            <w:jc w:val="center"/>
            <w:rPr>
              <w:szCs w:val="24"/>
              <w:lang w:eastAsia="en-GB"/>
            </w:rPr>
          </w:pPr>
        </w:p>
        <w:p>
          <w:pPr>
            <w:rPr>
              <w:sz w:val="10"/>
              <w:szCs w:val="10"/>
            </w:rPr>
          </w:pPr>
        </w:p>
        <w:sdt>
          <w:sdtPr>
            <w:alias w:val="1 p."/>
            <w:tag w:val="part_d04d612fe3864324861fedcb5ec39d42"/>
            <w:lock w:val="sdtLocked"/>
            <w:richText/>
          </w:sdtPr>
          <w:sdtContent>
            <w:p>
              <w:pPr>
                <w:shd w:val="clear" w:color="auto" w:fill="FFFFFF"/>
                <w:ind w:firstLine="720"/>
                <w:jc w:val="both"/>
                <w:rPr>
                  <w:szCs w:val="24"/>
                  <w:lang w:eastAsia="en-GB"/>
                </w:rPr>
              </w:pPr>
              <w:sdt>
                <w:sdtPr>
                  <w:alias w:val="Numeris"/>
                  <w:tag w:val="nr_d04d612fe3864324861fedcb5ec39d42"/>
                  <w:lock w:val="sdtLocked"/>
                  <w:richText/>
                </w:sdtPr>
                <w:sdtContent>
                  <w:r>
                    <w:rPr>
                      <w:b/>
                      <w:szCs w:val="24"/>
                      <w:lang w:eastAsia="en-GB"/>
                    </w:rPr>
                    <w:t>1</w:t>
                  </w:r>
                </w:sdtContent>
              </w:sdt>
              <w:r>
                <w:rPr>
                  <w:b/>
                  <w:szCs w:val="24"/>
                  <w:lang w:eastAsia="en-GB"/>
                </w:rPr>
                <w:t>.</w:t>
                <w:tab/>
              </w:r>
              <w:r>
                <w:rPr>
                  <w:b/>
                  <w:bCs/>
                  <w:color w:val="000000"/>
                  <w:szCs w:val="24"/>
                  <w:lang w:eastAsia="en-GB"/>
                </w:rPr>
                <w:t>Įstatymo projekto rengimą paskatinusios priežastys, parengto projekto tikslai ir uždaviniai</w:t>
              </w:r>
            </w:p>
            <w:p>
              <w:pPr>
                <w:rPr>
                  <w:sz w:val="10"/>
                  <w:szCs w:val="10"/>
                </w:rPr>
              </w:pPr>
            </w:p>
            <w:p>
              <w:pPr>
                <w:ind w:firstLine="720"/>
                <w:jc w:val="both"/>
                <w:rPr>
                  <w:color w:val="000000"/>
                  <w:szCs w:val="24"/>
                  <w:lang w:eastAsia="en-GB"/>
                </w:rPr>
              </w:pPr>
              <w:r>
                <w:rPr>
                  <w:color w:val="000000"/>
                  <w:szCs w:val="24"/>
                  <w:lang w:eastAsia="en-GB"/>
                </w:rPr>
                <w:t xml:space="preserve">Lietuvos Respublikos darbo kodekso 138 straipsnio pakeitimo įstatymo projektą paskatino rengti poreikis, kuriuo siekiama Lietuvos piliečiams numatyti didesnes galimybes derinti darbo galimybes ir įsipareigojimus su šeimos poreikiais, užtikrinant ilgesnį laiko praleidimą su savo atžalomis. </w:t>
              </w:r>
            </w:p>
            <w:p>
              <w:pPr>
                <w:rPr>
                  <w:sz w:val="10"/>
                  <w:szCs w:val="10"/>
                </w:rPr>
              </w:pPr>
            </w:p>
            <w:p>
              <w:pPr>
                <w:ind w:firstLine="720"/>
                <w:jc w:val="both"/>
                <w:rPr>
                  <w:color w:val="000000"/>
                  <w:szCs w:val="24"/>
                  <w:lang w:eastAsia="en-GB"/>
                </w:rPr>
              </w:pPr>
              <w:r>
                <w:rPr>
                  <w:color w:val="000000"/>
                  <w:szCs w:val="24"/>
                  <w:lang w:eastAsia="en-GB"/>
                </w:rPr>
                <w:t xml:space="preserve">Pagal 2018 m. įsigaliojusį vaiko teisių apsaugos įstatymą vaikas iki 6 metų be objektyvios priežasties negali likti vienas be vyresnių kaip 14 metų asmenų priežiūros. Mažamečiu laikomas asmuo, nesulaukęs 14 metų amžiaus. </w:t>
              </w:r>
            </w:p>
            <w:p>
              <w:pPr>
                <w:rPr>
                  <w:sz w:val="10"/>
                  <w:szCs w:val="10"/>
                </w:rPr>
              </w:pPr>
            </w:p>
            <w:p>
              <w:pPr>
                <w:ind w:firstLine="782"/>
                <w:jc w:val="both"/>
                <w:rPr>
                  <w:color w:val="000000"/>
                  <w:szCs w:val="24"/>
                  <w:lang w:eastAsia="en-GB"/>
                </w:rPr>
              </w:pPr>
              <w:r>
                <w:rPr>
                  <w:color w:val="000000"/>
                  <w:szCs w:val="24"/>
                  <w:lang w:eastAsia="en-GB"/>
                </w:rPr>
                <w:t xml:space="preserve">Darbo kodekse yra numatytos šeimos ir darbo įsipareigojimų derinimo priemonės, kurios numato papildomas poilsio dienas. Teisė į tokias dienas suteikiama visiems dirbantiems tėvams, auginantiems vieną vaiką iki </w:t>
              </w:r>
              <w:r>
                <w:rPr>
                  <w:color w:val="000000"/>
                  <w:szCs w:val="24"/>
                  <w:lang w:val="en-GB" w:eastAsia="en-GB"/>
                </w:rPr>
                <w:t>12 met</w:t>
              </w:r>
              <w:r>
                <w:rPr>
                  <w:color w:val="000000"/>
                  <w:szCs w:val="24"/>
                  <w:lang w:eastAsia="en-GB"/>
                </w:rPr>
                <w:t xml:space="preserve">ų. Tėvams suteikiama viena papildoma poilsio diena per tris mėnesius, o darbuotojams, auginantiems neįgalų vaiką iki </w:t>
              </w:r>
              <w:r>
                <w:rPr>
                  <w:color w:val="000000"/>
                  <w:szCs w:val="24"/>
                  <w:lang w:val="en-GB" w:eastAsia="en-GB"/>
                </w:rPr>
                <w:t>18 met</w:t>
              </w:r>
              <w:r>
                <w:rPr>
                  <w:color w:val="000000"/>
                  <w:szCs w:val="24"/>
                  <w:lang w:eastAsia="en-GB"/>
                </w:rPr>
                <w:t xml:space="preserve">ų arba du vaikus iki </w:t>
              </w:r>
              <w:r>
                <w:rPr>
                  <w:color w:val="000000"/>
                  <w:szCs w:val="24"/>
                  <w:lang w:val="en-GB" w:eastAsia="en-GB"/>
                </w:rPr>
                <w:t>12 met</w:t>
              </w:r>
              <w:r>
                <w:rPr>
                  <w:color w:val="000000"/>
                  <w:szCs w:val="24"/>
                  <w:lang w:eastAsia="en-GB"/>
                </w:rPr>
                <w:t xml:space="preserve">ų suteikiama viena papildoma poilsio diena per mėnesį, o auginantiems tris ir daugiau vaikų iki </w:t>
              </w:r>
              <w:r>
                <w:rPr>
                  <w:color w:val="000000"/>
                  <w:szCs w:val="24"/>
                  <w:lang w:val="en-GB" w:eastAsia="en-GB"/>
                </w:rPr>
                <w:t xml:space="preserve">12 metų arba auginantiems du vaikus iki 12 </w:t>
              </w:r>
              <w:r>
                <w:rPr>
                  <w:color w:val="000000"/>
                  <w:szCs w:val="24"/>
                  <w:lang w:eastAsia="en-GB"/>
                </w:rPr>
                <w:t xml:space="preserve">metų, kai vienas arba du vaikai yra neįgalūs suteikiamos dvi dienos per mėnesį, mokant jiems vidutinį jų darbo užmokestį. </w:t>
              </w:r>
            </w:p>
            <w:p>
              <w:pPr>
                <w:rPr>
                  <w:sz w:val="10"/>
                  <w:szCs w:val="10"/>
                </w:rPr>
              </w:pPr>
            </w:p>
            <w:p>
              <w:pPr>
                <w:ind w:firstLine="720"/>
                <w:jc w:val="both"/>
                <w:rPr>
                  <w:color w:val="000000"/>
                  <w:szCs w:val="24"/>
                  <w:lang w:eastAsia="en-GB"/>
                </w:rPr>
              </w:pPr>
              <w:r>
                <w:rPr>
                  <w:color w:val="000000"/>
                  <w:szCs w:val="24"/>
                  <w:lang w:eastAsia="en-GB"/>
                </w:rPr>
                <w:t xml:space="preserve">Pagal </w:t>
              </w:r>
              <w:r>
                <w:rPr>
                  <w:color w:val="000000"/>
                  <w:szCs w:val="24"/>
                  <w:lang w:val="en-GB" w:eastAsia="en-GB"/>
                </w:rPr>
                <w:t xml:space="preserve">1996-04-12 </w:t>
              </w:r>
              <w:r>
                <w:rPr>
                  <w:color w:val="000000"/>
                  <w:szCs w:val="24"/>
                  <w:lang w:eastAsia="en-GB"/>
                </w:rPr>
                <w:t xml:space="preserve">Lietuvos Respublikos vaiko teisių apsaugos pagrindų įstatymo 29 straipsnio </w:t>
              </w:r>
              <w:r>
                <w:rPr>
                  <w:color w:val="000000"/>
                  <w:szCs w:val="24"/>
                  <w:lang w:val="en-GB" w:eastAsia="en-GB"/>
                </w:rPr>
                <w:t>7</w:t>
              </w:r>
              <w:r>
                <w:rPr>
                  <w:color w:val="000000"/>
                  <w:szCs w:val="24"/>
                  <w:lang w:eastAsia="en-GB"/>
                </w:rPr>
                <w:t xml:space="preserve"> papunktį vaikas savarankiškai gali kreiptis į Lietuvos Respublikos vaiko teisių apsaugos kontrolierių, Valstybės vaiko teisių apsaugos ir įvaikinimo tarnybą ar jos įgaliotą teritorinį skyrių, policiją ar švietimo, sveikatos priežiūros ar kitą instituciją, o sulaukęs 14 metų, – į teismą dėl jo teisių pažeidimo. </w:t>
              </w:r>
            </w:p>
            <w:p>
              <w:pPr>
                <w:rPr>
                  <w:sz w:val="10"/>
                  <w:szCs w:val="10"/>
                </w:rPr>
              </w:pPr>
            </w:p>
            <w:p>
              <w:pPr>
                <w:ind w:firstLine="720"/>
                <w:jc w:val="both"/>
                <w:rPr>
                  <w:color w:val="000000"/>
                  <w:szCs w:val="24"/>
                  <w:lang w:eastAsia="en-GB"/>
                </w:rPr>
              </w:pPr>
              <w:r>
                <w:rPr>
                  <w:color w:val="000000"/>
                  <w:szCs w:val="24"/>
                  <w:lang w:eastAsia="en-GB"/>
                </w:rPr>
                <w:t xml:space="preserve">Atsižvelgiant į aukščiau išdėstytas aplinkybes, šio įstatymo projektu teigiama, kad dabar Lietuvoje suteikiamos papildomos poilsio dienos tėvams nėra užtektina priemonė skatinanti didesnį bendravimą su vaikais, nes mažametis vaikas iki </w:t>
              </w:r>
              <w:r>
                <w:rPr>
                  <w:color w:val="000000"/>
                  <w:szCs w:val="24"/>
                  <w:lang w:val="en-GB" w:eastAsia="en-GB"/>
                </w:rPr>
                <w:t xml:space="preserve">14 metų </w:t>
              </w:r>
              <w:r>
                <w:rPr>
                  <w:color w:val="000000"/>
                  <w:szCs w:val="24"/>
                  <w:lang w:eastAsia="en-GB"/>
                </w:rPr>
                <w:t xml:space="preserve">negali likti vienas namuose ir būti saugus. Taip pat labai aktualu prailginti papildomas poilsio dienas tėvams iki atžaloms sukaks </w:t>
              </w:r>
              <w:r>
                <w:rPr>
                  <w:color w:val="000000"/>
                  <w:szCs w:val="24"/>
                  <w:lang w:val="en-GB" w:eastAsia="en-GB"/>
                </w:rPr>
                <w:t>14 met</w:t>
              </w:r>
              <w:r>
                <w:rPr>
                  <w:color w:val="000000"/>
                  <w:szCs w:val="24"/>
                  <w:lang w:eastAsia="en-GB"/>
                </w:rPr>
                <w:t>ų, nes iki tokio amžiaus vaikai išgyvena paauglystę ir patiria daug įvairių pokyčių, kurie gali sukelti stresą, baimę, neužtikrintumo jausmą. Paauglystės metu ypatingai svarbu išlaikyti artimą ryšį su paaugliu, skirti kuo daugiau dėmesio bendraujant. Paauglys, įgijęs didesnį pasitikėjimą, sulaukęs daugiau dėmesio ir paramos iš tėvų, rečiau bendraus su bendraamžiais, linkusiais į žalingus įpročius. Tėvų parama, didesnis dėmesys ir dažnas buvimas kartu bendrai sumažina narkotikų vartojimo tikimybę ir mažina žalingų įpročių tikimybę.</w:t>
              </w:r>
            </w:p>
            <w:p>
              <w:pPr>
                <w:rPr>
                  <w:sz w:val="10"/>
                  <w:szCs w:val="10"/>
                </w:rPr>
              </w:pPr>
            </w:p>
            <w:p>
              <w:pPr>
                <w:ind w:firstLine="720"/>
                <w:jc w:val="both"/>
                <w:rPr>
                  <w:color w:val="000000"/>
                  <w:szCs w:val="24"/>
                  <w:lang w:eastAsia="en-GB"/>
                </w:rPr>
              </w:pPr>
              <w:r>
                <w:rPr>
                  <w:color w:val="000000"/>
                  <w:szCs w:val="24"/>
                  <w:lang w:eastAsia="en-GB"/>
                </w:rPr>
                <w:t xml:space="preserve">Įstatymo projekto pagrindinis tikslas </w:t>
              </w:r>
              <w:r>
                <w:rPr>
                  <w:color w:val="000000"/>
                  <w:szCs w:val="24"/>
                  <w:lang w:val="en-GB" w:eastAsia="en-GB"/>
                </w:rPr>
                <w:t>– praplėsti teisin</w:t>
              </w:r>
              <w:r>
                <w:rPr>
                  <w:color w:val="000000"/>
                  <w:szCs w:val="24"/>
                  <w:lang w:eastAsia="en-GB"/>
                </w:rPr>
                <w:t xml:space="preserve">į reguliavimą, sudarant galimybę turėti tėvams poilsio dienas iki vaikui sukaks </w:t>
              </w:r>
              <w:r>
                <w:rPr>
                  <w:color w:val="000000"/>
                  <w:szCs w:val="24"/>
                  <w:lang w:val="en-GB" w:eastAsia="en-GB"/>
                </w:rPr>
                <w:t>14 met</w:t>
              </w:r>
              <w:r>
                <w:rPr>
                  <w:color w:val="000000"/>
                  <w:szCs w:val="24"/>
                  <w:lang w:eastAsia="en-GB"/>
                </w:rPr>
                <w:t xml:space="preserve">ų, taip stiprinant šeimos ryšį,  kad tėvai skirtų kokybiškesnį ir didesnį kiekį laiko ne tik mažametėms atžaloms, bet ir paaugliams, tuo pat metu užkertant kelią žalingų įpročių naudojimui ankstyvoje paauglystėje.</w:t>
              </w:r>
            </w:p>
            <w:p>
              <w:pPr>
                <w:rPr>
                  <w:sz w:val="10"/>
                  <w:szCs w:val="10"/>
                </w:rPr>
              </w:pPr>
            </w:p>
            <w:p>
              <w:pPr>
                <w:shd w:val="clear" w:color="auto" w:fill="FFFFFF"/>
                <w:rPr>
                  <w:color w:val="000000"/>
                  <w:szCs w:val="24"/>
                  <w:lang w:eastAsia="en-GB"/>
                </w:rPr>
              </w:pPr>
            </w:p>
            <w:p>
              <w:pPr>
                <w:rPr>
                  <w:sz w:val="10"/>
                  <w:szCs w:val="10"/>
                </w:rPr>
              </w:pPr>
            </w:p>
          </w:sdtContent>
        </w:sdt>
        <w:sdt>
          <w:sdtPr>
            <w:alias w:val="2 p."/>
            <w:tag w:val="part_26f58f65607e46a8b8af9639d790d5b2"/>
            <w:lock w:val="sdtLocked"/>
            <w:richText/>
          </w:sdtPr>
          <w:sdtContent>
            <w:p>
              <w:pPr>
                <w:shd w:val="clear" w:color="auto" w:fill="FFFFFF"/>
                <w:ind w:firstLine="720"/>
                <w:rPr>
                  <w:b/>
                  <w:bCs/>
                  <w:szCs w:val="24"/>
                  <w:lang w:eastAsia="en-GB"/>
                </w:rPr>
              </w:pPr>
              <w:sdt>
                <w:sdtPr>
                  <w:alias w:val="Numeris"/>
                  <w:tag w:val="nr_26f58f65607e46a8b8af9639d790d5b2"/>
                  <w:lock w:val="sdtLocked"/>
                  <w:richText/>
                </w:sdtPr>
                <w:sdtContent>
                  <w:r>
                    <w:rPr>
                      <w:b/>
                      <w:bCs/>
                      <w:szCs w:val="24"/>
                      <w:lang w:eastAsia="en-GB"/>
                    </w:rPr>
                    <w:t>2</w:t>
                  </w:r>
                </w:sdtContent>
              </w:sdt>
              <w:r>
                <w:rPr>
                  <w:b/>
                  <w:bCs/>
                  <w:szCs w:val="24"/>
                  <w:lang w:eastAsia="en-GB"/>
                </w:rPr>
                <w:t>.</w:t>
                <w:tab/>
              </w:r>
              <w:r>
                <w:rPr>
                  <w:b/>
                  <w:bCs/>
                  <w:color w:val="000000"/>
                  <w:szCs w:val="24"/>
                  <w:lang w:eastAsia="en-GB"/>
                </w:rPr>
                <w:t>Įstatymo projekto iniciatoriai (institucija, asmenys ar piliečių įgalioti atstovai) ir rengėjai</w:t>
              </w:r>
            </w:p>
            <w:p>
              <w:pPr>
                <w:rPr>
                  <w:sz w:val="10"/>
                  <w:szCs w:val="10"/>
                </w:rPr>
              </w:pPr>
            </w:p>
            <w:p>
              <w:pPr>
                <w:ind w:firstLine="720"/>
                <w:rPr>
                  <w:szCs w:val="24"/>
                  <w:lang w:eastAsia="en-GB"/>
                </w:rPr>
              </w:pPr>
              <w:r>
                <w:rPr>
                  <w:color w:val="000000"/>
                  <w:szCs w:val="24"/>
                  <w:lang w:eastAsia="en-GB"/>
                </w:rPr>
                <w:t>Įstatymo projektą parengė Seimo narė Jurgita Šukevičienė.</w:t>
              </w:r>
            </w:p>
            <w:p>
              <w:pPr>
                <w:rPr>
                  <w:sz w:val="10"/>
                  <w:szCs w:val="10"/>
                </w:rPr>
              </w:pPr>
            </w:p>
            <w:p>
              <w:pPr>
                <w:shd w:val="clear" w:color="auto" w:fill="FFFFFF"/>
                <w:ind w:firstLine="720"/>
                <w:rPr>
                  <w:color w:val="000000"/>
                  <w:szCs w:val="24"/>
                  <w:lang w:eastAsia="en-GB"/>
                </w:rPr>
              </w:pPr>
            </w:p>
            <w:p>
              <w:pPr>
                <w:rPr>
                  <w:sz w:val="10"/>
                  <w:szCs w:val="10"/>
                </w:rPr>
              </w:pPr>
            </w:p>
          </w:sdtContent>
        </w:sdt>
        <w:sdt>
          <w:sdtPr>
            <w:alias w:val="3 p."/>
            <w:tag w:val="part_d86ef1915e054da58560b097ae4cc0f1"/>
            <w:lock w:val="sdtLocked"/>
            <w:richText/>
          </w:sdtPr>
          <w:sdtContent>
            <w:p>
              <w:pPr>
                <w:shd w:val="clear" w:color="auto" w:fill="FFFFFF"/>
                <w:ind w:firstLine="720"/>
                <w:rPr>
                  <w:b/>
                  <w:bCs/>
                  <w:szCs w:val="24"/>
                  <w:lang w:eastAsia="en-GB"/>
                </w:rPr>
              </w:pPr>
              <w:sdt>
                <w:sdtPr>
                  <w:alias w:val="Numeris"/>
                  <w:tag w:val="nr_d86ef1915e054da58560b097ae4cc0f1"/>
                  <w:lock w:val="sdtLocked"/>
                  <w:richText/>
                </w:sdtPr>
                <w:sdtContent>
                  <w:r>
                    <w:rPr>
                      <w:b/>
                      <w:bCs/>
                      <w:szCs w:val="24"/>
                      <w:lang w:eastAsia="en-GB"/>
                    </w:rPr>
                    <w:t>3</w:t>
                  </w:r>
                </w:sdtContent>
              </w:sdt>
              <w:r>
                <w:rPr>
                  <w:b/>
                  <w:bCs/>
                  <w:szCs w:val="24"/>
                  <w:lang w:eastAsia="en-GB"/>
                </w:rPr>
                <w:t>.</w:t>
                <w:tab/>
              </w:r>
              <w:r>
                <w:rPr>
                  <w:b/>
                  <w:bCs/>
                  <w:color w:val="000000"/>
                  <w:szCs w:val="24"/>
                  <w:lang w:eastAsia="en-GB"/>
                </w:rPr>
                <w:t>Kaip šiuo metu yra reguliuojami įstatymo projekte aptarti teisiniai santykiai</w:t>
              </w:r>
            </w:p>
            <w:p>
              <w:pPr>
                <w:rPr>
                  <w:sz w:val="10"/>
                  <w:szCs w:val="10"/>
                </w:rPr>
              </w:pPr>
            </w:p>
            <w:p>
              <w:pPr>
                <w:ind w:firstLine="720"/>
                <w:jc w:val="both"/>
                <w:rPr>
                  <w:szCs w:val="24"/>
                  <w:lang w:eastAsia="en-GB"/>
                </w:rPr>
              </w:pPr>
              <w:r>
                <w:rPr>
                  <w:color w:val="000000"/>
                  <w:szCs w:val="24"/>
                  <w:lang w:eastAsia="en-GB"/>
                </w:rPr>
                <w:t xml:space="preserve">Pagal Darbo kodekso </w:t>
              </w:r>
              <w:r>
                <w:rPr>
                  <w:color w:val="000000"/>
                  <w:szCs w:val="24"/>
                  <w:lang w:val="en-GB" w:eastAsia="en-GB"/>
                </w:rPr>
                <w:t>138 straipsnio 3 dal</w:t>
              </w:r>
              <w:r>
                <w:rPr>
                  <w:color w:val="000000"/>
                  <w:szCs w:val="24"/>
                  <w:lang w:eastAsia="en-GB"/>
                </w:rPr>
                <w:t xml:space="preserve">į, </w:t>
              </w:r>
              <w:r>
                <w:rPr>
                  <w:color w:val="000000"/>
                  <w:szCs w:val="24"/>
                  <w:shd w:val="clear" w:color="auto" w:fill="FFFFFF"/>
                  <w:lang w:eastAsia="en-GB"/>
                </w:rPr>
                <w:t>Darbuotojams, auginantiems vieną vaiką iki dvylikos metų, suteikiama viena papildoma poilsio diena per tris mėnesius (arba sutrumpinamas darbo laikas aštuoniomis valandomis per tris mėnesius), darbuotojams, auginantiems vaiką su negalia iki aštuoniolikos metų arba du vaikus iki dvylikos metų, suteikiama viena papildoma poilsio diena per mėnesį (arba sutrumpinamas darbo laikas dviem valandomis per savaitę), o darbuotojams, auginantiems tris ir daugiau vaikų iki dvylikos metų arba auginantiems du vaikus iki dvylikos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p>
              <w:pPr>
                <w:rPr>
                  <w:sz w:val="10"/>
                  <w:szCs w:val="10"/>
                </w:rPr>
              </w:pPr>
            </w:p>
            <w:p>
              <w:pPr>
                <w:shd w:val="clear" w:color="auto" w:fill="FFFFFF"/>
                <w:rPr>
                  <w:color w:val="000000"/>
                  <w:szCs w:val="24"/>
                  <w:lang w:eastAsia="en-GB"/>
                </w:rPr>
              </w:pPr>
            </w:p>
            <w:p>
              <w:pPr>
                <w:rPr>
                  <w:sz w:val="10"/>
                  <w:szCs w:val="10"/>
                </w:rPr>
              </w:pPr>
            </w:p>
          </w:sdtContent>
        </w:sdt>
        <w:sdt>
          <w:sdtPr>
            <w:alias w:val="4 p."/>
            <w:tag w:val="part_14d75ea49eda4433b9f09608102909af"/>
            <w:lock w:val="sdtLocked"/>
            <w:richText/>
          </w:sdtPr>
          <w:sdtContent>
            <w:p>
              <w:pPr>
                <w:shd w:val="clear" w:color="auto" w:fill="FFFFFF"/>
                <w:ind w:firstLine="720"/>
                <w:rPr>
                  <w:b/>
                  <w:bCs/>
                  <w:szCs w:val="24"/>
                  <w:lang w:eastAsia="en-GB"/>
                </w:rPr>
              </w:pPr>
              <w:sdt>
                <w:sdtPr>
                  <w:alias w:val="Numeris"/>
                  <w:tag w:val="nr_14d75ea49eda4433b9f09608102909af"/>
                  <w:lock w:val="sdtLocked"/>
                  <w:richText/>
                </w:sdtPr>
                <w:sdtContent>
                  <w:r>
                    <w:rPr>
                      <w:b/>
                      <w:bCs/>
                      <w:color w:val="000000"/>
                      <w:szCs w:val="24"/>
                      <w:lang w:eastAsia="en-GB"/>
                    </w:rPr>
                    <w:t>4</w:t>
                  </w:r>
                </w:sdtContent>
              </w:sdt>
              <w:r>
                <w:rPr>
                  <w:b/>
                  <w:bCs/>
                  <w:color w:val="000000"/>
                  <w:szCs w:val="24"/>
                  <w:lang w:eastAsia="en-GB"/>
                </w:rPr>
                <w:t>. Kokios siūlomos naujos teisinio reguliavimo nuostatos ir kokių teigiamų rezultatų laukiama</w:t>
              </w:r>
            </w:p>
            <w:p>
              <w:pPr>
                <w:rPr>
                  <w:sz w:val="10"/>
                  <w:szCs w:val="10"/>
                </w:rPr>
              </w:pPr>
            </w:p>
            <w:p>
              <w:pPr>
                <w:ind w:firstLine="720"/>
                <w:jc w:val="both"/>
                <w:rPr>
                  <w:szCs w:val="24"/>
                  <w:shd w:val="clear" w:color="auto" w:fill="FFFFFF"/>
                  <w:lang w:eastAsia="en-GB"/>
                </w:rPr>
              </w:pPr>
              <w:r>
                <w:rPr>
                  <w:color w:val="000000"/>
                  <w:szCs w:val="24"/>
                  <w:lang w:eastAsia="en-GB"/>
                </w:rPr>
                <w:t xml:space="preserve">Projektu siūloma nustatyti, kad papildoma poilsio diena per tris mėnesius </w:t>
              </w:r>
              <w:r>
                <w:rPr>
                  <w:color w:val="000000"/>
                  <w:szCs w:val="24"/>
                  <w:shd w:val="clear" w:color="auto" w:fill="FFFFFF"/>
                  <w:lang w:eastAsia="en-GB"/>
                </w:rPr>
                <w:t>(arba sutrumpinamas darbo laikas aštuoniomis valandomis per tris mėnesius), darbuotojams, auginantiems vaiką su negalia iki aštuoniolikos metų arba du vaikus iki keturiolikos metų, suteikiama viena papildoma poilsio diena per mėnesį (arba sutrumpinamas darbo laikas dviem valandomis per savaitę), o darbuotojams, auginantiems tris ir daugiau vaikų iki keturiolikos metų arba auginantiems du vaikus iki keturiolikos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p>
              <w:pPr>
                <w:rPr>
                  <w:sz w:val="10"/>
                  <w:szCs w:val="10"/>
                </w:rPr>
              </w:pPr>
            </w:p>
            <w:p>
              <w:pPr>
                <w:ind w:firstLine="720"/>
                <w:jc w:val="both"/>
                <w:rPr>
                  <w:color w:val="000000"/>
                  <w:szCs w:val="24"/>
                  <w:lang w:eastAsia="en-GB"/>
                </w:rPr>
              </w:pPr>
              <w:r>
                <w:rPr>
                  <w:color w:val="000000"/>
                  <w:szCs w:val="24"/>
                  <w:lang w:eastAsia="en-GB"/>
                </w:rPr>
                <w:t>Praplėstos galiojančios nuostatos galimybės padės užtikrinti geresnį tėvų ryšį su vaikais ir paauglystės metu. Palengvins šeimos ir darbo įsipareigojimų derinimą, padės užkardyti ankstyvojoje paauglystėje žalingų įpročių vartojimą.</w:t>
              </w:r>
            </w:p>
            <w:p>
              <w:pPr>
                <w:rPr>
                  <w:sz w:val="10"/>
                  <w:szCs w:val="10"/>
                </w:rPr>
              </w:pPr>
            </w:p>
            <w:p>
              <w:pPr>
                <w:ind w:firstLine="720"/>
                <w:jc w:val="both"/>
                <w:rPr>
                  <w:szCs w:val="24"/>
                  <w:lang w:eastAsia="en-GB"/>
                </w:rPr>
              </w:pPr>
            </w:p>
            <w:p>
              <w:pPr>
                <w:rPr>
                  <w:sz w:val="10"/>
                  <w:szCs w:val="10"/>
                </w:rPr>
              </w:pPr>
            </w:p>
          </w:sdtContent>
        </w:sdt>
        <w:sdt>
          <w:sdtPr>
            <w:alias w:val="5 p."/>
            <w:tag w:val="part_6e8e2b17cc9740459f609426d7c42949"/>
            <w:lock w:val="sdtLocked"/>
            <w:richText/>
          </w:sdtPr>
          <w:sdtContent>
            <w:p>
              <w:pPr>
                <w:shd w:val="clear" w:color="auto" w:fill="FFFFFF"/>
                <w:ind w:firstLine="720"/>
                <w:rPr>
                  <w:color w:val="000000"/>
                  <w:szCs w:val="24"/>
                  <w:lang w:eastAsia="en-GB"/>
                </w:rPr>
              </w:pPr>
              <w:sdt>
                <w:sdtPr>
                  <w:alias w:val="Numeris"/>
                  <w:tag w:val="nr_6e8e2b17cc9740459f609426d7c42949"/>
                  <w:lock w:val="sdtLocked"/>
                  <w:richText/>
                </w:sdtPr>
                <w:sdtContent>
                  <w:r>
                    <w:rPr>
                      <w:color w:val="000000"/>
                      <w:szCs w:val="24"/>
                      <w:lang w:eastAsia="en-GB"/>
                    </w:rPr>
                    <w:t>5</w:t>
                  </w:r>
                </w:sdtContent>
              </w:sdt>
              <w:r>
                <w:rPr>
                  <w:color w:val="000000"/>
                  <w:szCs w:val="24"/>
                  <w:lang w:eastAsia="en-GB"/>
                </w:rPr>
                <w:t>.</w:t>
                <w:tab/>
              </w:r>
              <w:r>
                <w:rPr>
                  <w:b/>
                  <w:bCs/>
                  <w:color w:val="000000"/>
                  <w:szCs w:val="24"/>
                  <w:lang w:eastAsia="en-GB"/>
                </w:rPr>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rPr>
                  <w:sz w:val="10"/>
                  <w:szCs w:val="10"/>
                </w:rPr>
              </w:pPr>
            </w:p>
            <w:p>
              <w:pPr>
                <w:ind w:firstLine="720"/>
                <w:rPr>
                  <w:szCs w:val="24"/>
                  <w:lang w:eastAsia="en-GB"/>
                </w:rPr>
              </w:pPr>
              <w:r>
                <w:rPr>
                  <w:color w:val="000000"/>
                  <w:szCs w:val="24"/>
                  <w:lang w:eastAsia="en-GB"/>
                </w:rPr>
                <w:t>Neigiamos priimto įstatymo pasekmės nenumatomos.</w:t>
              </w:r>
            </w:p>
            <w:p>
              <w:pPr>
                <w:rPr>
                  <w:sz w:val="10"/>
                  <w:szCs w:val="10"/>
                </w:rPr>
              </w:pPr>
            </w:p>
            <w:p>
              <w:pPr>
                <w:shd w:val="clear" w:color="auto" w:fill="FFFFFF"/>
                <w:ind w:firstLine="720"/>
                <w:rPr>
                  <w:color w:val="000000"/>
                  <w:szCs w:val="24"/>
                  <w:lang w:eastAsia="en-GB"/>
                </w:rPr>
              </w:pPr>
            </w:p>
            <w:p>
              <w:pPr>
                <w:rPr>
                  <w:sz w:val="10"/>
                  <w:szCs w:val="10"/>
                </w:rPr>
              </w:pPr>
            </w:p>
          </w:sdtContent>
        </w:sdt>
        <w:sdt>
          <w:sdtPr>
            <w:alias w:val="6 p."/>
            <w:tag w:val="part_60ea650e7e544540a192d0106ea675bb"/>
            <w:lock w:val="sdtLocked"/>
            <w:richText/>
          </w:sdtPr>
          <w:sdtContent>
            <w:p>
              <w:pPr>
                <w:shd w:val="clear" w:color="auto" w:fill="FFFFFF"/>
                <w:ind w:firstLine="720"/>
                <w:rPr>
                  <w:b/>
                  <w:bCs/>
                  <w:szCs w:val="24"/>
                  <w:lang w:eastAsia="en-GB"/>
                </w:rPr>
              </w:pPr>
              <w:sdt>
                <w:sdtPr>
                  <w:alias w:val="Numeris"/>
                  <w:tag w:val="nr_60ea650e7e544540a192d0106ea675bb"/>
                  <w:lock w:val="sdtLocked"/>
                  <w:richText/>
                </w:sdtPr>
                <w:sdtContent>
                  <w:r>
                    <w:rPr>
                      <w:b/>
                      <w:bCs/>
                      <w:szCs w:val="24"/>
                      <w:lang w:eastAsia="en-GB"/>
                    </w:rPr>
                    <w:t>6</w:t>
                  </w:r>
                </w:sdtContent>
              </w:sdt>
              <w:r>
                <w:rPr>
                  <w:b/>
                  <w:bCs/>
                  <w:szCs w:val="24"/>
                  <w:lang w:eastAsia="en-GB"/>
                </w:rPr>
                <w:t>.</w:t>
                <w:tab/>
              </w:r>
              <w:r>
                <w:rPr>
                  <w:b/>
                  <w:bCs/>
                  <w:color w:val="000000"/>
                  <w:szCs w:val="24"/>
                  <w:lang w:eastAsia="en-GB"/>
                </w:rPr>
                <w:t>Kokią įtaką priimtas įstatymas turės kriminogeninei situacijai, korupcijai</w:t>
              </w:r>
            </w:p>
            <w:p>
              <w:pPr>
                <w:rPr>
                  <w:sz w:val="10"/>
                  <w:szCs w:val="10"/>
                </w:rPr>
              </w:pPr>
            </w:p>
            <w:p>
              <w:pPr>
                <w:ind w:firstLine="720"/>
                <w:rPr>
                  <w:szCs w:val="24"/>
                  <w:lang w:eastAsia="en-GB"/>
                </w:rPr>
              </w:pPr>
              <w:r>
                <w:rPr>
                  <w:color w:val="000000"/>
                  <w:szCs w:val="24"/>
                  <w:lang w:eastAsia="en-GB"/>
                </w:rPr>
                <w:t>Įstatymo priėmimas kriminogeninei situacijai ir korupcijai įtakos neturės.</w:t>
              </w:r>
            </w:p>
            <w:p>
              <w:pPr>
                <w:rPr>
                  <w:sz w:val="10"/>
                  <w:szCs w:val="10"/>
                </w:rPr>
              </w:pPr>
            </w:p>
            <w:p>
              <w:pPr>
                <w:shd w:val="clear" w:color="auto" w:fill="FFFFFF"/>
                <w:ind w:firstLine="720"/>
                <w:rPr>
                  <w:color w:val="000000"/>
                  <w:szCs w:val="24"/>
                  <w:lang w:eastAsia="en-GB"/>
                </w:rPr>
              </w:pPr>
            </w:p>
            <w:p>
              <w:pPr>
                <w:rPr>
                  <w:sz w:val="10"/>
                  <w:szCs w:val="10"/>
                </w:rPr>
              </w:pPr>
            </w:p>
          </w:sdtContent>
        </w:sdt>
        <w:sdt>
          <w:sdtPr>
            <w:alias w:val="7 p."/>
            <w:tag w:val="part_ea4e365f1bc84dc29b988f3c413a42eb"/>
            <w:lock w:val="sdtLocked"/>
            <w:richText/>
          </w:sdtPr>
          <w:sdtContent>
            <w:p>
              <w:pPr>
                <w:shd w:val="clear" w:color="auto" w:fill="FFFFFF"/>
                <w:ind w:firstLine="720"/>
                <w:rPr>
                  <w:b/>
                  <w:bCs/>
                  <w:szCs w:val="24"/>
                  <w:lang w:eastAsia="en-GB"/>
                </w:rPr>
              </w:pPr>
              <w:sdt>
                <w:sdtPr>
                  <w:alias w:val="Numeris"/>
                  <w:tag w:val="nr_ea4e365f1bc84dc29b988f3c413a42eb"/>
                  <w:lock w:val="sdtLocked"/>
                  <w:richText/>
                </w:sdtPr>
                <w:sdtContent>
                  <w:r>
                    <w:rPr>
                      <w:b/>
                      <w:bCs/>
                      <w:szCs w:val="24"/>
                      <w:lang w:eastAsia="en-GB"/>
                    </w:rPr>
                    <w:t>7</w:t>
                  </w:r>
                </w:sdtContent>
              </w:sdt>
              <w:r>
                <w:rPr>
                  <w:b/>
                  <w:bCs/>
                  <w:szCs w:val="24"/>
                  <w:lang w:eastAsia="en-GB"/>
                </w:rPr>
                <w:t>.</w:t>
                <w:tab/>
              </w:r>
              <w:r>
                <w:rPr>
                  <w:b/>
                  <w:bCs/>
                  <w:color w:val="000000"/>
                  <w:szCs w:val="24"/>
                  <w:lang w:eastAsia="en-GB"/>
                </w:rPr>
                <w:t>Kaip įstatymo įgyvendinimas atsilieps verslo sąlygoms ir jo plėtrai</w:t>
              </w:r>
            </w:p>
            <w:p>
              <w:pPr>
                <w:rPr>
                  <w:sz w:val="10"/>
                  <w:szCs w:val="10"/>
                </w:rPr>
              </w:pPr>
            </w:p>
            <w:p>
              <w:pPr>
                <w:ind w:firstLine="720"/>
                <w:rPr>
                  <w:szCs w:val="24"/>
                  <w:lang w:eastAsia="en-GB"/>
                </w:rPr>
              </w:pPr>
              <w:r>
                <w:rPr>
                  <w:color w:val="000000"/>
                  <w:szCs w:val="24"/>
                  <w:lang w:eastAsia="en-GB"/>
                </w:rPr>
                <w:t xml:space="preserve">Projekto įgyvendinimas neturės neigiamos įtakos verslui ir jo plėtrai. </w:t>
              </w:r>
            </w:p>
            <w:p>
              <w:pPr>
                <w:rPr>
                  <w:sz w:val="10"/>
                  <w:szCs w:val="10"/>
                </w:rPr>
              </w:pPr>
            </w:p>
            <w:p>
              <w:pPr>
                <w:shd w:val="clear" w:color="auto" w:fill="FFFFFF"/>
                <w:ind w:firstLine="720"/>
                <w:rPr>
                  <w:color w:val="000000"/>
                  <w:szCs w:val="24"/>
                  <w:lang w:eastAsia="en-GB"/>
                </w:rPr>
              </w:pPr>
            </w:p>
            <w:p>
              <w:pPr>
                <w:rPr>
                  <w:sz w:val="10"/>
                  <w:szCs w:val="10"/>
                </w:rPr>
              </w:pPr>
            </w:p>
          </w:sdtContent>
        </w:sdt>
        <w:sdt>
          <w:sdtPr>
            <w:alias w:val="8 p."/>
            <w:tag w:val="part_3eb8d79b68c144e2bcde61f05f39cab0"/>
            <w:lock w:val="sdtLocked"/>
            <w:richText/>
          </w:sdtPr>
          <w:sdtContent>
            <w:p>
              <w:pPr>
                <w:shd w:val="clear" w:color="auto" w:fill="FFFFFF"/>
                <w:ind w:firstLine="720"/>
                <w:rPr>
                  <w:b/>
                  <w:bCs/>
                  <w:szCs w:val="24"/>
                  <w:lang w:eastAsia="en-GB"/>
                </w:rPr>
              </w:pPr>
              <w:sdt>
                <w:sdtPr>
                  <w:alias w:val="Numeris"/>
                  <w:tag w:val="nr_3eb8d79b68c144e2bcde61f05f39cab0"/>
                  <w:lock w:val="sdtLocked"/>
                  <w:richText/>
                </w:sdtPr>
                <w:sdtContent>
                  <w:r>
                    <w:rPr>
                      <w:b/>
                      <w:bCs/>
                      <w:szCs w:val="24"/>
                      <w:lang w:eastAsia="en-GB"/>
                    </w:rPr>
                    <w:t>8</w:t>
                  </w:r>
                </w:sdtContent>
              </w:sdt>
              <w:r>
                <w:rPr>
                  <w:b/>
                  <w:bCs/>
                  <w:szCs w:val="24"/>
                  <w:lang w:eastAsia="en-GB"/>
                </w:rPr>
                <w:t>.</w:t>
                <w:tab/>
              </w:r>
              <w:r>
                <w:rPr>
                  <w:b/>
                  <w:bCs/>
                  <w:color w:val="000000"/>
                  <w:szCs w:val="24"/>
                  <w:lang w:eastAsia="en-GB"/>
                </w:rPr>
                <w:t>Ar įstatymo projektas neprieštarauja strateginio lygmens planavimo dokumentams</w:t>
              </w:r>
            </w:p>
            <w:p>
              <w:pPr>
                <w:rPr>
                  <w:sz w:val="10"/>
                  <w:szCs w:val="10"/>
                </w:rPr>
              </w:pPr>
            </w:p>
            <w:p>
              <w:pPr>
                <w:ind w:firstLine="720"/>
                <w:rPr>
                  <w:szCs w:val="24"/>
                  <w:lang w:eastAsia="en-GB"/>
                </w:rPr>
              </w:pPr>
              <w:r>
                <w:rPr>
                  <w:color w:val="000000"/>
                  <w:szCs w:val="24"/>
                  <w:lang w:eastAsia="en-GB"/>
                </w:rPr>
                <w:t>Įstatymo strateginio lygmens planavimo dokumentams neprieštarauja.</w:t>
              </w:r>
            </w:p>
            <w:p>
              <w:pPr>
                <w:rPr>
                  <w:sz w:val="10"/>
                  <w:szCs w:val="10"/>
                </w:rPr>
              </w:pPr>
            </w:p>
            <w:p>
              <w:pPr>
                <w:shd w:val="clear" w:color="auto" w:fill="FFFFFF"/>
                <w:ind w:firstLine="782"/>
                <w:rPr>
                  <w:color w:val="000000"/>
                  <w:szCs w:val="24"/>
                  <w:lang w:eastAsia="en-GB"/>
                </w:rPr>
              </w:pPr>
            </w:p>
            <w:p>
              <w:pPr>
                <w:rPr>
                  <w:sz w:val="10"/>
                  <w:szCs w:val="10"/>
                </w:rPr>
              </w:pPr>
            </w:p>
          </w:sdtContent>
        </w:sdt>
        <w:sdt>
          <w:sdtPr>
            <w:alias w:val="9 p."/>
            <w:tag w:val="part_6fbc202d9c554f1a86774e78418c3f60"/>
            <w:lock w:val="sdtLocked"/>
            <w:richText/>
          </w:sdtPr>
          <w:sdtContent>
            <w:p>
              <w:pPr>
                <w:shd w:val="clear" w:color="auto" w:fill="FFFFFF"/>
                <w:ind w:firstLine="720"/>
                <w:rPr>
                  <w:b/>
                  <w:bCs/>
                  <w:color w:val="000000"/>
                  <w:szCs w:val="24"/>
                  <w:lang w:eastAsia="en-GB"/>
                </w:rPr>
              </w:pPr>
              <w:sdt>
                <w:sdtPr>
                  <w:alias w:val="Numeris"/>
                  <w:tag w:val="nr_6fbc202d9c554f1a86774e78418c3f60"/>
                  <w:lock w:val="sdtLocked"/>
                  <w:richText/>
                </w:sdtPr>
                <w:sdtContent>
                  <w:r>
                    <w:rPr>
                      <w:b/>
                      <w:bCs/>
                      <w:color w:val="000000"/>
                      <w:szCs w:val="24"/>
                      <w:lang w:eastAsia="en-GB"/>
                    </w:rPr>
                    <w:t>9</w:t>
                  </w:r>
                </w:sdtContent>
              </w:sdt>
              <w:r>
                <w:rPr>
                  <w:b/>
                  <w:bCs/>
                  <w:color w:val="000000"/>
                  <w:szCs w:val="24"/>
                  <w:lang w:eastAsia="en-GB"/>
                </w:rPr>
                <w:t>.</w:t>
                <w:tab/>
                <w:t>Įstatymo inkorporavimas į teisinę sistemą, kokius teisės aktus būtina priimti, kokius galiojančius teisės aktus reikia pakeisti ar pripažinti netekusiais galios</w:t>
              </w:r>
            </w:p>
            <w:p>
              <w:pPr>
                <w:rPr>
                  <w:sz w:val="10"/>
                  <w:szCs w:val="10"/>
                </w:rPr>
              </w:pPr>
            </w:p>
            <w:p>
              <w:pPr>
                <w:ind w:firstLine="720"/>
                <w:rPr>
                  <w:color w:val="000000"/>
                  <w:szCs w:val="24"/>
                  <w:lang w:eastAsia="en-GB"/>
                </w:rPr>
              </w:pPr>
              <w:r>
                <w:rPr>
                  <w:color w:val="000000"/>
                  <w:szCs w:val="24"/>
                  <w:lang w:eastAsia="en-GB"/>
                </w:rPr>
                <w:t xml:space="preserve">Priėmus įstatymą teisės aktų pakeisti ar pripažinti netekusiais galios nereikės. </w:t>
              </w:r>
            </w:p>
            <w:p>
              <w:pPr>
                <w:rPr>
                  <w:sz w:val="10"/>
                  <w:szCs w:val="10"/>
                </w:rPr>
              </w:pPr>
            </w:p>
            <w:p>
              <w:pPr>
                <w:shd w:val="clear" w:color="auto" w:fill="FFFFFF"/>
                <w:rPr>
                  <w:color w:val="000000"/>
                  <w:szCs w:val="24"/>
                  <w:lang w:eastAsia="en-GB"/>
                </w:rPr>
              </w:pPr>
            </w:p>
            <w:p>
              <w:pPr>
                <w:rPr>
                  <w:sz w:val="10"/>
                  <w:szCs w:val="10"/>
                </w:rPr>
              </w:pPr>
            </w:p>
          </w:sdtContent>
        </w:sdt>
        <w:sdt>
          <w:sdtPr>
            <w:alias w:val="10 p."/>
            <w:tag w:val="part_cecb384b08d0438b89127df488130f86"/>
            <w:lock w:val="sdtLocked"/>
            <w:richText/>
          </w:sdtPr>
          <w:sdtContent>
            <w:p>
              <w:pPr>
                <w:shd w:val="clear" w:color="auto" w:fill="FFFFFF"/>
                <w:ind w:firstLine="720"/>
                <w:rPr>
                  <w:b/>
                  <w:bCs/>
                  <w:szCs w:val="24"/>
                  <w:lang w:eastAsia="en-GB"/>
                </w:rPr>
              </w:pPr>
              <w:sdt>
                <w:sdtPr>
                  <w:alias w:val="Numeris"/>
                  <w:tag w:val="nr_cecb384b08d0438b89127df488130f86"/>
                  <w:lock w:val="sdtLocked"/>
                  <w:richText/>
                </w:sdtPr>
                <w:sdtContent>
                  <w:r>
                    <w:rPr>
                      <w:b/>
                      <w:bCs/>
                      <w:szCs w:val="24"/>
                      <w:lang w:eastAsia="en-GB"/>
                    </w:rPr>
                    <w:t>10</w:t>
                  </w:r>
                </w:sdtContent>
              </w:sdt>
              <w:r>
                <w:rPr>
                  <w:b/>
                  <w:bCs/>
                  <w:szCs w:val="24"/>
                  <w:lang w:eastAsia="en-GB"/>
                </w:rPr>
                <w:t>.</w:t>
                <w:tab/>
              </w:r>
              <w:r>
                <w:rPr>
                  <w:b/>
                  <w:bCs/>
                  <w:color w:val="000000"/>
                  <w:szCs w:val="24"/>
                  <w:lang w:eastAsia="en-GB"/>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rPr>
                  <w:sz w:val="10"/>
                  <w:szCs w:val="10"/>
                </w:rPr>
              </w:pPr>
            </w:p>
            <w:p>
              <w:pPr>
                <w:ind w:firstLine="720"/>
                <w:rPr>
                  <w:szCs w:val="24"/>
                  <w:lang w:eastAsia="en-GB"/>
                </w:rPr>
              </w:pPr>
              <w:r>
                <w:rPr>
                  <w:color w:val="000000"/>
                  <w:szCs w:val="24"/>
                  <w:lang w:eastAsia="en-GB"/>
                </w:rPr>
                <w:t xml:space="preserve">Įstatymo projektas parengtas laikantis Lietuvos Respublikos valstybinės kalbos ir Lietuvos Respublikos teisėkūros pagrindų įstatymo reikalavimų. </w:t>
              </w:r>
            </w:p>
            <w:p>
              <w:pPr>
                <w:rPr>
                  <w:sz w:val="10"/>
                  <w:szCs w:val="10"/>
                </w:rPr>
              </w:pPr>
            </w:p>
            <w:p>
              <w:pPr>
                <w:shd w:val="clear" w:color="auto" w:fill="FFFFFF"/>
                <w:ind w:firstLine="782"/>
                <w:rPr>
                  <w:color w:val="000000"/>
                  <w:szCs w:val="24"/>
                  <w:lang w:eastAsia="en-GB"/>
                </w:rPr>
              </w:pPr>
            </w:p>
            <w:p>
              <w:pPr>
                <w:rPr>
                  <w:sz w:val="10"/>
                  <w:szCs w:val="10"/>
                </w:rPr>
              </w:pPr>
            </w:p>
          </w:sdtContent>
        </w:sdt>
        <w:sdt>
          <w:sdtPr>
            <w:alias w:val="11 p."/>
            <w:tag w:val="part_594017f5c79649b9b86709ce0a182443"/>
            <w:lock w:val="sdtLocked"/>
            <w:richText/>
          </w:sdtPr>
          <w:sdtContent>
            <w:p>
              <w:pPr>
                <w:shd w:val="clear" w:color="auto" w:fill="FFFFFF"/>
                <w:ind w:firstLine="720"/>
                <w:rPr>
                  <w:b/>
                  <w:bCs/>
                  <w:szCs w:val="24"/>
                  <w:lang w:eastAsia="en-GB"/>
                </w:rPr>
              </w:pPr>
              <w:sdt>
                <w:sdtPr>
                  <w:alias w:val="Numeris"/>
                  <w:tag w:val="nr_594017f5c79649b9b86709ce0a182443"/>
                  <w:lock w:val="sdtLocked"/>
                  <w:richText/>
                </w:sdtPr>
                <w:sdtContent>
                  <w:r>
                    <w:rPr>
                      <w:b/>
                      <w:bCs/>
                      <w:szCs w:val="24"/>
                      <w:lang w:eastAsia="en-GB"/>
                    </w:rPr>
                    <w:t>11</w:t>
                  </w:r>
                </w:sdtContent>
              </w:sdt>
              <w:r>
                <w:rPr>
                  <w:b/>
                  <w:bCs/>
                  <w:szCs w:val="24"/>
                  <w:lang w:eastAsia="en-GB"/>
                </w:rPr>
                <w:t>.</w:t>
                <w:tab/>
              </w:r>
              <w:r>
                <w:rPr>
                  <w:b/>
                  <w:bCs/>
                  <w:color w:val="000000"/>
                  <w:szCs w:val="24"/>
                  <w:lang w:eastAsia="en-GB"/>
                </w:rPr>
                <w:t>Ar įstatymo projektas atitinka Žmogaus teisių ir pagrindinių laisvių apsaugos konvencijos nuostatas ir Europos Sąjungos dokumentus</w:t>
              </w:r>
            </w:p>
            <w:p>
              <w:pPr>
                <w:rPr>
                  <w:sz w:val="10"/>
                  <w:szCs w:val="10"/>
                </w:rPr>
              </w:pPr>
            </w:p>
            <w:p>
              <w:pPr>
                <w:ind w:firstLine="720"/>
                <w:rPr>
                  <w:szCs w:val="24"/>
                  <w:lang w:eastAsia="en-GB"/>
                </w:rPr>
              </w:pPr>
              <w:r>
                <w:rPr>
                  <w:color w:val="000000"/>
                  <w:szCs w:val="24"/>
                  <w:lang w:eastAsia="en-GB"/>
                </w:rPr>
                <w:t>Įstatymo projektas neprieštarauja Žmogaus teisių ir pagrindinių laisvių apsaugos konvencijos nuostatoms ir Europos Sąjungos dokumentams.</w:t>
              </w:r>
            </w:p>
            <w:p>
              <w:pPr>
                <w:rPr>
                  <w:sz w:val="10"/>
                  <w:szCs w:val="10"/>
                </w:rPr>
              </w:pPr>
            </w:p>
            <w:p>
              <w:pPr>
                <w:shd w:val="clear" w:color="auto" w:fill="FFFFFF"/>
                <w:ind w:firstLine="782"/>
                <w:rPr>
                  <w:color w:val="000000"/>
                  <w:szCs w:val="24"/>
                  <w:lang w:eastAsia="en-GB"/>
                </w:rPr>
              </w:pPr>
            </w:p>
            <w:p>
              <w:pPr>
                <w:rPr>
                  <w:sz w:val="10"/>
                  <w:szCs w:val="10"/>
                </w:rPr>
              </w:pPr>
            </w:p>
          </w:sdtContent>
        </w:sdt>
        <w:sdt>
          <w:sdtPr>
            <w:alias w:val="12 p."/>
            <w:tag w:val="part_24d5348e4ed04079b4ebd96b8464ec4f"/>
            <w:lock w:val="sdtLocked"/>
            <w:richText/>
          </w:sdtPr>
          <w:sdtContent>
            <w:p>
              <w:pPr>
                <w:shd w:val="clear" w:color="auto" w:fill="FFFFFF"/>
                <w:ind w:firstLine="720"/>
                <w:rPr>
                  <w:b/>
                  <w:bCs/>
                  <w:szCs w:val="24"/>
                  <w:lang w:eastAsia="en-GB"/>
                </w:rPr>
              </w:pPr>
              <w:sdt>
                <w:sdtPr>
                  <w:alias w:val="Numeris"/>
                  <w:tag w:val="nr_24d5348e4ed04079b4ebd96b8464ec4f"/>
                  <w:lock w:val="sdtLocked"/>
                  <w:richText/>
                </w:sdtPr>
                <w:sdtContent>
                  <w:r>
                    <w:rPr>
                      <w:b/>
                      <w:bCs/>
                      <w:szCs w:val="24"/>
                      <w:lang w:eastAsia="en-GB"/>
                    </w:rPr>
                    <w:t>12</w:t>
                  </w:r>
                </w:sdtContent>
              </w:sdt>
              <w:r>
                <w:rPr>
                  <w:b/>
                  <w:bCs/>
                  <w:szCs w:val="24"/>
                  <w:lang w:eastAsia="en-GB"/>
                </w:rPr>
                <w:t>.</w:t>
                <w:tab/>
              </w:r>
              <w:r>
                <w:rPr>
                  <w:b/>
                  <w:bCs/>
                  <w:color w:val="000000"/>
                  <w:szCs w:val="24"/>
                  <w:lang w:eastAsia="en-GB"/>
                </w:rPr>
                <w:t xml:space="preserve"> Jeigu įstatymui įgyvendinti reikia įgyvendinamųjų teisės aktų, – kas ir kada juos turėtų priimti</w:t>
              </w:r>
            </w:p>
            <w:p>
              <w:pPr>
                <w:rPr>
                  <w:sz w:val="10"/>
                  <w:szCs w:val="10"/>
                </w:rPr>
              </w:pPr>
            </w:p>
            <w:p>
              <w:pPr>
                <w:shd w:val="clear" w:color="auto" w:fill="FFFFFF"/>
                <w:ind w:firstLine="720"/>
                <w:rPr>
                  <w:szCs w:val="24"/>
                  <w:lang w:eastAsia="en-GB"/>
                </w:rPr>
              </w:pPr>
              <w:r>
                <w:rPr>
                  <w:color w:val="000000"/>
                  <w:szCs w:val="24"/>
                  <w:lang w:eastAsia="en-GB"/>
                </w:rPr>
                <w:t>Įstatymui įgyvendinti nereikia priimti papildomų įgyvendinamųjų teisės aktų.</w:t>
              </w:r>
            </w:p>
            <w:p>
              <w:pPr>
                <w:rPr>
                  <w:sz w:val="10"/>
                  <w:szCs w:val="10"/>
                </w:rPr>
              </w:pPr>
            </w:p>
            <w:p>
              <w:pPr>
                <w:shd w:val="clear" w:color="auto" w:fill="FFFFFF"/>
                <w:ind w:firstLine="782"/>
                <w:rPr>
                  <w:color w:val="000000"/>
                  <w:szCs w:val="24"/>
                  <w:lang w:eastAsia="en-GB"/>
                </w:rPr>
              </w:pPr>
            </w:p>
            <w:p>
              <w:pPr>
                <w:rPr>
                  <w:sz w:val="10"/>
                  <w:szCs w:val="10"/>
                </w:rPr>
              </w:pPr>
            </w:p>
          </w:sdtContent>
        </w:sdt>
        <w:sdt>
          <w:sdtPr>
            <w:alias w:val="13 p."/>
            <w:tag w:val="part_536d0694cc3942dcb138caa51a9c2444"/>
            <w:lock w:val="sdtLocked"/>
            <w:richText/>
          </w:sdtPr>
          <w:sdtContent>
            <w:p>
              <w:pPr>
                <w:shd w:val="clear" w:color="auto" w:fill="FFFFFF"/>
                <w:ind w:firstLine="720"/>
                <w:rPr>
                  <w:b/>
                  <w:bCs/>
                  <w:color w:val="000000"/>
                  <w:szCs w:val="24"/>
                  <w:lang w:eastAsia="en-GB"/>
                </w:rPr>
              </w:pPr>
              <w:sdt>
                <w:sdtPr>
                  <w:alias w:val="Numeris"/>
                  <w:tag w:val="nr_536d0694cc3942dcb138caa51a9c2444"/>
                  <w:lock w:val="sdtLocked"/>
                  <w:richText/>
                </w:sdtPr>
                <w:sdtContent>
                  <w:r>
                    <w:rPr>
                      <w:b/>
                      <w:bCs/>
                      <w:color w:val="000000"/>
                      <w:szCs w:val="24"/>
                      <w:lang w:eastAsia="en-GB"/>
                    </w:rPr>
                    <w:t>13</w:t>
                  </w:r>
                </w:sdtContent>
              </w:sdt>
              <w:r>
                <w:rPr>
                  <w:b/>
                  <w:bCs/>
                  <w:color w:val="000000"/>
                  <w:szCs w:val="24"/>
                  <w:lang w:eastAsia="en-GB"/>
                </w:rPr>
                <w:t>.</w:t>
                <w:tab/>
                <w:t>Kiek valstybės, savivaldybių biudžetų ir kitų valstybės įsteigtų fondų lėšų prireiks įstatymui įgyvendinti, ar bus galima sutaupyti (pateikiami prognozuojami rodikliai einamaisiais ir artimiausiais 3 biudžetiniais metais)</w:t>
              </w:r>
            </w:p>
            <w:p>
              <w:pPr>
                <w:rPr>
                  <w:sz w:val="10"/>
                  <w:szCs w:val="10"/>
                </w:rPr>
              </w:pPr>
            </w:p>
            <w:p>
              <w:pPr>
                <w:ind w:firstLine="720"/>
                <w:rPr>
                  <w:szCs w:val="24"/>
                  <w:lang w:eastAsia="en-GB"/>
                </w:rPr>
              </w:pPr>
              <w:r>
                <w:rPr>
                  <w:color w:val="000000"/>
                  <w:szCs w:val="24"/>
                  <w:lang w:eastAsia="en-GB"/>
                </w:rPr>
                <w:t>Įstatymui įgyvendinti papildomų biudžeto lėšų nereikės.</w:t>
              </w:r>
            </w:p>
            <w:p>
              <w:pPr>
                <w:rPr>
                  <w:sz w:val="10"/>
                  <w:szCs w:val="10"/>
                </w:rPr>
              </w:pPr>
            </w:p>
            <w:p>
              <w:pPr>
                <w:shd w:val="clear" w:color="auto" w:fill="FFFFFF"/>
                <w:ind w:firstLine="720"/>
                <w:rPr>
                  <w:color w:val="000000"/>
                  <w:szCs w:val="24"/>
                  <w:lang w:eastAsia="en-GB"/>
                </w:rPr>
              </w:pPr>
            </w:p>
            <w:p>
              <w:pPr>
                <w:rPr>
                  <w:sz w:val="10"/>
                  <w:szCs w:val="10"/>
                </w:rPr>
              </w:pPr>
            </w:p>
          </w:sdtContent>
        </w:sdt>
        <w:sdt>
          <w:sdtPr>
            <w:alias w:val="14 p."/>
            <w:tag w:val="part_037823f5a954456cb4bef0b78a032b85"/>
            <w:lock w:val="sdtLocked"/>
            <w:richText/>
          </w:sdtPr>
          <w:sdtContent>
            <w:p>
              <w:pPr>
                <w:shd w:val="clear" w:color="auto" w:fill="FFFFFF"/>
                <w:ind w:firstLine="720"/>
                <w:rPr>
                  <w:b/>
                  <w:bCs/>
                  <w:color w:val="000000"/>
                  <w:szCs w:val="24"/>
                  <w:lang w:eastAsia="en-GB"/>
                </w:rPr>
              </w:pPr>
              <w:sdt>
                <w:sdtPr>
                  <w:alias w:val="Numeris"/>
                  <w:tag w:val="nr_037823f5a954456cb4bef0b78a032b85"/>
                  <w:lock w:val="sdtLocked"/>
                  <w:richText/>
                </w:sdtPr>
                <w:sdtContent>
                  <w:r>
                    <w:rPr>
                      <w:b/>
                      <w:bCs/>
                      <w:color w:val="000000"/>
                      <w:szCs w:val="24"/>
                      <w:lang w:eastAsia="en-GB"/>
                    </w:rPr>
                    <w:t>14</w:t>
                  </w:r>
                </w:sdtContent>
              </w:sdt>
              <w:r>
                <w:rPr>
                  <w:b/>
                  <w:bCs/>
                  <w:color w:val="000000"/>
                  <w:szCs w:val="24"/>
                  <w:lang w:eastAsia="en-GB"/>
                </w:rPr>
                <w:t>.</w:t>
                <w:tab/>
                <w:t xml:space="preserve"> Įstatymo projekto rengimo metu gauti specialistų vertinimai ir išvados</w:t>
              </w:r>
            </w:p>
            <w:p>
              <w:pPr>
                <w:rPr>
                  <w:sz w:val="10"/>
                  <w:szCs w:val="10"/>
                </w:rPr>
              </w:pPr>
            </w:p>
            <w:p>
              <w:pPr>
                <w:shd w:val="clear" w:color="auto" w:fill="FFFFFF"/>
                <w:ind w:firstLine="720"/>
                <w:rPr>
                  <w:szCs w:val="24"/>
                  <w:lang w:eastAsia="en-GB"/>
                </w:rPr>
              </w:pPr>
              <w:r>
                <w:rPr>
                  <w:color w:val="000000"/>
                  <w:szCs w:val="24"/>
                  <w:lang w:eastAsia="en-GB"/>
                </w:rPr>
                <w:t>Rengiant projektą vertinimų ir išvadų negauta. </w:t>
              </w:r>
            </w:p>
            <w:p>
              <w:pPr>
                <w:rPr>
                  <w:sz w:val="10"/>
                  <w:szCs w:val="10"/>
                </w:rPr>
              </w:pPr>
            </w:p>
            <w:p>
              <w:pPr>
                <w:shd w:val="clear" w:color="auto" w:fill="FFFFFF"/>
                <w:ind w:firstLine="720"/>
                <w:rPr>
                  <w:szCs w:val="24"/>
                  <w:lang w:eastAsia="en-GB"/>
                </w:rPr>
              </w:pPr>
            </w:p>
            <w:p>
              <w:pPr>
                <w:rPr>
                  <w:sz w:val="10"/>
                  <w:szCs w:val="10"/>
                </w:rPr>
              </w:pPr>
            </w:p>
          </w:sdtContent>
        </w:sdt>
        <w:sdt>
          <w:sdtPr>
            <w:alias w:val="15 p."/>
            <w:tag w:val="part_3b77cede00bc410e8404e341a2a65e33"/>
            <w:lock w:val="sdtLocked"/>
            <w:richText/>
          </w:sdtPr>
          <w:sdtContent>
            <w:p>
              <w:pPr>
                <w:shd w:val="clear" w:color="auto" w:fill="FFFFFF"/>
                <w:ind w:firstLine="720"/>
                <w:rPr>
                  <w:b/>
                  <w:bCs/>
                  <w:szCs w:val="24"/>
                  <w:lang w:eastAsia="en-GB"/>
                </w:rPr>
              </w:pPr>
              <w:sdt>
                <w:sdtPr>
                  <w:alias w:val="Numeris"/>
                  <w:tag w:val="nr_3b77cede00bc410e8404e341a2a65e33"/>
                  <w:lock w:val="sdtLocked"/>
                  <w:richText/>
                </w:sdtPr>
                <w:sdtContent>
                  <w:r>
                    <w:rPr>
                      <w:b/>
                      <w:bCs/>
                      <w:szCs w:val="24"/>
                      <w:lang w:eastAsia="en-GB"/>
                    </w:rPr>
                    <w:t>15</w:t>
                  </w:r>
                </w:sdtContent>
              </w:sdt>
              <w:r>
                <w:rPr>
                  <w:b/>
                  <w:bCs/>
                  <w:szCs w:val="24"/>
                  <w:lang w:eastAsia="en-GB"/>
                </w:rPr>
                <w:t>.</w:t>
                <w:tab/>
              </w:r>
              <w:r>
                <w:rPr>
                  <w:b/>
                  <w:bCs/>
                  <w:color w:val="000000"/>
                  <w:szCs w:val="24"/>
                  <w:lang w:eastAsia="en-GB"/>
                </w:rPr>
                <w:t>Reikšminiai žodžiai, kurių reikia šiam projektui įtraukti į kompiuterinę paieškos sistemą, įskaitant Europos žodyno „Eurovoc“ terminus, temas bei sritis</w:t>
              </w:r>
            </w:p>
            <w:p>
              <w:pPr>
                <w:rPr>
                  <w:sz w:val="10"/>
                  <w:szCs w:val="10"/>
                </w:rPr>
              </w:pPr>
            </w:p>
            <w:p>
              <w:pPr>
                <w:ind w:firstLine="720"/>
                <w:rPr>
                  <w:szCs w:val="24"/>
                  <w:lang w:eastAsia="en-GB"/>
                </w:rPr>
              </w:pPr>
              <w:r>
                <w:rPr>
                  <w:color w:val="000000"/>
                  <w:szCs w:val="24"/>
                  <w:lang w:eastAsia="en-GB"/>
                </w:rPr>
                <w:t>Nėra.</w:t>
              </w:r>
            </w:p>
            <w:p>
              <w:pPr>
                <w:rPr>
                  <w:sz w:val="10"/>
                  <w:szCs w:val="10"/>
                </w:rPr>
              </w:pPr>
            </w:p>
            <w:p>
              <w:pPr>
                <w:shd w:val="clear" w:color="auto" w:fill="FFFFFF"/>
                <w:ind w:firstLine="720"/>
                <w:rPr>
                  <w:color w:val="000000"/>
                  <w:szCs w:val="24"/>
                  <w:lang w:eastAsia="en-GB"/>
                </w:rPr>
              </w:pPr>
            </w:p>
            <w:p>
              <w:pPr>
                <w:rPr>
                  <w:sz w:val="10"/>
                  <w:szCs w:val="10"/>
                </w:rPr>
              </w:pPr>
            </w:p>
          </w:sdtContent>
        </w:sdt>
        <w:sdt>
          <w:sdtPr>
            <w:alias w:val="16 p."/>
            <w:tag w:val="part_996e8a341e3f432282194a628796770b"/>
            <w:lock w:val="sdtLocked"/>
            <w:richText/>
          </w:sdtPr>
          <w:sdtContent>
            <w:p>
              <w:pPr>
                <w:shd w:val="clear" w:color="auto" w:fill="FFFFFF"/>
                <w:ind w:firstLine="720"/>
                <w:rPr>
                  <w:b/>
                  <w:bCs/>
                  <w:color w:val="000000"/>
                  <w:szCs w:val="24"/>
                  <w:lang w:eastAsia="en-GB"/>
                </w:rPr>
              </w:pPr>
              <w:sdt>
                <w:sdtPr>
                  <w:alias w:val="Numeris"/>
                  <w:tag w:val="nr_996e8a341e3f432282194a628796770b"/>
                  <w:lock w:val="sdtLocked"/>
                  <w:richText/>
                </w:sdtPr>
                <w:sdtContent>
                  <w:r>
                    <w:rPr>
                      <w:b/>
                      <w:bCs/>
                      <w:color w:val="000000"/>
                      <w:szCs w:val="24"/>
                      <w:lang w:eastAsia="en-GB"/>
                    </w:rPr>
                    <w:t>16</w:t>
                  </w:r>
                </w:sdtContent>
              </w:sdt>
              <w:r>
                <w:rPr>
                  <w:b/>
                  <w:bCs/>
                  <w:color w:val="000000"/>
                  <w:szCs w:val="24"/>
                  <w:lang w:eastAsia="en-GB"/>
                </w:rPr>
                <w:t>.</w:t>
                <w:tab/>
                <w:t>Kiti, iniciatorių nuomone, reikalingi pagrindimai ir paaiškinimai</w:t>
              </w:r>
            </w:p>
            <w:p>
              <w:pPr>
                <w:rPr>
                  <w:sz w:val="10"/>
                  <w:szCs w:val="10"/>
                </w:rPr>
              </w:pPr>
            </w:p>
            <w:p>
              <w:pPr>
                <w:ind w:firstLine="720"/>
                <w:rPr>
                  <w:szCs w:val="24"/>
                  <w:lang w:eastAsia="en-GB"/>
                </w:rPr>
              </w:pPr>
              <w:r>
                <w:rPr>
                  <w:szCs w:val="24"/>
                  <w:lang w:eastAsia="en-GB"/>
                </w:rPr>
                <w:t>Nėra.</w:t>
              </w:r>
            </w:p>
            <w:p>
              <w:pPr>
                <w:rPr>
                  <w:sz w:val="10"/>
                  <w:szCs w:val="10"/>
                </w:rPr>
              </w:pPr>
            </w:p>
            <w:p/>
            <w:p>
              <w:pPr>
                <w:rPr>
                  <w:szCs w:val="24"/>
                  <w:lang w:eastAsia="en-GB"/>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0F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AE409A-5661-4A79-8140-C4324A22E35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6516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3a57181757247e480158c8d4c85b0af" PartId="6686f16f2b8e40b9ae907765949c6f58">
    <Part Type="punktas" Nr="1" Abbr="1 p." DocPartId="690303463fd34d45b30b8ea0e86321f5" PartId="d04d612fe3864324861fedcb5ec39d42"/>
    <Part Type="punktas" Nr="2" Abbr="2 p." DocPartId="9079c2c03da445caac3ce75aaf951d30" PartId="26f58f65607e46a8b8af9639d790d5b2"/>
    <Part Type="punktas" Nr="3" Abbr="3 p." DocPartId="0a60f728f76943e190fbf5c62c090989" PartId="d86ef1915e054da58560b097ae4cc0f1"/>
    <Part Type="punktas" Nr="4" Abbr="4 p." DocPartId="c13ffe1efd794f5292a438db7c13509e" PartId="14d75ea49eda4433b9f09608102909af"/>
    <Part Type="punktas" Nr="5" Abbr="5 p." DocPartId="c67330aae52d43ee9d25be6299428f6a" PartId="6e8e2b17cc9740459f609426d7c42949"/>
    <Part Type="punktas" Nr="6" Abbr="6 p." DocPartId="4704e3d750b54cd2999e0d32701c08c5" PartId="60ea650e7e544540a192d0106ea675bb"/>
    <Part Type="punktas" Nr="7" Abbr="7 p." DocPartId="1432faef653748929ee4941e1db38b28" PartId="ea4e365f1bc84dc29b988f3c413a42eb"/>
    <Part Type="punktas" Nr="8" Abbr="8 p." DocPartId="385fafd2739b4454a07b22f60745cc1d" PartId="3eb8d79b68c144e2bcde61f05f39cab0"/>
    <Part Type="punktas" Nr="9" Abbr="9 p." DocPartId="8dd954a9a16544478b5797053db35d4b" PartId="6fbc202d9c554f1a86774e78418c3f60"/>
    <Part Type="punktas" Nr="10" Abbr="10 p." DocPartId="d09c6f1a26544cebb9267864710b9ad1" PartId="cecb384b08d0438b89127df488130f86"/>
    <Part Type="punktas" Nr="11" Abbr="11 p." DocPartId="a6cf66cf5a06420abd2d1f1976c64df5" PartId="594017f5c79649b9b86709ce0a182443"/>
    <Part Type="punktas" Nr="12" Abbr="12 p." DocPartId="01e57766768a4fca8497e598867cf5f8" PartId="24d5348e4ed04079b4ebd96b8464ec4f"/>
    <Part Type="punktas" Nr="13" Abbr="13 p." DocPartId="d3e00d422c6c4382b9551d2330d13ffe" PartId="536d0694cc3942dcb138caa51a9c2444"/>
    <Part Type="punktas" Nr="14" Abbr="14 p." DocPartId="661eb3a0f1da4906872530b780b96bb2" PartId="037823f5a954456cb4bef0b78a032b85"/>
    <Part Type="punktas" Nr="15" Abbr="15 p." DocPartId="728476697c4246e58e653fe12725e4ad" PartId="3b77cede00bc410e8404e341a2a65e33"/>
    <Part Type="punktas" Nr="16" Abbr="16 p." DocPartId="63863589787e45e8a1fca88d5549a40d" PartId="996e8a341e3f432282194a628796770b"/>
  </Part>
</Parts>
</file>

<file path=customXml/itemProps1.xml><?xml version="1.0" encoding="utf-8"?>
<ds:datastoreItem xmlns:ds="http://schemas.openxmlformats.org/officeDocument/2006/customXml" ds:itemID="{D27BAAC4-3519-4C25-A626-1BF171F709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1049</Words>
  <Characters>7073</Characters>
  <Application>Microsoft Office Word</Application>
  <DocSecurity>4</DocSecurity>
  <Lines>126</Lines>
  <Paragraphs>46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8076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2025-03-07T12:20:00Z</dcterms:created>
  <dc:creator>JAKAVONIENĖ Aldona</dc:creator>
  <lastModifiedBy>adlibuser</lastModifiedBy>
  <dcterms:modified xsi:type="dcterms:W3CDTF">2025-03-07T12:20:00Z</dcterms:modified>
  <revision>2</revision>
</coreProperties>
</file>