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2be1ed533a44ba9beeae4c3ba55bd71"/>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6B0A7189" wp14:editId="0AB273B5">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val="en-US" w:bidi="en-US"/>
                  </w:rPr>
                </w:pPr>
                <w:r>
                  <w:rPr>
                    <w:rFonts w:eastAsia="Andale Sans UI" w:cs="Tahoma"/>
                    <w:szCs w:val="24"/>
                    <w:lang w:val="en-US" w:bidi="en-US"/>
                  </w:rPr>
                  <w:t>2023-03</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val="en-US" w:bidi="en-US"/>
                  </w:rPr>
                </w:pPr>
              </w:p>
            </w:tc>
            <w:tc>
              <w:tcPr>
                <w:tcW w:w="565" w:type="dxa"/>
              </w:tcPr>
              <w:p>
                <w:pPr>
                  <w:suppressLineNumbers/>
                  <w:ind w:right="67"/>
                  <w:jc w:val="both"/>
                  <w:rPr>
                    <w:rFonts w:eastAsia="Andale Sans UI" w:cs="Tahoma"/>
                    <w:szCs w:val="24"/>
                    <w:lang w:bidi="en-US"/>
                  </w:rPr>
                </w:pP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AutoHyphens/>
                  <w:jc w:val="both"/>
                  <w:rPr>
                    <w:rFonts w:eastAsia="Andale Sans UI" w:cs="Tahoma"/>
                    <w:b/>
                    <w:caps/>
                    <w:szCs w:val="24"/>
                    <w:lang w:eastAsia="lt-LT" w:bidi="en-US"/>
                  </w:rPr>
                </w:pPr>
                <w:r>
                  <w:rPr>
                    <w:rFonts w:eastAsia="Andale Sans UI" w:cs="Tahoma"/>
                    <w:b/>
                    <w:caps/>
                    <w:szCs w:val="24"/>
                    <w:lang w:bidi="en-US"/>
                  </w:rPr>
                  <w:t xml:space="preserve">DĖL LIETUVOS RESPUBLIKOS APLINKOS MINISTRO ĮSAKYMO PAKEITIMO PROJEKTO </w:t>
                </w:r>
                <w:r>
                  <w:rPr>
                    <w:rFonts w:eastAsia="Andale Sans UI" w:cs="Tahoma"/>
                    <w:b/>
                    <w:caps/>
                    <w:szCs w:val="24"/>
                    <w:lang w:eastAsia="lt-LT" w:bidi="en-US"/>
                  </w:rPr>
                  <w:t>DERINIMO</w:t>
                </w:r>
              </w:p>
              <w:p>
                <w:pPr>
                  <w:suppressLineNumbers/>
                  <w:spacing w:line="276" w:lineRule="auto"/>
                  <w:jc w:val="both"/>
                  <w:rPr>
                    <w:rFonts w:eastAsia="Andale Sans UI" w:cs="Tahoma"/>
                    <w:b/>
                    <w:bCs/>
                    <w:szCs w:val="24"/>
                    <w:lang w:bidi="en-US"/>
                  </w:rPr>
                </w:pPr>
              </w:p>
            </w:tc>
          </w:tr>
        </w:tbl>
        <w:p/>
      </w:sdtContent>
    </w:sdt>
    <w:sdt>
      <w:sdtPr>
        <w:alias w:val="pastraipa"/>
        <w:tag w:val="part_4e39a1e911514de6b6b92f7750dcec52"/>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Aplinkos ministerija teikia išvadoms gauti aplinkos ministro įsakymo Lietuvos Respublikos aplinkos ministro 2005 m. liepos 11 d. įsakymo Nr. D1-341 „Dėl Architektų atestavimo ir teisės pripažinimo tvarkos aprašo patvirtinimo“ pakeitimo projektą (toliau – Įsakymo pakeitimo projektas), kuriuo įgyvendinama Lietuvos Respublikos statybos įstatymo Nr. I-1240 2, 4, 8, 12, 14, 17, 18, 22, 24, 27, 27-1, 28, 29, 34, 35, 36, 37, 39, 40, 47, 51, 55 straipsnių, 1 priedo pakeitimo ir Įstatymo papildymo 11-1 straipsniu įstatymo 5 straipsnio 2 dalis.</w:t>
          </w:r>
          <w:r>
            <w:rPr>
              <w:rFonts w:eastAsia="Andale Sans UI"/>
              <w:color w:val="000000"/>
              <w:szCs w:val="24"/>
              <w:lang w:eastAsia="lt-LT" w:bidi="en-US"/>
            </w:rPr>
            <w:t xml:space="preserve"> </w:t>
          </w:r>
        </w:p>
      </w:sdtContent>
    </w:sdt>
    <w:sdt>
      <w:sdtPr>
        <w:alias w:val="pastraipa"/>
        <w:tag w:val="part_db58cca642a04056ae40b2352fab51d3"/>
        <w:lock w:val="sdtLocked"/>
        <w:richText/>
      </w:sdtPr>
      <w:sdtContent>
        <w:p>
          <w:pPr>
            <w:widowControl w:val="0"/>
            <w:suppressAutoHyphens/>
            <w:ind w:firstLine="567"/>
            <w:jc w:val="both"/>
            <w:rPr>
              <w:rFonts w:eastAsia="Andale Sans UI" w:cs="Tahoma"/>
              <w:color w:val="000000"/>
              <w:szCs w:val="24"/>
              <w:bdr w:val="none" w:sz="0" w:space="0" w:color="auto" w:frame="1"/>
              <w:lang w:bidi="en-US"/>
            </w:rPr>
          </w:pPr>
          <w:r>
            <w:rPr>
              <w:rFonts w:eastAsia="Andale Sans UI"/>
              <w:szCs w:val="24"/>
              <w:lang w:bidi="en-US"/>
            </w:rPr>
            <w:t xml:space="preserve">2023 m. gegužės 1 d. įsigalios naujos Statybos įstatymo 12 straipsnio 5 dalies 2 punkto nuostatos, numatančios minimalius kvalifikacinius reikalavimus fiziniams asmenims, pageidaujantiems eiti ypatingojo ir neypatingojo statinio statybos techninės veiklos pagrindinių sričių vadovų pareigas. Jose numatyta išplėsti </w:t>
          </w:r>
          <w:r>
            <w:rPr>
              <w:rFonts w:eastAsia="Andale Sans UI" w:cs="Tahoma"/>
              <w:color w:val="000000"/>
              <w:szCs w:val="24"/>
              <w:lang w:bidi="en-US"/>
            </w:rPr>
            <w:t xml:space="preserve">profesinės patirties atitinkamoje veiklos srityje reikalavimus </w:t>
          </w:r>
          <w:r>
            <w:rPr>
              <w:rFonts w:eastAsia="Andale Sans UI" w:cs="Tahoma"/>
              <w:color w:val="000000"/>
              <w:szCs w:val="24"/>
              <w:shd w:val="clear" w:color="auto" w:fill="FFFFFF"/>
              <w:lang w:bidi="en-US"/>
            </w:rPr>
            <w:t>asmenims</w:t>
          </w:r>
          <w:r>
            <w:rPr>
              <w:rFonts w:eastAsia="Andale Sans UI" w:cs="Tahoma"/>
              <w:color w:val="000000"/>
              <w:szCs w:val="24"/>
              <w:bdr w:val="none" w:sz="0" w:space="0" w:color="auto" w:frame="1"/>
              <w:shd w:val="clear" w:color="auto" w:fill="FFFFFF"/>
              <w:lang w:bidi="en-US"/>
            </w:rPr>
            <w:t xml:space="preserve"> siekiantiems eiti </w:t>
          </w:r>
          <w:r>
            <w:rPr>
              <w:rFonts w:eastAsia="Andale Sans UI" w:cs="Tahoma"/>
              <w:color w:val="000000"/>
              <w:szCs w:val="24"/>
              <w:bdr w:val="none" w:sz="0" w:space="0" w:color="auto" w:frame="1"/>
              <w:lang w:bidi="en-US"/>
            </w:rPr>
            <w:t xml:space="preserve">ypatingojo ir neypatingojo statinio statybos techninės veiklos pagrindinių sričių vadovų pareigas, išskyrus statinio projekto ekspertizės, statinio projekto dalies ekspertizės, statinio ekspertizės ar statinio dalies ekspertizės vadovų pareigas: </w:t>
          </w:r>
          <w:r>
            <w:rPr>
              <w:rFonts w:eastAsia="Andale Sans UI" w:cs="Tahoma"/>
              <w:color w:val="000000"/>
              <w:szCs w:val="24"/>
              <w:shd w:val="clear" w:color="auto" w:fill="FFFFFF"/>
              <w:lang w:bidi="en-US"/>
            </w:rPr>
            <w:t>darbo patirties valstybės ir savivaldybių institucijose vykdant veiklą architektūros, statybos ir (ar) statybos valstybinės priežiūros srityse, jeigu pagal einamas pareigas asmuo tiesiogiai dalyvavo išduodant, rengiant, derinant ar tvirtinant tam tikrus statinio projektavimo ar statybos sričių dokumentus</w:t>
          </w:r>
          <w:r>
            <w:rPr>
              <w:rFonts w:eastAsia="Andale Sans UI"/>
              <w:szCs w:val="24"/>
              <w:lang w:bidi="en-US"/>
            </w:rPr>
            <w:t xml:space="preserve">, </w:t>
          </w:r>
          <w:r>
            <w:rPr>
              <w:rFonts w:eastAsia="Andale Sans UI" w:cs="Tahoma"/>
              <w:color w:val="000000"/>
              <w:szCs w:val="24"/>
              <w:shd w:val="clear" w:color="auto" w:fill="FFFFFF"/>
              <w:lang w:bidi="en-US"/>
            </w:rPr>
            <w:t>rengiant normatyvinius statybos techninius ar normatyvinius statinio saugos ir paskirties dokumentus, rengiant architektus ar statybos inžinierius studijų ir mokslo įstaigoje, turint mokslo laipsnį ar pedagoginį vardą.</w:t>
          </w:r>
          <w:r>
            <w:rPr>
              <w:rFonts w:eastAsia="Andale Sans UI" w:cs="Tahoma"/>
              <w:color w:val="000000"/>
              <w:szCs w:val="24"/>
              <w:bdr w:val="none" w:sz="0" w:space="0" w:color="auto" w:frame="1"/>
              <w:shd w:val="clear" w:color="auto" w:fill="FFFFFF"/>
              <w:lang w:bidi="en-US"/>
            </w:rPr>
            <w:t> </w:t>
          </w:r>
        </w:p>
      </w:sdtContent>
    </w:sdt>
    <w:sdt>
      <w:sdtPr>
        <w:alias w:val="pastraipa"/>
        <w:tag w:val="part_233b0c39586245b3a280e9e2d3941fbd"/>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Atsižvelgiant į minėtus priimto Statybos įstatymo pakeitimus, parengtas Įsakymo pakeitimo projektas, kuriame, neišplečiant Statybos įstatymo nuostatų, tikslinami kvalifikaciniai reikalavimai asmenims pageidaujantiems eiti ypatingojo ir neypatingojo statinio statybos techninės veiklos pagrindinių sričių vadovų pareigas, patikslintas kartu su prašymu </w:t>
          </w:r>
          <w:r>
            <w:rPr>
              <w:rFonts w:eastAsia="Andale Sans UI" w:cs="Tahoma"/>
              <w:color w:val="000000"/>
              <w:szCs w:val="24"/>
              <w:lang w:bidi="en-US"/>
            </w:rPr>
            <w:t>pateiktinų dokumentų sąrašas.</w:t>
          </w:r>
        </w:p>
      </w:sdtContent>
    </w:sdt>
    <w:sdt>
      <w:sdtPr>
        <w:alias w:val="pastraipa"/>
        <w:tag w:val="part_36cd6ce2f0904b1d9b4db92c28955f09"/>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Įsakymo pakeitimo projekte siūlomiems pakeitimams įgyvendinti iki šio įsakymo įsigaliojimo kitų teisės aktų pakeisti nereikės, neigiamų pasekmių priėmus Įsakymo pakeitimo projektą nenumatoma. </w:t>
          </w:r>
        </w:p>
      </w:sdtContent>
    </w:sdt>
    <w:sdt>
      <w:sdtPr>
        <w:alias w:val="pastraipa"/>
        <w:tag w:val="part_709308b6494a459e9fc41f31764cdd6c"/>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Įsakymo pakeitimo projektas neprieštarauja Lietuvos Respublikos Vyriausybės programai, Europos Sąjungos teisės reikalavimams ir Aštuonioliktosios Vyriausybės veiklos programai, neperkelia ir neįgyvendina Europos Sąjungos teisės aktų, nenotifikuotinas Europos Komisijai. </w:t>
          </w:r>
        </w:p>
      </w:sdtContent>
    </w:sdt>
    <w:sdt>
      <w:sdtPr>
        <w:alias w:val="pastraipa"/>
        <w:tag w:val="part_46e2a09a93804e79901bddb52fe9565f"/>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Įsakymo pakeitimo projektas parengtas laikantis Lietuvos Respublikos valstybinės kalbos įstatymo, Lietuvos Respublikos teisėkūros pagrindų įstatymo reikalavimų ir atitinka bendrinės lietuvių kalbos normas. </w:t>
          </w:r>
        </w:p>
      </w:sdtContent>
    </w:sdt>
    <w:sdt>
      <w:sdtPr>
        <w:alias w:val="pastraipa"/>
        <w:tag w:val="part_3c486c5f849f4dcaac0389cc505a12f3"/>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Numatomo teisinio reguliavimo poveikio vertinimas neatliekamas, pažyma nerengiama (Įsakymo pakeitimo projektu teisinis reguliavimas iš esmės nekeičiamas). </w:t>
          </w:r>
        </w:p>
      </w:sdtContent>
    </w:sdt>
    <w:sdt>
      <w:sdtPr>
        <w:alias w:val="pastraipa"/>
        <w:tag w:val="part_36eeed26abb54e198959df324007515c"/>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Įsakymo pakeitimo projektas skelbiamas Lietuvos Respublikos Seimo teisės aktų informacinės sistemos (TAIS) Projektų registravimo posistemėje. </w:t>
          </w:r>
          <w:r>
            <w:rPr>
              <w:rFonts w:eastAsia="Andale Sans UI"/>
              <w:color w:val="000000"/>
              <w:szCs w:val="24"/>
              <w:lang w:eastAsia="lt-LT" w:bidi="en-US"/>
            </w:rPr>
            <w:t xml:space="preserve">Atsižvelgdami į tai, kad Statybos įstatymo nuostatos įsigalioja 2023 m. gegužės 1 d., </w:t>
          </w:r>
          <w:r>
            <w:rPr>
              <w:rFonts w:eastAsia="Andale Sans UI"/>
              <w:b/>
              <w:bCs/>
              <w:color w:val="000000"/>
              <w:szCs w:val="24"/>
              <w:lang w:eastAsia="lt-LT" w:bidi="en-US"/>
            </w:rPr>
            <w:t xml:space="preserve">prašome pastabas ir pasiūlymus dėl Įsakymo pakeitimo projekto pateikti per 10 darbo dienų nuo </w:t>
          </w:r>
          <w:r>
            <w:rPr>
              <w:rFonts w:eastAsia="Andale Sans UI"/>
              <w:b/>
              <w:bCs/>
              <w:szCs w:val="24"/>
              <w:lang w:bidi="en-US"/>
            </w:rPr>
            <w:t>Įsakymo</w:t>
          </w:r>
          <w:r>
            <w:rPr>
              <w:rFonts w:eastAsia="Andale Sans UI"/>
              <w:b/>
              <w:bCs/>
              <w:color w:val="000000"/>
              <w:szCs w:val="24"/>
              <w:lang w:eastAsia="lt-LT" w:bidi="en-US"/>
            </w:rPr>
            <w:t xml:space="preserve"> pakeitimo projekto paskelbimo TAIS dienos</w:t>
          </w:r>
          <w:r>
            <w:rPr>
              <w:rFonts w:eastAsia="Andale Sans UI"/>
              <w:color w:val="000000"/>
              <w:szCs w:val="24"/>
              <w:lang w:eastAsia="lt-LT" w:bidi="en-US"/>
            </w:rPr>
            <w:t xml:space="preserve">. </w:t>
          </w:r>
        </w:p>
      </w:sdtContent>
    </w:sdt>
    <w:sdt>
      <w:sdtPr>
        <w:alias w:val="pastraipa"/>
        <w:tag w:val="part_a1c6c8b7a2c24711b782c28adf31baa9"/>
        <w:lock w:val="sdtLocked"/>
        <w:richText/>
      </w:sdtPr>
      <w:sdtContent>
        <w:p>
          <w:pPr>
            <w:ind w:firstLine="567"/>
            <w:jc w:val="both"/>
            <w:rPr>
              <w:rFonts w:ascii="Calibri" w:eastAsia="Andale Sans UI" w:hAnsi="Calibri" w:cs="Calibri"/>
              <w:color w:val="000000"/>
              <w:sz w:val="22"/>
              <w:szCs w:val="22"/>
              <w:lang w:eastAsia="lt-LT"/>
            </w:rPr>
          </w:pPr>
          <w:r>
            <w:rPr>
              <w:rFonts w:eastAsia="Andale Sans UI"/>
              <w:szCs w:val="24"/>
              <w:lang w:bidi="en-US"/>
            </w:rPr>
            <w:t xml:space="preserve">Įsakymo pakeitimo projektą parengė Aplinkos ministerijos Architektūros ir inovacijų politikos grupės vyr. patarėjas Edvardas Minkevičius (tel. +370 614 45323, el. p. </w:t>
          </w:r>
          <w:r>
            <w:rPr>
              <w:rFonts w:eastAsia="Andale Sans UI"/>
              <w:szCs w:val="24"/>
              <w:lang w:bidi="en-US"/>
            </w:rPr>
            <w:t>edvardas.minkevicius@am.lt</w:t>
          </w:r>
          <w:r>
            <w:rPr>
              <w:rFonts w:eastAsia="Andale Sans UI"/>
              <w:szCs w:val="24"/>
              <w:lang w:bidi="en-US"/>
            </w:rPr>
            <w:t xml:space="preserve">) ir patarėjas Aurimas Petniūnas (tel. 8 616 23454, el. p. </w:t>
          </w:r>
          <w:r>
            <w:rPr>
              <w:rFonts w:eastAsia="Andale Sans UI" w:cs="Tahoma"/>
              <w:color w:val="000080"/>
              <w:szCs w:val="24"/>
              <w:u w:val="single"/>
              <w:lang w:bidi="en-US"/>
            </w:rPr>
            <w:t>aurimas.petniunas@am.lt</w:t>
          </w:r>
          <w:r>
            <w:rPr>
              <w:rFonts w:eastAsia="Andale Sans UI"/>
              <w:szCs w:val="24"/>
              <w:lang w:bidi="en-US"/>
            </w:rPr>
            <w:t>).</w:t>
          </w:r>
        </w:p>
      </w:sdtContent>
    </w:sdt>
    <w:sdt>
      <w:sdtPr>
        <w:alias w:val="pastraipa"/>
        <w:tag w:val="part_05fb69435ea64258b74e45af7fb88380"/>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PRIDEDAMA:</w:t>
          </w:r>
        </w:p>
        <w:sdt>
          <w:sdtPr>
            <w:alias w:val="1 p."/>
            <w:tag w:val="part_5ff835c44f6a496fa454a8e3ee7d1299"/>
            <w:lock w:val="sdtLocked"/>
            <w:richText/>
          </w:sdtPr>
          <w:sdtContent>
            <w:p>
              <w:pPr>
                <w:widowControl w:val="0"/>
                <w:suppressAutoHyphens/>
                <w:ind w:firstLine="567"/>
                <w:jc w:val="both"/>
                <w:rPr>
                  <w:rFonts w:eastAsia="Andale Sans UI"/>
                  <w:szCs w:val="24"/>
                  <w:lang w:bidi="en-US"/>
                </w:rPr>
              </w:pPr>
              <w:sdt>
                <w:sdtPr>
                  <w:alias w:val="Numeris"/>
                  <w:tag w:val="nr_5ff835c44f6a496fa454a8e3ee7d1299"/>
                  <w:lock w:val="sdtLocked"/>
                  <w:richText/>
                </w:sdtPr>
                <w:sdtContent>
                  <w:r>
                    <w:rPr>
                      <w:rFonts w:eastAsia="Andale Sans UI"/>
                      <w:szCs w:val="24"/>
                      <w:lang w:bidi="en-US"/>
                    </w:rPr>
                    <w:t>1</w:t>
                  </w:r>
                </w:sdtContent>
              </w:sdt>
              <w:r>
                <w:rPr>
                  <w:rFonts w:eastAsia="Andale Sans UI"/>
                  <w:szCs w:val="24"/>
                  <w:lang w:bidi="en-US"/>
                </w:rPr>
                <w:t>. Įsakymo pakeitimo projektas</w:t>
              </w:r>
              <w:r>
                <w:rPr>
                  <w:rFonts w:eastAsia="Andale Sans UI"/>
                  <w:color w:val="000000"/>
                  <w:szCs w:val="24"/>
                  <w:bdr w:val="none" w:sz="0" w:space="0" w:color="auto" w:frame="1"/>
                  <w:lang w:bidi="en-US"/>
                </w:rPr>
                <w:t>, 3 lapai.</w:t>
              </w:r>
            </w:p>
          </w:sdtContent>
        </w:sdt>
        <w:sdt>
          <w:sdtPr>
            <w:alias w:val="2 p."/>
            <w:tag w:val="part_7dba6e288f264e879a3118100d1c541c"/>
            <w:lock w:val="sdtLocked"/>
            <w:richText/>
          </w:sdtPr>
          <w:sdtContent>
            <w:p>
              <w:pPr>
                <w:widowControl w:val="0"/>
                <w:suppressAutoHyphens/>
                <w:ind w:firstLine="567"/>
                <w:jc w:val="both"/>
                <w:rPr>
                  <w:rFonts w:eastAsia="Andale Sans UI"/>
                  <w:color w:val="000000"/>
                  <w:szCs w:val="24"/>
                  <w:bdr w:val="none" w:sz="0" w:space="0" w:color="auto" w:frame="1"/>
                  <w:lang w:bidi="en-US"/>
                </w:rPr>
              </w:pPr>
              <w:sdt>
                <w:sdtPr>
                  <w:alias w:val="Numeris"/>
                  <w:tag w:val="nr_7dba6e288f264e879a3118100d1c541c"/>
                  <w:lock w:val="sdtLocked"/>
                  <w:richText/>
                </w:sdtPr>
                <w:sdtContent>
                  <w:r>
                    <w:rPr>
                      <w:rFonts w:eastAsia="Andale Sans UI"/>
                      <w:color w:val="000000"/>
                      <w:szCs w:val="24"/>
                      <w:bdr w:val="none" w:sz="0" w:space="0" w:color="auto" w:frame="1"/>
                      <w:lang w:bidi="en-US"/>
                    </w:rPr>
                    <w:t>2</w:t>
                  </w:r>
                </w:sdtContent>
              </w:sdt>
              <w:r>
                <w:rPr>
                  <w:rFonts w:eastAsia="Andale Sans UI"/>
                  <w:color w:val="000000"/>
                  <w:szCs w:val="24"/>
                  <w:bdr w:val="none" w:sz="0" w:space="0" w:color="auto" w:frame="1"/>
                  <w:lang w:bidi="en-US"/>
                </w:rPr>
                <w:t xml:space="preserve">. Įsakymo pakeitimo projekto lyginamasis variantas, 5 lapai. </w:t>
              </w:r>
            </w:p>
            <w:p>
              <w:pPr>
                <w:widowControl w:val="0"/>
                <w:suppressAutoHyphens/>
                <w:ind w:firstLine="567"/>
                <w:jc w:val="both"/>
                <w:rPr>
                  <w:rFonts w:eastAsia="Andale Sans UI"/>
                  <w:strike/>
                  <w:color w:val="000000"/>
                  <w:szCs w:val="24"/>
                  <w:bdr w:val="none" w:sz="0" w:space="0" w:color="auto" w:frame="1"/>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r>
                      <w:rPr>
                        <w:rFonts w:eastAsia="Andale Sans UI" w:cs="Tahoma"/>
                        <w:szCs w:val="24"/>
                        <w:lang w:bidi="en-US"/>
                      </w:rPr>
                      <w:t xml:space="preserve">Aplinkos viceministrė </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Daiva Matusevičė</w:t>
                    </w:r>
                  </w:p>
                </w:tc>
              </w:tr>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br w:type="page"/>
                    </w: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p>
                    <w:pPr>
                      <w:suppressLineNumbers/>
                      <w:spacing w:line="276" w:lineRule="auto"/>
                      <w:jc w:val="both"/>
                      <w:rPr>
                        <w:rFonts w:eastAsia="Andale Sans UI" w:cs="Tahoma"/>
                        <w:szCs w:val="24"/>
                        <w:lang w:bidi="en-US"/>
                      </w:rPr>
                    </w:pPr>
                  </w:p>
                </w:tc>
                <w:tc>
                  <w:tcPr>
                    <w:tcW w:w="4826" w:type="dxa"/>
                    <w:vAlign w:val="bottom"/>
                  </w:tcPr>
                  <w:p>
                    <w:pPr>
                      <w:spacing w:line="276" w:lineRule="auto"/>
                      <w:ind w:right="34"/>
                      <w:jc w:val="right"/>
                      <w:rPr>
                        <w:rFonts w:eastAsia="Andale Sans UI" w:cs="Tahoma"/>
                        <w:szCs w:val="24"/>
                        <w:lang w:bidi="en-US"/>
                      </w:rPr>
                    </w:pPr>
                  </w:p>
                </w:tc>
              </w:tr>
              <w:tr>
                <w:trPr>
                  <w:cantSplit/>
                  <w:trHeight w:val="340"/>
                </w:trPr>
                <w:tc>
                  <w:tcPr>
                    <w:tcW w:w="9643" w:type="dxa"/>
                    <w:gridSpan w:val="2"/>
                  </w:tcPr>
                  <w:p>
                    <w:pPr>
                      <w:suppressLineNumbers/>
                      <w:tabs>
                        <w:tab w:val="center" w:pos="4800"/>
                        <w:tab w:val="right" w:pos="9601"/>
                      </w:tabs>
                      <w:rPr>
                        <w:rFonts w:eastAsia="Andale Sans UI" w:cs="Tahoma"/>
                        <w:color w:val="000080"/>
                        <w:szCs w:val="24"/>
                        <w:u w:val="single"/>
                        <w:lang w:bidi="en-US"/>
                      </w:rPr>
                    </w:pPr>
                    <w:r>
                      <w:rPr>
                        <w:rFonts w:eastAsia="Andale Sans UI" w:cs="Tahoma"/>
                        <w:szCs w:val="24"/>
                        <w:lang w:bidi="en-US"/>
                      </w:rPr>
                      <w:t xml:space="preserve">Aurimas Petniūnas, 8 616 23454, el. p. </w:t>
                    </w:r>
                    <w:r>
                      <w:rPr>
                        <w:rFonts w:eastAsia="Andale Sans UI" w:cs="Tahoma"/>
                        <w:color w:val="000080"/>
                        <w:szCs w:val="24"/>
                        <w:u w:val="single"/>
                        <w:lang w:bidi="en-US"/>
                      </w:rPr>
                      <w:t>aurimas.petniūnas@am.lt</w:t>
                    </w:r>
                  </w:p>
                  <w:p>
                    <w:pPr>
                      <w:rPr>
                        <w:rFonts w:eastAsia="Andale Sans UI" w:cs="Tahoma"/>
                        <w:sz w:val="18"/>
                        <w:szCs w:val="18"/>
                        <w:lang w:bidi="en-US"/>
                      </w:rPr>
                    </w:pPr>
                  </w:p>
                </w:tc>
              </w:tr>
            </w:tbl>
            <w:p>
              <w:pPr>
                <w:ind w:firstLine="567"/>
                <w:jc w:val="center"/>
                <w:rPr>
                  <w:rFonts w:eastAsia="Andale Sans UI" w:cs="Tahoma"/>
                  <w:b/>
                  <w:bCs/>
                  <w:szCs w:val="24"/>
                  <w:lang w:bidi="en-US"/>
                </w:rPr>
              </w:pPr>
            </w:p>
            <w:p>
              <w:pPr>
                <w:rPr>
                  <w:rFonts w:eastAsia="Andale Sans UI" w:cs="Tahoma"/>
                  <w:b/>
                  <w:bCs/>
                  <w:szCs w:val="24"/>
                  <w:lang w:bidi="en-US"/>
                </w:rPr>
              </w:pPr>
              <w:r>
                <w:rPr>
                  <w:rFonts w:eastAsia="Andale Sans UI" w:cs="Tahoma"/>
                  <w:b/>
                  <w:bCs/>
                  <w:szCs w:val="24"/>
                  <w:lang w:bidi="en-US"/>
                </w:rPr>
                <w:br w:type="page"/>
              </w:r>
            </w:p>
            <w:p>
              <w:pPr>
                <w:ind w:firstLine="567"/>
                <w:jc w:val="center"/>
                <w:rPr>
                  <w:rFonts w:eastAsia="Andale Sans UI" w:cs="Tahoma"/>
                  <w:b/>
                  <w:bCs/>
                  <w:szCs w:val="24"/>
                  <w:lang w:bidi="en-US"/>
                </w:rPr>
              </w:pPr>
              <w:r>
                <w:rPr>
                  <w:rFonts w:eastAsia="Andale Sans UI" w:cs="Tahoma"/>
                  <w:b/>
                  <w:bCs/>
                  <w:szCs w:val="24"/>
                  <w:lang w:bidi="en-US"/>
                </w:rPr>
                <w:t>LIETUVOS RESPUBLIKOS APLINKOS MINISTERIJOS</w:t>
              </w:r>
            </w:p>
            <w:p>
              <w:pPr>
                <w:ind w:firstLine="567"/>
                <w:jc w:val="center"/>
                <w:rPr>
                  <w:rFonts w:eastAsia="Andale Sans UI" w:cs="Tahoma"/>
                  <w:b/>
                  <w:bCs/>
                  <w:szCs w:val="24"/>
                  <w:lang w:bidi="en-US"/>
                </w:rPr>
              </w:pPr>
              <w:r>
                <w:rPr>
                  <w:rFonts w:eastAsia="Andale Sans UI" w:cs="Tahoma"/>
                  <w:b/>
                  <w:bCs/>
                  <w:szCs w:val="24"/>
                  <w:lang w:bidi="en-US"/>
                </w:rPr>
                <w:t xml:space="preserve">2023-03-   RAŠTO NR.</w:t>
              </w:r>
            </w:p>
            <w:p>
              <w:pPr>
                <w:ind w:firstLine="567"/>
                <w:jc w:val="center"/>
                <w:rPr>
                  <w:rFonts w:eastAsia="Andale Sans UI" w:cs="Tahoma"/>
                  <w:b/>
                  <w:bCs/>
                  <w:szCs w:val="24"/>
                  <w:lang w:bidi="en-US"/>
                </w:rPr>
              </w:pPr>
              <w:r>
                <w:rPr>
                  <w:rFonts w:eastAsia="Andale Sans UI" w:cs="Tahoma"/>
                  <w:b/>
                  <w:bCs/>
                  <w:szCs w:val="24"/>
                  <w:lang w:bidi="en-US"/>
                </w:rPr>
                <w:t>ADRESATŲ SĄRAŠAS</w:t>
              </w:r>
            </w:p>
            <w:p>
              <w:pPr>
                <w:ind w:firstLine="567"/>
                <w:jc w:val="center"/>
                <w:rPr>
                  <w:rFonts w:eastAsia="Andale Sans UI" w:cs="Tahoma"/>
                  <w:szCs w:val="24"/>
                  <w:lang w:bidi="en-US"/>
                </w:rPr>
              </w:pPr>
            </w:p>
            <w:p>
              <w:pPr>
                <w:ind w:firstLine="567"/>
                <w:rPr>
                  <w:rFonts w:eastAsia="Andale Sans UI" w:cs="Tahoma"/>
                  <w:szCs w:val="24"/>
                  <w:lang w:bidi="en-US"/>
                </w:rPr>
              </w:pPr>
              <w:r>
                <w:rPr>
                  <w:rFonts w:eastAsia="Andale Sans UI" w:cs="Tahoma"/>
                  <w:szCs w:val="24"/>
                  <w:lang w:bidi="en-US"/>
                </w:rPr>
                <w:t>Lietuvos architektų rūmai</w:t>
              </w:r>
            </w:p>
            <w:p>
              <w:pPr>
                <w:ind w:firstLine="567"/>
                <w:rPr>
                  <w:rFonts w:eastAsia="Andale Sans UI" w:cs="Tahoma"/>
                  <w:szCs w:val="24"/>
                  <w:lang w:bidi="en-US"/>
                </w:rPr>
              </w:pPr>
            </w:p>
            <w:p>
              <w:pPr>
                <w:ind w:firstLine="567"/>
                <w:rPr>
                  <w:rFonts w:eastAsia="Andale Sans UI" w:cs="Tahoma"/>
                  <w:szCs w:val="24"/>
                  <w:lang w:bidi="en-US"/>
                </w:rPr>
              </w:pPr>
              <w:r>
                <w:rPr>
                  <w:rFonts w:eastAsia="Andale Sans UI" w:cs="Tahoma"/>
                  <w:szCs w:val="24"/>
                  <w:lang w:bidi="en-US"/>
                </w:rPr>
                <w:t>Lietuvos architektų sąjunga</w:t>
              </w:r>
            </w:p>
            <w:p>
              <w:pPr>
                <w:ind w:firstLine="567"/>
                <w:rPr>
                  <w:rFonts w:eastAsia="Andale Sans UI" w:cs="Tahoma"/>
                  <w:szCs w:val="24"/>
                  <w:lang w:bidi="en-US"/>
                </w:rPr>
              </w:pPr>
            </w:p>
            <w:p>
              <w:pPr>
                <w:ind w:firstLine="567"/>
                <w:rPr>
                  <w:rFonts w:eastAsia="Andale Sans UI" w:cs="Tahoma"/>
                  <w:szCs w:val="24"/>
                  <w:lang w:bidi="en-US"/>
                </w:rPr>
              </w:pPr>
              <w:r>
                <w:rPr>
                  <w:rFonts w:eastAsia="Andale Sans UI" w:cs="Tahoma"/>
                  <w:szCs w:val="24"/>
                  <w:lang w:bidi="en-US"/>
                </w:rPr>
                <w:t>Lietuvos projektavimo įmonių asociacija</w:t>
              </w:r>
            </w:p>
            <w:p>
              <w:pPr>
                <w:ind w:firstLine="567"/>
                <w:rPr>
                  <w:rFonts w:eastAsia="Andale Sans UI" w:cs="Tahoma"/>
                  <w:szCs w:val="24"/>
                  <w:lang w:bidi="en-US"/>
                </w:rPr>
              </w:pPr>
            </w:p>
            <w:p>
              <w:pPr>
                <w:ind w:firstLine="567"/>
                <w:rPr>
                  <w:rFonts w:eastAsia="Andale Sans UI" w:cs="Tahoma"/>
                  <w:szCs w:val="24"/>
                  <w:lang w:bidi="en-US"/>
                </w:rPr>
              </w:pPr>
              <w:r>
                <w:rPr>
                  <w:rFonts w:eastAsia="Andale Sans UI" w:cs="Tahoma"/>
                  <w:szCs w:val="24"/>
                  <w:lang w:bidi="en-US"/>
                </w:rPr>
                <w:t>Smulkiųjų projektavimo įmonių asociacija</w:t>
              </w:r>
            </w:p>
            <w:p>
              <w:pPr>
                <w:ind w:firstLine="567"/>
                <w:rPr>
                  <w:rFonts w:eastAsia="Andale Sans UI" w:cs="Tahoma"/>
                  <w:szCs w:val="24"/>
                  <w:lang w:bidi="en-US"/>
                </w:rPr>
              </w:pPr>
            </w:p>
            <w:p>
              <w:pPr>
                <w:ind w:firstLine="567"/>
                <w:rPr>
                  <w:rFonts w:eastAsia="Andale Sans UI" w:cs="Tahoma"/>
                  <w:szCs w:val="24"/>
                  <w:lang w:bidi="en-US"/>
                </w:rPr>
              </w:pPr>
              <w:r>
                <w:rPr>
                  <w:rFonts w:eastAsia="Andale Sans UI" w:cs="Tahoma"/>
                  <w:szCs w:val="24"/>
                  <w:lang w:bidi="en-US"/>
                </w:rPr>
                <w:t>Lietuvos savivaldybių asociacija</w:t>
              </w:r>
            </w:p>
            <w:p>
              <w:pPr>
                <w:ind w:firstLine="567"/>
                <w:jc w:val="center"/>
                <w:rPr>
                  <w:rFonts w:eastAsia="Andale Sans UI" w:cs="Tahoma"/>
                  <w:szCs w:val="24"/>
                  <w:lang w:bidi="en-US"/>
                </w:rPr>
              </w:pPr>
            </w:p>
            <w:p>
              <w:pPr>
                <w:jc w:val="center"/>
                <w:rPr>
                  <w:rFonts w:eastAsia="Andale Sans UI" w:cs="Tahoma"/>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A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379904">
      <w:bodyDiv w:val="1"/>
      <w:marLeft w:val="0"/>
      <w:marRight w:val="0"/>
      <w:marTop w:val="0"/>
      <w:marBottom w:val="0"/>
      <w:divBdr>
        <w:top w:val="none" w:sz="0" w:space="0" w:color="auto"/>
        <w:left w:val="none" w:sz="0" w:space="0" w:color="auto"/>
        <w:bottom w:val="none" w:sz="0" w:space="0" w:color="auto"/>
        <w:right w:val="none" w:sz="0" w:space="0" w:color="auto"/>
      </w:divBdr>
    </w:div>
    <w:div w:id="185562915">
      <w:bodyDiv w:val="1"/>
      <w:marLeft w:val="0"/>
      <w:marRight w:val="0"/>
      <w:marTop w:val="0"/>
      <w:marBottom w:val="0"/>
      <w:divBdr>
        <w:top w:val="none" w:sz="0" w:space="0" w:color="auto"/>
        <w:left w:val="none" w:sz="0" w:space="0" w:color="auto"/>
        <w:bottom w:val="none" w:sz="0" w:space="0" w:color="auto"/>
        <w:right w:val="none" w:sz="0" w:space="0" w:color="auto"/>
      </w:divBdr>
    </w:div>
    <w:div w:id="249851194">
      <w:bodyDiv w:val="1"/>
      <w:marLeft w:val="0"/>
      <w:marRight w:val="0"/>
      <w:marTop w:val="0"/>
      <w:marBottom w:val="0"/>
      <w:divBdr>
        <w:top w:val="none" w:sz="0" w:space="0" w:color="auto"/>
        <w:left w:val="none" w:sz="0" w:space="0" w:color="auto"/>
        <w:bottom w:val="none" w:sz="0" w:space="0" w:color="auto"/>
        <w:right w:val="none" w:sz="0" w:space="0" w:color="auto"/>
      </w:divBdr>
      <w:divsChild>
        <w:div w:id="1117024454">
          <w:marLeft w:val="0"/>
          <w:marRight w:val="0"/>
          <w:marTop w:val="0"/>
          <w:marBottom w:val="0"/>
          <w:divBdr>
            <w:top w:val="none" w:sz="0" w:space="0" w:color="auto"/>
            <w:left w:val="none" w:sz="0" w:space="0" w:color="auto"/>
            <w:bottom w:val="none" w:sz="0" w:space="0" w:color="auto"/>
            <w:right w:val="none" w:sz="0" w:space="0" w:color="auto"/>
          </w:divBdr>
          <w:divsChild>
            <w:div w:id="1301418370">
              <w:marLeft w:val="0"/>
              <w:marRight w:val="0"/>
              <w:marTop w:val="0"/>
              <w:marBottom w:val="0"/>
              <w:divBdr>
                <w:top w:val="none" w:sz="0" w:space="0" w:color="auto"/>
                <w:left w:val="none" w:sz="0" w:space="0" w:color="auto"/>
                <w:bottom w:val="none" w:sz="0" w:space="0" w:color="auto"/>
                <w:right w:val="none" w:sz="0" w:space="0" w:color="auto"/>
              </w:divBdr>
              <w:divsChild>
                <w:div w:id="205488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317988">
      <w:bodyDiv w:val="1"/>
      <w:marLeft w:val="0"/>
      <w:marRight w:val="0"/>
      <w:marTop w:val="0"/>
      <w:marBottom w:val="0"/>
      <w:divBdr>
        <w:top w:val="none" w:sz="0" w:space="0" w:color="auto"/>
        <w:left w:val="none" w:sz="0" w:space="0" w:color="auto"/>
        <w:bottom w:val="none" w:sz="0" w:space="0" w:color="auto"/>
        <w:right w:val="none" w:sz="0" w:space="0" w:color="auto"/>
      </w:divBdr>
    </w:div>
    <w:div w:id="323365313">
      <w:bodyDiv w:val="1"/>
      <w:marLeft w:val="0"/>
      <w:marRight w:val="0"/>
      <w:marTop w:val="0"/>
      <w:marBottom w:val="0"/>
      <w:divBdr>
        <w:top w:val="none" w:sz="0" w:space="0" w:color="auto"/>
        <w:left w:val="none" w:sz="0" w:space="0" w:color="auto"/>
        <w:bottom w:val="none" w:sz="0" w:space="0" w:color="auto"/>
        <w:right w:val="none" w:sz="0" w:space="0" w:color="auto"/>
      </w:divBdr>
    </w:div>
    <w:div w:id="338389587">
      <w:bodyDiv w:val="1"/>
      <w:marLeft w:val="0"/>
      <w:marRight w:val="0"/>
      <w:marTop w:val="0"/>
      <w:marBottom w:val="0"/>
      <w:divBdr>
        <w:top w:val="none" w:sz="0" w:space="0" w:color="auto"/>
        <w:left w:val="none" w:sz="0" w:space="0" w:color="auto"/>
        <w:bottom w:val="none" w:sz="0" w:space="0" w:color="auto"/>
        <w:right w:val="none" w:sz="0" w:space="0" w:color="auto"/>
      </w:divBdr>
    </w:div>
    <w:div w:id="481578166">
      <w:bodyDiv w:val="1"/>
      <w:marLeft w:val="0"/>
      <w:marRight w:val="0"/>
      <w:marTop w:val="0"/>
      <w:marBottom w:val="0"/>
      <w:divBdr>
        <w:top w:val="none" w:sz="0" w:space="0" w:color="auto"/>
        <w:left w:val="none" w:sz="0" w:space="0" w:color="auto"/>
        <w:bottom w:val="none" w:sz="0" w:space="0" w:color="auto"/>
        <w:right w:val="none" w:sz="0" w:space="0" w:color="auto"/>
      </w:divBdr>
      <w:divsChild>
        <w:div w:id="1274630837">
          <w:marLeft w:val="0"/>
          <w:marRight w:val="0"/>
          <w:marTop w:val="0"/>
          <w:marBottom w:val="0"/>
          <w:divBdr>
            <w:top w:val="none" w:sz="0" w:space="0" w:color="auto"/>
            <w:left w:val="none" w:sz="0" w:space="0" w:color="auto"/>
            <w:bottom w:val="none" w:sz="0" w:space="0" w:color="auto"/>
            <w:right w:val="none" w:sz="0" w:space="0" w:color="auto"/>
          </w:divBdr>
        </w:div>
      </w:divsChild>
    </w:div>
    <w:div w:id="493229109">
      <w:bodyDiv w:val="1"/>
      <w:marLeft w:val="0"/>
      <w:marRight w:val="0"/>
      <w:marTop w:val="0"/>
      <w:marBottom w:val="0"/>
      <w:divBdr>
        <w:top w:val="none" w:sz="0" w:space="0" w:color="auto"/>
        <w:left w:val="none" w:sz="0" w:space="0" w:color="auto"/>
        <w:bottom w:val="none" w:sz="0" w:space="0" w:color="auto"/>
        <w:right w:val="none" w:sz="0" w:space="0" w:color="auto"/>
      </w:divBdr>
    </w:div>
    <w:div w:id="523399104">
      <w:bodyDiv w:val="1"/>
      <w:marLeft w:val="0"/>
      <w:marRight w:val="0"/>
      <w:marTop w:val="0"/>
      <w:marBottom w:val="0"/>
      <w:divBdr>
        <w:top w:val="none" w:sz="0" w:space="0" w:color="auto"/>
        <w:left w:val="none" w:sz="0" w:space="0" w:color="auto"/>
        <w:bottom w:val="none" w:sz="0" w:space="0" w:color="auto"/>
        <w:right w:val="none" w:sz="0" w:space="0" w:color="auto"/>
      </w:divBdr>
    </w:div>
    <w:div w:id="573317691">
      <w:bodyDiv w:val="1"/>
      <w:marLeft w:val="0"/>
      <w:marRight w:val="0"/>
      <w:marTop w:val="0"/>
      <w:marBottom w:val="0"/>
      <w:divBdr>
        <w:top w:val="none" w:sz="0" w:space="0" w:color="auto"/>
        <w:left w:val="none" w:sz="0" w:space="0" w:color="auto"/>
        <w:bottom w:val="none" w:sz="0" w:space="0" w:color="auto"/>
        <w:right w:val="none" w:sz="0" w:space="0" w:color="auto"/>
      </w:divBdr>
    </w:div>
    <w:div w:id="628048132">
      <w:bodyDiv w:val="1"/>
      <w:marLeft w:val="0"/>
      <w:marRight w:val="0"/>
      <w:marTop w:val="0"/>
      <w:marBottom w:val="0"/>
      <w:divBdr>
        <w:top w:val="none" w:sz="0" w:space="0" w:color="auto"/>
        <w:left w:val="none" w:sz="0" w:space="0" w:color="auto"/>
        <w:bottom w:val="none" w:sz="0" w:space="0" w:color="auto"/>
        <w:right w:val="none" w:sz="0" w:space="0" w:color="auto"/>
      </w:divBdr>
    </w:div>
    <w:div w:id="692539852">
      <w:bodyDiv w:val="1"/>
      <w:marLeft w:val="0"/>
      <w:marRight w:val="0"/>
      <w:marTop w:val="0"/>
      <w:marBottom w:val="0"/>
      <w:divBdr>
        <w:top w:val="none" w:sz="0" w:space="0" w:color="auto"/>
        <w:left w:val="none" w:sz="0" w:space="0" w:color="auto"/>
        <w:bottom w:val="none" w:sz="0" w:space="0" w:color="auto"/>
        <w:right w:val="none" w:sz="0" w:space="0" w:color="auto"/>
      </w:divBdr>
    </w:div>
    <w:div w:id="806702716">
      <w:bodyDiv w:val="1"/>
      <w:marLeft w:val="0"/>
      <w:marRight w:val="0"/>
      <w:marTop w:val="0"/>
      <w:marBottom w:val="0"/>
      <w:divBdr>
        <w:top w:val="none" w:sz="0" w:space="0" w:color="auto"/>
        <w:left w:val="none" w:sz="0" w:space="0" w:color="auto"/>
        <w:bottom w:val="none" w:sz="0" w:space="0" w:color="auto"/>
        <w:right w:val="none" w:sz="0" w:space="0" w:color="auto"/>
      </w:divBdr>
    </w:div>
    <w:div w:id="826675047">
      <w:bodyDiv w:val="1"/>
      <w:marLeft w:val="0"/>
      <w:marRight w:val="0"/>
      <w:marTop w:val="0"/>
      <w:marBottom w:val="0"/>
      <w:divBdr>
        <w:top w:val="none" w:sz="0" w:space="0" w:color="auto"/>
        <w:left w:val="none" w:sz="0" w:space="0" w:color="auto"/>
        <w:bottom w:val="none" w:sz="0" w:space="0" w:color="auto"/>
        <w:right w:val="none" w:sz="0" w:space="0" w:color="auto"/>
      </w:divBdr>
    </w:div>
    <w:div w:id="846403826">
      <w:bodyDiv w:val="1"/>
      <w:marLeft w:val="0"/>
      <w:marRight w:val="0"/>
      <w:marTop w:val="0"/>
      <w:marBottom w:val="0"/>
      <w:divBdr>
        <w:top w:val="none" w:sz="0" w:space="0" w:color="auto"/>
        <w:left w:val="none" w:sz="0" w:space="0" w:color="auto"/>
        <w:bottom w:val="none" w:sz="0" w:space="0" w:color="auto"/>
        <w:right w:val="none" w:sz="0" w:space="0" w:color="auto"/>
      </w:divBdr>
    </w:div>
    <w:div w:id="1002119882">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324358029">
      <w:bodyDiv w:val="1"/>
      <w:marLeft w:val="0"/>
      <w:marRight w:val="0"/>
      <w:marTop w:val="0"/>
      <w:marBottom w:val="0"/>
      <w:divBdr>
        <w:top w:val="none" w:sz="0" w:space="0" w:color="auto"/>
        <w:left w:val="none" w:sz="0" w:space="0" w:color="auto"/>
        <w:bottom w:val="none" w:sz="0" w:space="0" w:color="auto"/>
        <w:right w:val="none" w:sz="0" w:space="0" w:color="auto"/>
      </w:divBdr>
      <w:divsChild>
        <w:div w:id="668991803">
          <w:marLeft w:val="0"/>
          <w:marRight w:val="0"/>
          <w:marTop w:val="0"/>
          <w:marBottom w:val="0"/>
          <w:divBdr>
            <w:top w:val="none" w:sz="0" w:space="0" w:color="auto"/>
            <w:left w:val="none" w:sz="0" w:space="0" w:color="auto"/>
            <w:bottom w:val="none" w:sz="0" w:space="0" w:color="auto"/>
            <w:right w:val="none" w:sz="0" w:space="0" w:color="auto"/>
          </w:divBdr>
        </w:div>
        <w:div w:id="1026177953">
          <w:marLeft w:val="0"/>
          <w:marRight w:val="0"/>
          <w:marTop w:val="0"/>
          <w:marBottom w:val="0"/>
          <w:divBdr>
            <w:top w:val="none" w:sz="0" w:space="0" w:color="auto"/>
            <w:left w:val="none" w:sz="0" w:space="0" w:color="auto"/>
            <w:bottom w:val="none" w:sz="0" w:space="0" w:color="auto"/>
            <w:right w:val="none" w:sz="0" w:space="0" w:color="auto"/>
          </w:divBdr>
        </w:div>
      </w:divsChild>
    </w:div>
    <w:div w:id="1383865043">
      <w:bodyDiv w:val="1"/>
      <w:marLeft w:val="0"/>
      <w:marRight w:val="0"/>
      <w:marTop w:val="0"/>
      <w:marBottom w:val="0"/>
      <w:divBdr>
        <w:top w:val="none" w:sz="0" w:space="0" w:color="auto"/>
        <w:left w:val="none" w:sz="0" w:space="0" w:color="auto"/>
        <w:bottom w:val="none" w:sz="0" w:space="0" w:color="auto"/>
        <w:right w:val="none" w:sz="0" w:space="0" w:color="auto"/>
      </w:divBdr>
    </w:div>
    <w:div w:id="1645885847">
      <w:bodyDiv w:val="1"/>
      <w:marLeft w:val="0"/>
      <w:marRight w:val="0"/>
      <w:marTop w:val="0"/>
      <w:marBottom w:val="0"/>
      <w:divBdr>
        <w:top w:val="none" w:sz="0" w:space="0" w:color="auto"/>
        <w:left w:val="none" w:sz="0" w:space="0" w:color="auto"/>
        <w:bottom w:val="none" w:sz="0" w:space="0" w:color="auto"/>
        <w:right w:val="none" w:sz="0" w:space="0" w:color="auto"/>
      </w:divBdr>
    </w:div>
    <w:div w:id="1664702835">
      <w:bodyDiv w:val="1"/>
      <w:marLeft w:val="0"/>
      <w:marRight w:val="0"/>
      <w:marTop w:val="0"/>
      <w:marBottom w:val="0"/>
      <w:divBdr>
        <w:top w:val="none" w:sz="0" w:space="0" w:color="auto"/>
        <w:left w:val="none" w:sz="0" w:space="0" w:color="auto"/>
        <w:bottom w:val="none" w:sz="0" w:space="0" w:color="auto"/>
        <w:right w:val="none" w:sz="0" w:space="0" w:color="auto"/>
      </w:divBdr>
    </w:div>
    <w:div w:id="1758134969">
      <w:bodyDiv w:val="1"/>
      <w:marLeft w:val="0"/>
      <w:marRight w:val="0"/>
      <w:marTop w:val="0"/>
      <w:marBottom w:val="0"/>
      <w:divBdr>
        <w:top w:val="none" w:sz="0" w:space="0" w:color="auto"/>
        <w:left w:val="none" w:sz="0" w:space="0" w:color="auto"/>
        <w:bottom w:val="none" w:sz="0" w:space="0" w:color="auto"/>
        <w:right w:val="none" w:sz="0" w:space="0" w:color="auto"/>
      </w:divBdr>
    </w:div>
    <w:div w:id="1781409298">
      <w:bodyDiv w:val="1"/>
      <w:marLeft w:val="0"/>
      <w:marRight w:val="0"/>
      <w:marTop w:val="0"/>
      <w:marBottom w:val="0"/>
      <w:divBdr>
        <w:top w:val="none" w:sz="0" w:space="0" w:color="auto"/>
        <w:left w:val="none" w:sz="0" w:space="0" w:color="auto"/>
        <w:bottom w:val="none" w:sz="0" w:space="0" w:color="auto"/>
        <w:right w:val="none" w:sz="0" w:space="0" w:color="auto"/>
      </w:divBdr>
    </w:div>
    <w:div w:id="1873759195">
      <w:bodyDiv w:val="1"/>
      <w:marLeft w:val="0"/>
      <w:marRight w:val="0"/>
      <w:marTop w:val="0"/>
      <w:marBottom w:val="0"/>
      <w:divBdr>
        <w:top w:val="none" w:sz="0" w:space="0" w:color="auto"/>
        <w:left w:val="none" w:sz="0" w:space="0" w:color="auto"/>
        <w:bottom w:val="none" w:sz="0" w:space="0" w:color="auto"/>
        <w:right w:val="none" w:sz="0" w:space="0" w:color="auto"/>
      </w:divBdr>
    </w:div>
    <w:div w:id="1924994084">
      <w:bodyDiv w:val="1"/>
      <w:marLeft w:val="0"/>
      <w:marRight w:val="0"/>
      <w:marTop w:val="0"/>
      <w:marBottom w:val="0"/>
      <w:divBdr>
        <w:top w:val="none" w:sz="0" w:space="0" w:color="auto"/>
        <w:left w:val="none" w:sz="0" w:space="0" w:color="auto"/>
        <w:bottom w:val="none" w:sz="0" w:space="0" w:color="auto"/>
        <w:right w:val="none" w:sz="0" w:space="0" w:color="auto"/>
      </w:divBdr>
    </w:div>
    <w:div w:id="2030371226">
      <w:bodyDiv w:val="1"/>
      <w:marLeft w:val="0"/>
      <w:marRight w:val="0"/>
      <w:marTop w:val="0"/>
      <w:marBottom w:val="0"/>
      <w:divBdr>
        <w:top w:val="none" w:sz="0" w:space="0" w:color="auto"/>
        <w:left w:val="none" w:sz="0" w:space="0" w:color="auto"/>
        <w:bottom w:val="none" w:sz="0" w:space="0" w:color="auto"/>
        <w:right w:val="none" w:sz="0" w:space="0" w:color="auto"/>
      </w:divBdr>
    </w:div>
    <w:div w:id="20371210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Edvardas Minkevičius</DisplayName>
        <AccountId>311</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d019be5fc8d94935b70dbca5be6dd2fc" PartId="c2be1ed533a44ba9beeae4c3ba55bd71"/>
  <Part Type="pastraipa" DocPartId="3734d78af0a1416bbeb8886eac799b50" PartId="4e39a1e911514de6b6b92f7750dcec52"/>
  <Part Type="pastraipa" DocPartId="ee78afcd02e14441ae3566d9dc51af75" PartId="db58cca642a04056ae40b2352fab51d3"/>
  <Part Type="pastraipa" DocPartId="acc910826fa645c588d45c2960b820fa" PartId="233b0c39586245b3a280e9e2d3941fbd"/>
  <Part Type="pastraipa" DocPartId="ecc1bee7deac4a33b03e3b4aca6415ea" PartId="36cd6ce2f0904b1d9b4db92c28955f09"/>
  <Part Type="pastraipa" DocPartId="c38124ac51a94ceb95ab704adbde45c9" PartId="709308b6494a459e9fc41f31764cdd6c"/>
  <Part Type="pastraipa" DocPartId="6c38390a229940a482233419ecab74c1" PartId="46e2a09a93804e79901bddb52fe9565f"/>
  <Part Type="pastraipa" DocPartId="8d8bf2dfdb2240afa76e34a8cd25cff5" PartId="3c486c5f849f4dcaac0389cc505a12f3"/>
  <Part Type="pastraipa" DocPartId="4d6af336c0c84eb09131300aad607720" PartId="36eeed26abb54e198959df324007515c"/>
  <Part Type="pastraipa" DocPartId="9f90fc20c62a495da88f2bf67431366c" PartId="a1c6c8b7a2c24711b782c28adf31baa9"/>
  <Part Type="pastraipa" DocPartId="97387fea4f3a436a8bfd76de579bb69f" PartId="05fb69435ea64258b74e45af7fb88380">
    <Part Type="punktas" Nr="1" Abbr="1 p." DocPartId="247b5bb28b8f4b5296b212b01cef761c" PartId="5ff835c44f6a496fa454a8e3ee7d1299"/>
    <Part Type="punktas" Nr="2" Abbr="2 p." DocPartId="43cf50e519d64c46acd03be14adeb99c" PartId="7dba6e288f264e879a3118100d1c541c"/>
  </Part>
</Parts>
</file>

<file path=customXml/itemProps1.xml><?xml version="1.0" encoding="utf-8"?>
<ds:datastoreItem xmlns:ds="http://schemas.openxmlformats.org/officeDocument/2006/customXml" ds:itemID="{D1C639AE-F074-4349-99A2-674868C6A1A5}">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2.xml><?xml version="1.0" encoding="utf-8"?>
<ds:datastoreItem xmlns:ds="http://schemas.openxmlformats.org/officeDocument/2006/customXml" ds:itemID="{DC3AA51E-0D11-4AD2-8F0E-9D5FD3693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B64CAF-5D97-4D35-B1B0-703B3B317509}">
  <ds:schemaRefs>
    <ds:schemaRef ds:uri="http://schemas.microsoft.com/sharepoint/v3/contenttype/forms"/>
  </ds:schemaRefs>
</ds:datastoreItem>
</file>

<file path=customXml/itemProps4.xml><?xml version="1.0" encoding="utf-8"?>
<ds:datastoreItem xmlns:ds="http://schemas.openxmlformats.org/officeDocument/2006/customXml" ds:itemID="{3DB6329F-39B3-4F8F-A33E-0A9709E8014A}">
  <ds:schemaRefs>
    <ds:schemaRef ds:uri="http://schemas.openxmlformats.org/officeDocument/2006/bibliography"/>
  </ds:schemaRefs>
</ds:datastoreItem>
</file>

<file path=customXml/itemProps5.xml><?xml version="1.0" encoding="utf-8"?>
<ds:datastoreItem xmlns:ds="http://schemas.openxmlformats.org/officeDocument/2006/customXml" ds:itemID="{6A3679F4-67E1-4B32-8DBB-07247F634D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541</Words>
  <Characters>4011</Characters>
  <Application>Microsoft Office Word</Application>
  <DocSecurity>4</DocSecurity>
  <Lines>125</Lines>
  <Paragraphs>36</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4516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2023-04-03T05:37:00Z</dcterms:created>
  <dcterms:modified xsi:type="dcterms:W3CDTF">2023-04-03T05:37:00Z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