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ef06e4baec4853964540a8f18b3ab4"/>
        <w:lock w:val="sdtLocked"/>
        <w:richText/>
      </w:sdtPr>
      <w:sdtContent>
        <w:p w14:paraId="1F17D4D9" w14:textId="77777777">
          <w:pPr>
            <w:tabs>
              <w:tab w:val="center" w:pos="4153"/>
              <w:tab w:val="right" w:pos="8306"/>
            </w:tabs>
            <w:rPr>
              <w:lang w:val="x-none" w:eastAsia="x-none"/>
            </w:rPr>
          </w:pPr>
        </w:p>
        <w:p w14:paraId="1FDEC4BA" w14:textId="77777777">
          <w:pPr>
            <w:jc w:val="center"/>
            <w:rPr>
              <w:b/>
              <w:bCs/>
              <w:lang w:eastAsia="x-none"/>
            </w:rPr>
          </w:pPr>
          <w:r>
            <w:rPr>
              <w:b/>
              <w:bCs/>
              <w:szCs w:val="24"/>
              <w:lang w:eastAsia="x-none"/>
            </w:rPr>
            <w:t>AIŠKINAMASIS RAŠTAS</w:t>
          </w:r>
        </w:p>
        <w:p w14:paraId="402DE0D2" w14:textId="77777777">
          <w:pPr>
            <w:jc w:val="center"/>
            <w:rPr>
              <w:b/>
              <w:bCs/>
              <w:sz w:val="20"/>
              <w:lang w:eastAsia="x-none"/>
            </w:rPr>
          </w:pPr>
        </w:p>
        <w:p w14:paraId="3B16BC8B" w14:textId="1896F15F">
          <w:pPr>
            <w:jc w:val="center"/>
            <w:rPr>
              <w:b/>
              <w:bCs/>
              <w:lang w:val="x-none" w:eastAsia="x-none"/>
            </w:rPr>
          </w:pPr>
          <w:r>
            <w:rPr>
              <w:b/>
              <w:bCs/>
              <w:szCs w:val="24"/>
              <w:lang w:eastAsia="x-none"/>
            </w:rPr>
            <w:t xml:space="preserve">DĖL </w:t>
          </w:r>
          <w:r>
            <w:rPr>
              <w:b/>
              <w:bCs/>
              <w:szCs w:val="24"/>
              <w:lang w:val="x-none" w:eastAsia="x-none"/>
            </w:rPr>
            <w:t xml:space="preserve">ŠIAULIŲ MIESTO SAVIVALDYBĖS </w:t>
          </w:r>
          <w:r>
            <w:rPr>
              <w:b/>
              <w:bCs/>
              <w:szCs w:val="24"/>
              <w:lang w:eastAsia="x-none"/>
            </w:rPr>
            <w:t>2024 METŲ BIUDŽETO ĮVYKDYMO ATASKAITOS</w:t>
          </w:r>
        </w:p>
        <w:p w14:paraId="724BFBAE" w14:textId="77777777">
          <w:pPr>
            <w:jc w:val="center"/>
            <w:rPr>
              <w:sz w:val="20"/>
            </w:rPr>
          </w:pPr>
        </w:p>
        <w:p w14:paraId="68034496" w14:textId="77777777">
          <w:pPr>
            <w:jc w:val="center"/>
          </w:pPr>
          <w:r>
            <w:rPr>
              <w:szCs w:val="24"/>
            </w:rPr>
            <w:t>PAJAMOS</w:t>
          </w:r>
        </w:p>
        <w:p w14:paraId="606B0A6D" w14:textId="77777777">
          <w:pPr>
            <w:jc w:val="both"/>
            <w:rPr>
              <w:sz w:val="20"/>
            </w:rPr>
          </w:pPr>
        </w:p>
        <w:sdt>
          <w:sdtPr>
            <w:alias w:val="preambule"/>
            <w:tag w:val="part_920a4d83051c41a9a7b098b82c1b8c8e"/>
            <w:lock w:val="sdtLocked"/>
            <w:richText/>
          </w:sdtPr>
          <w:sdtContent>
            <w:p w14:paraId="057BF2EF" w14:textId="3DF769C1">
              <w:pPr>
                <w:ind w:firstLine="567"/>
                <w:jc w:val="both"/>
              </w:pPr>
              <w:r>
                <w:rPr>
                  <w:szCs w:val="24"/>
                </w:rPr>
                <w:t xml:space="preserve">2024 metų Šiaulių miesto savivaldybės biudžeto pajamų planas iš mokesčių, dotacijų, kitų ir turto realizavimo pajamų įvykdytas 102,2 proc., planuota gauti 242 027,6 tūkst. Eur pajamų, gauta – 247 255,6 tūkst. Eur, t.y. gauta daugiau 5 228,0 tūkst. Eur. </w:t>
              </w:r>
            </w:p>
          </w:sdtContent>
        </w:sdt>
        <w:sdt>
          <w:sdtPr>
            <w:alias w:val="pastraipa"/>
            <w:tag w:val="part_7d37e612e7a24bf9b09e8d56ff9aa57d"/>
            <w:lock w:val="sdtLocked"/>
            <w:richText/>
          </w:sdtPr>
          <w:sdtContent>
            <w:p w14:paraId="7F236D8C" w14:textId="3794B72D">
              <w:pPr>
                <w:ind w:firstLine="567"/>
                <w:jc w:val="both"/>
              </w:pPr>
              <w:r>
                <w:rPr>
                  <w:szCs w:val="24"/>
                </w:rPr>
                <w:t xml:space="preserve">Mokesčių planas įvykdytas 107,4 proc., planuota gauti 108 364,0 tūkst. Eur, gauta – 116 372,7 tūkst. Eur, t.y.: gauta 8 008,7 tūkst. Eur daugiau (t. sk. 7 563,5 tūkst. Eur gyventojų pajamų mokesčio, turto – 323,5 tūkst. Eur, prekių ir paslaugų mokesčių – 121,7 tūkst. Eur). 2024 m. tarybos sprendimais suteikta mokesčių lengvatų – iš viso 683,4 tūkst. Eur, iš jų, nekilnojamojo turto mokesčio – 468,6 tūkst. Eur, valstybinės žemės nuomos mokesčio – 209,7 tūkst. Eur, žemės mokesčio – 5,1 tūkst. Eur (t.sk. rėmusiems sportą, švietimą, kultūrą – 613,8 tūkst. Eur, iš jų: žemės mokesčio – 5,1 tūkst. Eur, valstybinės žemės nuomos mokesčio – 147,1 tūkst. Eur, nekilnojamojo turto mokesčio – 461,6 tūkst. Eur). </w:t>
              </w:r>
            </w:p>
            <w:p w14:paraId="0D2E92F1" w14:textId="02B615AE">
              <w:pPr>
                <w:ind w:firstLine="567"/>
                <w:jc w:val="both"/>
                <w:rPr>
                  <w:lang w:eastAsia="x-none"/>
                </w:rPr>
              </w:pPr>
              <w:r>
                <w:rPr>
                  <w:szCs w:val="24"/>
                  <w:lang w:val="x-none" w:eastAsia="x-none"/>
                </w:rPr>
                <w:t xml:space="preserve">Dotacijų planas sudarė </w:t>
              </w:r>
              <w:r>
                <w:rPr>
                  <w:szCs w:val="24"/>
                  <w:lang w:eastAsia="x-none"/>
                </w:rPr>
                <w:t>115 990,8 tūkst. Eur</w:t>
              </w:r>
              <w:r>
                <w:rPr>
                  <w:szCs w:val="24"/>
                  <w:lang w:val="x-none" w:eastAsia="x-none"/>
                </w:rPr>
                <w:t xml:space="preserve">, įvykdymas – </w:t>
              </w:r>
              <w:r>
                <w:rPr>
                  <w:szCs w:val="24"/>
                  <w:lang w:eastAsia="x-none"/>
                </w:rPr>
                <w:t>111 401,8 tūkst. Eur. Pagal LR Finansų ministerijos nurodymą</w:t>
              </w:r>
              <w:r>
                <w:rPr>
                  <w:color w:val="FF0000"/>
                  <w:szCs w:val="24"/>
                  <w:lang w:eastAsia="x-none"/>
                </w:rPr>
                <w:t xml:space="preserve">  </w:t>
              </w:r>
              <w:r>
                <w:rPr>
                  <w:szCs w:val="24"/>
                  <w:lang w:eastAsia="x-none"/>
                </w:rPr>
                <w:t xml:space="preserve">ankstesniais metais patirtos ir ES kompensuotos lėšos – 2 448,8 tūkst. Eur –  pridėtos prie dotacijų iš ES, t.sk.:502,8 tūkst. Eur einamiesiems tikslams, 1 946,0 tūkst. Eur turtui įsigyti.</w:t>
              </w:r>
            </w:p>
            <w:p w14:paraId="4EC7DD6C" w14:textId="67BA8973">
              <w:pPr>
                <w:ind w:firstLine="567"/>
                <w:jc w:val="both"/>
                <w:rPr>
                  <w:lang w:eastAsia="x-none"/>
                </w:rPr>
              </w:pPr>
              <w:r>
                <w:rPr>
                  <w:szCs w:val="24"/>
                  <w:lang w:eastAsia="x-none"/>
                </w:rPr>
                <w:t>Kitų pajamų planuota gauti 16 492,8 tūkst. Eur, gauta 18 666,9 tūkst. Eur. Turto pajamų planas 1 381,0 tūkst. Eur, gauta 2 189,0 tūkst. Eur – 808,0 tūkst. Eur daugiau, t.sk. 690,4 tūkst. Eur sudaro palūkanos už indėlius bankuose. Pajamų už prekes ir paslaugas planas įvykdytas 106,8 proc., gauta daugiau nei planuota 975,5 tūkst. Eur, t.sk. 714,9 tūkst. Eur viršytas vietinių rinkliavų surinkimas, 189,3 tūkst. Eur pajamų už turto nuomą, 239,1 tūkst. Eur biudžetinių įstaigų pajamų už prekes ir paslaugas, tačiau negauta 174,8 tūkst. Eur įmokų už išlaikymą švietimo, socialinės apsaugos ir kitose įstaigose. Pajamų iš baudų surinkta 790,2 tūkst. Eur daugiau nei planuota.</w:t>
              </w:r>
            </w:p>
            <w:p w14:paraId="64866913" w14:textId="301E201A">
              <w:pPr>
                <w:ind w:firstLine="567"/>
                <w:jc w:val="both"/>
                <w:rPr>
                  <w:lang w:eastAsia="x-none"/>
                </w:rPr>
              </w:pPr>
              <w:r>
                <w:rPr>
                  <w:szCs w:val="24"/>
                  <w:lang w:val="x-none" w:eastAsia="x-none"/>
                </w:rPr>
                <w:t xml:space="preserve">Materialiojo ir nematerialiojo turto realizavimo pajamų </w:t>
              </w:r>
              <w:r>
                <w:rPr>
                  <w:szCs w:val="24"/>
                  <w:lang w:eastAsia="x-none"/>
                </w:rPr>
                <w:t xml:space="preserve">planas 1 180,0 tūkst. Eur, </w:t>
              </w:r>
              <w:r>
                <w:rPr>
                  <w:szCs w:val="24"/>
                  <w:lang w:val="x-none" w:eastAsia="x-none"/>
                </w:rPr>
                <w:t>gauta 810,5</w:t>
              </w:r>
              <w:r>
                <w:rPr>
                  <w:szCs w:val="24"/>
                  <w:lang w:eastAsia="x-none"/>
                </w:rPr>
                <w:t xml:space="preserve"> tūkst. Eur – 369,5 tūkst. Eur mažiau nei planuota.</w:t>
              </w:r>
            </w:p>
            <w:p w14:paraId="1379ECE0" w14:textId="308BD8A0">
              <w:pPr>
                <w:ind w:firstLine="567"/>
                <w:jc w:val="both"/>
                <w:rPr>
                  <w:lang w:val="x-none" w:eastAsia="x-none"/>
                </w:rPr>
              </w:pPr>
              <w:r>
                <w:rPr>
                  <w:szCs w:val="24"/>
                  <w:lang w:eastAsia="x-none"/>
                </w:rPr>
                <w:t>Į valstybės biudžetą grą</w:t>
              </w:r>
              <w:r>
                <w:rPr>
                  <w:szCs w:val="24"/>
                  <w:lang w:val="x-none" w:eastAsia="x-none"/>
                </w:rPr>
                <w:t xml:space="preserve">žintos </w:t>
              </w:r>
              <w:r>
                <w:rPr>
                  <w:szCs w:val="24"/>
                  <w:lang w:eastAsia="x-none"/>
                </w:rPr>
                <w:t xml:space="preserve">2024 m. </w:t>
              </w:r>
              <w:r>
                <w:rPr>
                  <w:szCs w:val="24"/>
                  <w:lang w:val="x-none" w:eastAsia="x-none"/>
                </w:rPr>
                <w:t>nepanaudotos dotacijos</w:t>
              </w:r>
              <w:r>
                <w:rPr>
                  <w:szCs w:val="24"/>
                  <w:lang w:eastAsia="x-none"/>
                </w:rPr>
                <w:t xml:space="preserve"> – 779 828,69 Eur, iš jų</w:t>
              </w:r>
              <w:r>
                <w:rPr>
                  <w:szCs w:val="24"/>
                  <w:lang w:val="x-none" w:eastAsia="x-none"/>
                </w:rPr>
                <w:t>:</w:t>
              </w:r>
            </w:p>
          </w:sdtContent>
        </w:sdt>
        <w:sdt>
          <w:sdtPr>
            <w:alias w:val="1 pp."/>
            <w:tag w:val="part_7a09ee1488384f51a7ba2c87b39b551a"/>
            <w:lock w:val="sdtLocked"/>
            <w:richText/>
          </w:sdtPr>
          <w:sdtContent>
            <w:p w14:paraId="054C0EBF" w14:textId="51DE565B">
              <w:pPr>
                <w:ind w:firstLine="567"/>
                <w:jc w:val="both"/>
                <w:rPr>
                  <w:lang w:eastAsia="x-none"/>
                </w:rPr>
              </w:pPr>
              <w:sdt>
                <w:sdtPr>
                  <w:alias w:val="Numeris"/>
                  <w:tag w:val="nr_7a09ee1488384f51a7ba2c87b39b551a"/>
                  <w:lock w:val="sdtLocked"/>
                  <w:richText/>
                </w:sdtPr>
                <w:sdtContent>
                  <w:r>
                    <w:rPr>
                      <w:szCs w:val="24"/>
                      <w:lang w:val="x-none" w:eastAsia="x-none"/>
                    </w:rPr>
                    <w:t>1</w:t>
                  </w:r>
                </w:sdtContent>
              </w:sdt>
              <w:r>
                <w:rPr>
                  <w:szCs w:val="24"/>
                  <w:lang w:eastAsia="x-none"/>
                </w:rPr>
                <w:t>)</w:t>
              </w:r>
              <w:r>
                <w:rPr>
                  <w:szCs w:val="24"/>
                  <w:lang w:val="x-none" w:eastAsia="x-none"/>
                </w:rPr>
                <w:t xml:space="preserve"> Speciali tikslinė dotacija valstybinėms funkcijoms atlikti</w:t>
              </w:r>
              <w:r>
                <w:rPr>
                  <w:szCs w:val="24"/>
                  <w:lang w:eastAsia="x-none"/>
                </w:rPr>
                <w:t xml:space="preserve"> </w:t>
              </w:r>
              <w:r>
                <w:rPr>
                  <w:szCs w:val="24"/>
                  <w:lang w:val="x-none" w:eastAsia="x-none"/>
                </w:rPr>
                <w:t>– 349</w:t>
              </w:r>
              <w:r>
                <w:rPr>
                  <w:szCs w:val="24"/>
                  <w:lang w:eastAsia="x-none"/>
                </w:rPr>
                <w:t> 093,56 Eur, iš jų:</w:t>
              </w:r>
            </w:p>
            <w:p w14:paraId="3B18DC39" w14:textId="2E942B40">
              <w:pPr>
                <w:ind w:firstLine="567"/>
                <w:jc w:val="both"/>
                <w:rPr>
                  <w:lang w:eastAsia="x-none"/>
                </w:rPr>
              </w:pPr>
              <w:r>
                <w:rPr>
                  <w:szCs w:val="24"/>
                  <w:lang w:eastAsia="x-none"/>
                </w:rPr>
                <w:t>– 134</w:t>
              </w:r>
              <w:r>
                <w:rPr>
                  <w:color w:val="000000"/>
                  <w:szCs w:val="24"/>
                  <w:lang w:eastAsia="x-none"/>
                </w:rPr>
                <w:t> 650,02</w:t>
              </w:r>
              <w:r>
                <w:rPr>
                  <w:szCs w:val="24"/>
                  <w:lang w:eastAsia="x-none"/>
                </w:rPr>
                <w:t xml:space="preserve"> Eur socialinėms išmokoms ir kompensacijoms skaičiuoti ir mokėti (grąžinta 2024-12-31);</w:t>
              </w:r>
            </w:p>
            <w:p w14:paraId="008820E0" w14:textId="1386C036">
              <w:pPr>
                <w:ind w:firstLine="567"/>
                <w:jc w:val="both"/>
                <w:rPr>
                  <w:lang w:eastAsia="x-none"/>
                </w:rPr>
              </w:pPr>
              <w:r>
                <w:rPr>
                  <w:szCs w:val="24"/>
                  <w:lang w:eastAsia="x-none"/>
                </w:rPr>
                <w:t>– 16 335,13 Eur teikti paramą šeimoms ir asmenims būstui išsinuomoti (grąžinta 2024-12-31);</w:t>
              </w:r>
            </w:p>
            <w:p w14:paraId="0161EB86" w14:textId="13300EBB">
              <w:pPr>
                <w:ind w:firstLine="567"/>
                <w:jc w:val="both"/>
                <w:rPr>
                  <w:lang w:eastAsia="x-none"/>
                </w:rPr>
              </w:pPr>
              <w:r>
                <w:rPr>
                  <w:szCs w:val="24"/>
                  <w:lang w:eastAsia="x-none"/>
                </w:rPr>
                <w:t>– 13 094,20 Eur teikti socialinę paramą mokiniams (grąžinta 2024-12-31);</w:t>
              </w:r>
            </w:p>
            <w:p w14:paraId="2495255C" w14:textId="6D0BAC29">
              <w:pPr>
                <w:ind w:firstLine="567"/>
                <w:jc w:val="both"/>
                <w:rPr>
                  <w:szCs w:val="24"/>
                  <w:lang w:eastAsia="x-none"/>
                </w:rPr>
              </w:pPr>
              <w:r>
                <w:rPr>
                  <w:szCs w:val="24"/>
                  <w:lang w:eastAsia="x-none"/>
                </w:rPr>
                <w:t>– 174 299,51 Eur socialinėms paslaugoms finansuoti (grąžinta 2024-12-31);</w:t>
              </w:r>
            </w:p>
            <w:p w14:paraId="63B5194B" w14:textId="542E309E">
              <w:pPr>
                <w:ind w:firstLine="567"/>
                <w:jc w:val="both"/>
                <w:rPr>
                  <w:szCs w:val="24"/>
                  <w:lang w:eastAsia="x-none"/>
                </w:rPr>
              </w:pPr>
              <w:r>
                <w:rPr>
                  <w:szCs w:val="24"/>
                  <w:lang w:eastAsia="x-none"/>
                </w:rPr>
                <w:t>– 6 181,29 Eur jaunimo teisių apsaugai (grąžinta 2024-12-31);</w:t>
              </w:r>
            </w:p>
            <w:p w14:paraId="36777845" w14:textId="02F92807">
              <w:pPr>
                <w:ind w:firstLine="567"/>
                <w:jc w:val="both"/>
                <w:rPr>
                  <w:szCs w:val="24"/>
                  <w:lang w:eastAsia="x-none"/>
                </w:rPr>
              </w:pPr>
              <w:r>
                <w:rPr>
                  <w:szCs w:val="24"/>
                  <w:lang w:eastAsia="x-none"/>
                </w:rPr>
                <w:t>– 20,18 Eur tarpinstitucinio bendradarbiavimo pareigybei (grąžinta 2024-12-31);</w:t>
              </w:r>
            </w:p>
            <w:p w14:paraId="56D00B0C" w14:textId="00C47F22">
              <w:pPr>
                <w:ind w:firstLine="567"/>
                <w:jc w:val="both"/>
                <w:rPr>
                  <w:lang w:eastAsia="x-none"/>
                </w:rPr>
              </w:pPr>
              <w:r>
                <w:rPr>
                  <w:szCs w:val="24"/>
                  <w:lang w:eastAsia="x-none"/>
                </w:rPr>
                <w:t>– 4 513,23 Eur civilinei saugai organizuoti (grąžinta 2024-12-31).</w:t>
              </w:r>
            </w:p>
          </w:sdtContent>
        </w:sdt>
        <w:sdt>
          <w:sdtPr>
            <w:alias w:val="2 pp."/>
            <w:tag w:val="part_1193657c5cd14d9798fd7433cc9f98ed"/>
            <w:lock w:val="sdtLocked"/>
            <w:richText/>
          </w:sdtPr>
          <w:sdtContent>
            <w:p w14:paraId="0644C070" w14:textId="24A62250">
              <w:pPr>
                <w:ind w:firstLine="567"/>
                <w:jc w:val="both"/>
                <w:rPr>
                  <w:lang w:eastAsia="x-none"/>
                </w:rPr>
              </w:pPr>
              <w:sdt>
                <w:sdtPr>
                  <w:alias w:val="Numeris"/>
                  <w:tag w:val="nr_1193657c5cd14d9798fd7433cc9f98ed"/>
                  <w:lock w:val="sdtLocked"/>
                  <w:richText/>
                </w:sdtPr>
                <w:sdtContent>
                  <w:r>
                    <w:rPr>
                      <w:szCs w:val="24"/>
                      <w:lang w:eastAsia="x-none"/>
                    </w:rPr>
                    <w:t>2</w:t>
                  </w:r>
                </w:sdtContent>
              </w:sdt>
              <w:r>
                <w:rPr>
                  <w:szCs w:val="24"/>
                  <w:lang w:eastAsia="x-none"/>
                </w:rPr>
                <w:t>)</w:t>
              </w:r>
              <w:r>
                <w:rPr>
                  <w:szCs w:val="24"/>
                  <w:lang w:val="x-none" w:eastAsia="x-none"/>
                </w:rPr>
                <w:t xml:space="preserve"> Speciali tikslinė dotacija ugdymo reikmėms finansuoti – 9 705,78</w:t>
              </w:r>
              <w:r>
                <w:rPr>
                  <w:szCs w:val="24"/>
                  <w:lang w:eastAsia="x-none"/>
                </w:rPr>
                <w:t xml:space="preserve"> Eur (Eur grąžinta 2024-12-30);</w:t>
              </w:r>
            </w:p>
          </w:sdtContent>
        </w:sdt>
        <w:sdt>
          <w:sdtPr>
            <w:alias w:val="3 pp."/>
            <w:tag w:val="part_07c4cd5ffa4347f68b66b501c650f8be"/>
            <w:lock w:val="sdtLocked"/>
            <w:richText/>
          </w:sdtPr>
          <w:sdtContent>
            <w:p w14:paraId="1697483B" w14:textId="0C53070E">
              <w:pPr>
                <w:ind w:firstLine="567"/>
                <w:jc w:val="both"/>
                <w:rPr>
                  <w:lang w:eastAsia="x-none"/>
                </w:rPr>
              </w:pPr>
              <w:sdt>
                <w:sdtPr>
                  <w:alias w:val="Numeris"/>
                  <w:tag w:val="nr_07c4cd5ffa4347f68b66b501c650f8be"/>
                  <w:lock w:val="sdtLocked"/>
                  <w:richText/>
                </w:sdtPr>
                <w:sdtContent>
                  <w:r>
                    <w:rPr>
                      <w:szCs w:val="24"/>
                      <w:lang w:eastAsia="x-none"/>
                    </w:rPr>
                    <w:t>3</w:t>
                  </w:r>
                </w:sdtContent>
              </w:sdt>
              <w:r>
                <w:rPr>
                  <w:szCs w:val="24"/>
                  <w:lang w:eastAsia="x-none"/>
                </w:rPr>
                <w:t>) Kitos tikslinės dotacijos – 421 029,35 Eur, iš jų:</w:t>
              </w:r>
            </w:p>
            <w:p w14:paraId="50090A0E" w14:textId="77777777">
              <w:pPr>
                <w:ind w:firstLine="567"/>
                <w:jc w:val="both"/>
                <w:rPr>
                  <w:szCs w:val="24"/>
                  <w:lang w:eastAsia="x-none"/>
                </w:rPr>
              </w:pPr>
              <w:r>
                <w:rPr>
                  <w:szCs w:val="24"/>
                  <w:lang w:eastAsia="x-none"/>
                </w:rPr>
                <w:t>– 3 377,00 Eur įtraukiam švietimui (grąžinta 2024-12-30);</w:t>
              </w:r>
            </w:p>
            <w:p w14:paraId="770BE881" w14:textId="77777777">
              <w:pPr>
                <w:ind w:firstLine="567"/>
                <w:jc w:val="both"/>
                <w:rPr>
                  <w:szCs w:val="24"/>
                  <w:lang w:eastAsia="x-none"/>
                </w:rPr>
              </w:pPr>
              <w:r>
                <w:rPr>
                  <w:szCs w:val="24"/>
                  <w:lang w:eastAsia="x-none"/>
                </w:rPr>
                <w:t>– 35,25 Eur bendruomeninei veiklai stiprinti (grąžinta 2024-12-30);</w:t>
              </w:r>
            </w:p>
            <w:p w14:paraId="1E83161D" w14:textId="77777777">
              <w:pPr>
                <w:ind w:firstLine="567"/>
                <w:jc w:val="both"/>
                <w:rPr>
                  <w:szCs w:val="24"/>
                  <w:lang w:eastAsia="x-none"/>
                </w:rPr>
              </w:pPr>
              <w:r>
                <w:rPr>
                  <w:szCs w:val="24"/>
                  <w:lang w:eastAsia="x-none"/>
                </w:rPr>
                <w:t>– 357,94 Eur spec.ugdymo pareigybei (grąžinta 2024-12-31);</w:t>
              </w:r>
            </w:p>
            <w:p w14:paraId="1F5EB92F" w14:textId="77777777">
              <w:pPr>
                <w:ind w:firstLine="567"/>
                <w:jc w:val="both"/>
                <w:rPr>
                  <w:szCs w:val="24"/>
                  <w:lang w:eastAsia="x-none"/>
                </w:rPr>
              </w:pPr>
              <w:r>
                <w:rPr>
                  <w:szCs w:val="24"/>
                  <w:lang w:eastAsia="x-none"/>
                </w:rPr>
                <w:t>– 39,00 Eur laidojimo pašalpoms mokėti (grąžinta 2024-12-31);</w:t>
              </w:r>
            </w:p>
            <w:p w14:paraId="0FBEA912" w14:textId="7DAF6FCE">
              <w:pPr>
                <w:ind w:firstLine="567"/>
                <w:jc w:val="both"/>
                <w:rPr>
                  <w:lang w:eastAsia="x-none"/>
                </w:rPr>
              </w:pPr>
              <w:r>
                <w:rPr>
                  <w:szCs w:val="24"/>
                  <w:lang w:eastAsia="x-none"/>
                </w:rPr>
                <w:t>– 356 115,54 Eur laikino atokvėpio paslaugoms teikti (grąžinta 2025-01-03);</w:t>
              </w:r>
            </w:p>
            <w:p w14:paraId="4F50A255" w14:textId="3207658E">
              <w:pPr>
                <w:ind w:firstLine="567"/>
                <w:jc w:val="both"/>
                <w:rPr>
                  <w:lang w:eastAsia="x-none"/>
                </w:rPr>
              </w:pPr>
              <w:r>
                <w:rPr>
                  <w:szCs w:val="24"/>
                  <w:lang w:eastAsia="x-none"/>
                </w:rPr>
                <w:t>– 0,50 Eur užsieniečių integracijai (grąžinta 2025-01-03);</w:t>
              </w:r>
            </w:p>
            <w:p w14:paraId="6E6993D2" w14:textId="0F6D6E17">
              <w:pPr>
                <w:ind w:firstLine="567"/>
                <w:jc w:val="both"/>
                <w:rPr>
                  <w:lang w:eastAsia="x-none"/>
                </w:rPr>
              </w:pPr>
              <w:r>
                <w:rPr>
                  <w:szCs w:val="24"/>
                  <w:lang w:eastAsia="x-none"/>
                </w:rPr>
                <w:t>– 16 152,88 Eur asmeninio asistento paslaugoms teikti (grąžinta 2025-01-03);</w:t>
              </w:r>
            </w:p>
            <w:p w14:paraId="282D534C" w14:textId="1FFD9665">
              <w:pPr>
                <w:ind w:firstLine="567"/>
                <w:jc w:val="both"/>
                <w:rPr>
                  <w:szCs w:val="24"/>
                  <w:lang w:eastAsia="x-none"/>
                </w:rPr>
              </w:pPr>
              <w:r>
                <w:rPr>
                  <w:szCs w:val="24"/>
                  <w:lang w:eastAsia="x-none"/>
                </w:rPr>
                <w:t>– 64,92 Eur bendruomeninei veiklai stiprinti (grąžinta 2025-01-03);</w:t>
              </w:r>
            </w:p>
            <w:p w14:paraId="6AB59848" w14:textId="7DB1D9CB">
              <w:pPr>
                <w:ind w:firstLine="567"/>
                <w:jc w:val="both"/>
                <w:rPr>
                  <w:szCs w:val="24"/>
                  <w:lang w:eastAsia="x-none"/>
                </w:rPr>
              </w:pPr>
              <w:r>
                <w:rPr>
                  <w:szCs w:val="24"/>
                  <w:lang w:eastAsia="x-none"/>
                </w:rPr>
                <w:t>– 3 471,00 Eur profesinio orientavimo paslaugoms teikti (grąžinta 2025-01-03);</w:t>
              </w:r>
            </w:p>
            <w:p w14:paraId="5909C1E8" w14:textId="5B00CF25">
              <w:pPr>
                <w:ind w:firstLine="567"/>
                <w:jc w:val="both"/>
                <w:rPr>
                  <w:szCs w:val="24"/>
                  <w:lang w:eastAsia="x-none"/>
                </w:rPr>
              </w:pPr>
              <w:r>
                <w:rPr>
                  <w:szCs w:val="24"/>
                  <w:lang w:eastAsia="x-none"/>
                </w:rPr>
                <w:t>– 31 608,34 Eur būsto pritaikymui neįgaliesiems (grąžinta 2025-01-03);</w:t>
              </w:r>
            </w:p>
            <w:p w14:paraId="1C84961F" w14:textId="32AD93B9">
              <w:pPr>
                <w:ind w:firstLine="567"/>
                <w:jc w:val="both"/>
                <w:rPr>
                  <w:lang w:eastAsia="x-none"/>
                </w:rPr>
              </w:pPr>
              <w:r>
                <w:rPr>
                  <w:szCs w:val="24"/>
                  <w:lang w:eastAsia="x-none"/>
                </w:rPr>
                <w:t>– 9 540,01 Eur socialinės reabilitacijos paslaugoms neįgaliesiems teikti (grąžinta 2025-01-03);</w:t>
              </w:r>
            </w:p>
            <w:p w14:paraId="4E4E2056" w14:textId="76D04280">
              <w:pPr>
                <w:ind w:firstLine="567"/>
                <w:jc w:val="both"/>
                <w:rPr>
                  <w:lang w:eastAsia="x-none"/>
                </w:rPr>
              </w:pPr>
              <w:r>
                <w:rPr>
                  <w:szCs w:val="24"/>
                  <w:lang w:eastAsia="x-none"/>
                </w:rPr>
                <w:t>– 135,40 Eur koordinatoriaus pareigybei (grąžinta 2025-01-03);</w:t>
              </w:r>
            </w:p>
            <w:p w14:paraId="1BC4C394" w14:textId="66DED887">
              <w:pPr>
                <w:ind w:firstLine="567"/>
                <w:jc w:val="both"/>
                <w:rPr>
                  <w:szCs w:val="24"/>
                  <w:lang w:eastAsia="x-none"/>
                </w:rPr>
              </w:pPr>
              <w:r>
                <w:rPr>
                  <w:szCs w:val="24"/>
                  <w:lang w:eastAsia="x-none"/>
                </w:rPr>
                <w:t>– 131,57 Eur pabėgėlių iš UA priėmimui ir integracijai (grąžinta 2024-01-07).</w:t>
              </w:r>
            </w:p>
            <w:p w14:paraId="0ED9163E" w14:textId="543BDB95">
              <w:pPr>
                <w:ind w:firstLine="567"/>
                <w:jc w:val="both"/>
                <w:rPr>
                  <w:lang w:eastAsia="x-none"/>
                </w:rPr>
              </w:pPr>
              <w:r>
                <w:rPr>
                  <w:szCs w:val="24"/>
                  <w:lang w:eastAsia="x-none"/>
                </w:rPr>
                <w:t>Per 2024 m. Šiaulių miesto savivaldybė pasirašė 1 kredito sutartį projektams finansuoti ir gavo 11 000,0 tūkst. Eur ilgalaikę paskolą.</w:t>
              </w:r>
            </w:p>
            <w:p w14:paraId="393704EB" w14:textId="77777777">
              <w:pPr>
                <w:jc w:val="both"/>
                <w:rPr>
                  <w:sz w:val="20"/>
                  <w:lang w:eastAsia="x-none"/>
                </w:rPr>
              </w:pPr>
            </w:p>
          </w:sdtContent>
        </w:sdt>
        <w:sdt>
          <w:sdtPr>
            <w:alias w:val="skirsnis"/>
            <w:tag w:val="part_c677f237722349daa991b4f8b3419855"/>
            <w:lock w:val="sdtLocked"/>
            <w:richText/>
          </w:sdtPr>
          <w:sdtContent>
            <w:p w14:paraId="0EC46E49" w14:textId="77777777">
              <w:pPr>
                <w:jc w:val="center"/>
                <w:rPr>
                  <w:bCs/>
                </w:rPr>
              </w:pPr>
              <w:sdt>
                <w:sdtPr>
                  <w:alias w:val="Pavadinimas"/>
                  <w:tag w:val="title_c677f237722349daa991b4f8b3419855"/>
                  <w:lock w:val="sdtLocked"/>
                  <w:richText/>
                </w:sdtPr>
                <w:sdtContent>
                  <w:r>
                    <w:rPr>
                      <w:bCs/>
                      <w:szCs w:val="24"/>
                    </w:rPr>
                    <w:t>IŠLAIDOS</w:t>
                  </w:r>
                </w:sdtContent>
              </w:sdt>
            </w:p>
            <w:p w14:paraId="20C7A1DD" w14:textId="77777777">
              <w:pPr>
                <w:ind w:firstLine="720"/>
                <w:jc w:val="both"/>
                <w:rPr>
                  <w:sz w:val="20"/>
                  <w:lang w:val="x-none" w:eastAsia="x-none"/>
                </w:rPr>
              </w:pPr>
            </w:p>
            <w:p w14:paraId="25996FBB" w14:textId="0C76FB07">
              <w:pPr>
                <w:ind w:firstLine="567"/>
                <w:jc w:val="both"/>
              </w:pPr>
              <w:r>
                <w:rPr>
                  <w:szCs w:val="24"/>
                </w:rPr>
                <w:t>2024 metų patikslintas Savivaldybės biudžeto išlaidų planas įvykdytas 89,2 proc. – planuota 285 447,8 tūkst. Eur išlaidų, įvykdyta – 254 734,7 tūkst. Eur.</w:t>
              </w:r>
            </w:p>
            <w:p w14:paraId="0A60279D" w14:textId="5F016797">
              <w:pPr>
                <w:ind w:firstLine="567"/>
                <w:jc w:val="both"/>
              </w:pPr>
              <w:r>
                <w:rPr>
                  <w:szCs w:val="24"/>
                </w:rPr>
                <w:t>2024 metų savivaldybės biudžeto išlaidos pagal valstybės funkcijų klasifikaciją:</w:t>
              </w:r>
            </w:p>
            <w:p w14:paraId="25DC5ADF" w14:textId="67620E5E">
              <w:pPr>
                <w:ind w:firstLine="567"/>
                <w:jc w:val="both"/>
              </w:pPr>
              <w:r>
                <w:rPr>
                  <w:szCs w:val="24"/>
                </w:rPr>
                <w:t>01 Bendros valstybės paslaugos (19 456,9 tūkst. Eur arba 7,7 proc., t. sk. paskolų grąžinimas 5 917,9 tūkst. Eur) – tai išlaidos savivaldybės administracijos, savivaldybės tarybos, savivaldybės kontrolieriaus tarnybos funkcijoms vykdyti. Didžiausią nepanaudotų lėšų dalį – 590,2 tūkst. Eur – sudaro institucijos išlaikymo išlaidos.</w:t>
              </w:r>
            </w:p>
            <w:p w14:paraId="1196F6A1" w14:textId="4704CAF9">
              <w:pPr>
                <w:ind w:firstLine="567"/>
                <w:jc w:val="both"/>
              </w:pPr>
              <w:r>
                <w:rPr>
                  <w:szCs w:val="24"/>
                </w:rPr>
                <w:t>02 Gynybos išlaidos (362,4 tūkst. Eur arba 0,1 proc.) – lėšos civilinei saugai organizuoti ir mobilizacijai administruoti.</w:t>
              </w:r>
            </w:p>
            <w:p w14:paraId="67803B41" w14:textId="060A7D8A">
              <w:pPr>
                <w:ind w:firstLine="567"/>
                <w:jc w:val="both"/>
              </w:pPr>
              <w:r>
                <w:rPr>
                  <w:szCs w:val="24"/>
                </w:rPr>
                <w:t>03 Viešosios tvarkos ir visuomenės apsaugos išlaidos (331,7 tūkst. Eur arba 0,1 proc.) – tai lėšos įgyvendinti prevencines programas ir užtikrinti vaizdo stebėjimo kamerų plėtrą bei funkcionalumą.</w:t>
              </w:r>
            </w:p>
            <w:p w14:paraId="7A93B47A" w14:textId="412EA153">
              <w:pPr>
                <w:ind w:firstLine="567"/>
                <w:jc w:val="both"/>
                <w:rPr>
                  <w:szCs w:val="24"/>
                </w:rPr>
              </w:pPr>
              <w:r>
                <w:rPr>
                  <w:szCs w:val="24"/>
                </w:rPr>
                <w:t>04 Ekonomikai skirtos lėšos (30 045,8 tūkst. Eur arba 11,8 proc.) – tai išlaidos teritorijų planavimui, keleivių vežimo vietiniais maršrutais išlaidų kompensavimui, žemės ūkio funkcijoms vykdyti, investicijų projektams finansuoti, kelių plėtrai ir gatvių priežiūrai. Daugiausia –2 071,2 tūkst. Eur – dėl projektavimo ir rangos darbų vėlavimo bei išskaidymo į etapus nepanaudotos lėšos, skirtos</w:t>
              </w:r>
              <w:r>
                <w:rPr>
                  <w:color w:val="000000"/>
                  <w:szCs w:val="24"/>
                </w:rPr>
                <w:t xml:space="preserve"> magistralinių gatvių suprojektavimo ir nutiesimo, remonto; miesto gatvių, šaligatvių, dviračių takų remontui. Dėl gauto didesnio nei planuota avanso nepanaudota 1 597,9 tūkst. Eur projektui „Darnaus judumo priemonių diegimas Šiaulių mieste“ įgyvendinti. Nepanaudota 1 097,3 tūkst. Eur lėšų, skirtų projektui „</w:t>
              </w:r>
              <w:r>
                <w:rPr>
                  <w:szCs w:val="24"/>
                </w:rPr>
                <w:t>Vystyti Šiaulių pramoninio parko ir Šiaulių laisvosios ekonominės zonos infrastruktūrą“.</w:t>
              </w:r>
            </w:p>
            <w:p w14:paraId="42C36D40" w14:textId="79F54905">
              <w:pPr>
                <w:ind w:firstLine="567"/>
                <w:jc w:val="both"/>
                <w:rPr>
                  <w:szCs w:val="24"/>
                </w:rPr>
              </w:pPr>
              <w:r>
                <w:rPr>
                  <w:szCs w:val="24"/>
                </w:rPr>
                <w:t>05 Aplinkos apsaugos išlaidos (10 879,6 tūkst. Eur arba 4,3</w:t>
              </w:r>
              <w:r>
                <w:rPr>
                  <w:color w:val="C9211E"/>
                  <w:szCs w:val="24"/>
                </w:rPr>
                <w:t xml:space="preserve"> </w:t>
              </w:r>
              <w:r>
                <w:rPr>
                  <w:szCs w:val="24"/>
                </w:rPr>
                <w:t>proc.) – išlaidos miesto tvarkymui, komunalinių atliekų tvarkymui, Aplinkos apsaugos specialiosios programos išlaidos.</w:t>
              </w:r>
            </w:p>
            <w:p w14:paraId="49BC402A" w14:textId="50029783">
              <w:pPr>
                <w:ind w:firstLine="567"/>
                <w:jc w:val="both"/>
                <w:rPr>
                  <w:szCs w:val="24"/>
                </w:rPr>
              </w:pPr>
              <w:r>
                <w:rPr>
                  <w:szCs w:val="24"/>
                </w:rPr>
                <w:t>06 Būsto ir komunalinio ūkio išlaidos (7 379,8 tūkst. Eur arba 2,9 proc.) – tai lėšos miesto infrastruktūros objektams tvarkyti ir prižiūrėti, nekilnojamojo turto valdymo išlaidos, lėšos savivaldybės vykdomiems investiciniams projektams. Daugiausiai lėšų – 981,6 tūkst. Eur – nepanaudota lėšų, skirtų projektui „Tankiai apgyvendintos Šiaulių miesto urbanizuotos teritorijos atgaivinimas, žalinimas ir funkcionalumo didinimas: kvartalo, kurį riboja Rasos g. ir Aukštabalio g. konversija ir pritaikymas bendruomenės poreikiams“ įgyvendinti.</w:t>
              </w:r>
            </w:p>
            <w:p w14:paraId="4C5FCC1B" w14:textId="5FFA4254">
              <w:pPr>
                <w:ind w:firstLine="567"/>
                <w:jc w:val="both"/>
              </w:pPr>
              <w:r>
                <w:rPr>
                  <w:szCs w:val="24"/>
                </w:rPr>
                <w:t>07 Sveikatos apsaugos išlaidos (3 131,6 tūkst. Eur arba 1,2 proc.) – Specialiosios bendruomenės sveikatinimo programos išlaidos, lėšos sveikatos įstaigų išlaikymui, projektams finansuoti, sveikatos priežiūros paslaugų teikimui ugdymo įstaigose. Dėl įvairių priežasčių nepanaudota 2 749,6 tūkst. Eur investiciniams projektams įgyvendinti.</w:t>
              </w:r>
            </w:p>
            <w:p w14:paraId="12260313" w14:textId="4DD8573D">
              <w:pPr>
                <w:ind w:firstLine="567"/>
                <w:jc w:val="both"/>
              </w:pPr>
              <w:r>
                <w:rPr>
                  <w:szCs w:val="24"/>
                </w:rPr>
                <w:t xml:space="preserve">08 Poilsiui, kultūrai ir religijai skirtos išlaidos (22 414,9 tūkst. Eur arba 8,8 proc.) – tai kultūros įstaigų išlaikymui skirtos lėšos, kultūros, nevyriausybinių organizacijų programų, jaunimo iniciatyvų finansavimo išlaidos, lėšos skirtos kultūros vertybių apsaugai ir investicijų projektams finansuoti. </w:t>
              </w:r>
            </w:p>
            <w:p w14:paraId="5750AC85" w14:textId="21EDA6BC">
              <w:pPr>
                <w:ind w:firstLine="567"/>
                <w:jc w:val="both"/>
              </w:pPr>
              <w:r>
                <w:rPr>
                  <w:szCs w:val="24"/>
                </w:rPr>
                <w:t xml:space="preserve">09 Švietimo išlaidos (129 662,8 tūkst. Eur arba 50,9 proc.) – lėšos ikimokyklinių įstaigų bendrojo lavinimo mokyklų, neformaliojo ugdymo įstaigų ir kitų švietimo įstaigų išlaikymui,  projektams finansuoti. Daugiausiai – 4 894,5 tūkst. Eur – nepanaudota švietimo įstaigų atnaujinimui ir modernizavimui numatytų lėšų. </w:t>
              </w:r>
            </w:p>
            <w:p w14:paraId="4CF74222" w14:textId="24FC507E">
              <w:pPr>
                <w:ind w:firstLine="567"/>
                <w:jc w:val="both"/>
              </w:pPr>
              <w:r>
                <w:rPr>
                  <w:szCs w:val="24"/>
                </w:rPr>
                <w:t>10 Socialinės apsaugos išlaidos (31 069,2 tūkst. Eur arba 12,2 proc.) – tai lėšos socialinei paramai – pašalpoms, išmokoms vaikams, kompensacijoms už šildymą ir vandenį, kitoms socialinėms išmokoms, projektams skirtos lėšos, lėšos socialinei paramai administruoti, socialinės paskirties įstaigų išlaikymui, transporto lengvatų kompensavimui. Dėl poreikio nebuvimo nepanaudota 1 437,9 tūkst. Eur valstybės garantuotos socialinės paramos tiekimui numatytų lėšų.</w:t>
              </w:r>
            </w:p>
            <w:p w14:paraId="44B0E7B2" w14:textId="77777777">
              <w:pPr>
                <w:ind w:firstLine="720"/>
                <w:jc w:val="both"/>
                <w:rPr>
                  <w:sz w:val="20"/>
                  <w:highlight w:val="yellow"/>
                </w:rPr>
              </w:pPr>
            </w:p>
          </w:sdtContent>
        </w:sdt>
        <w:sdt>
          <w:sdtPr>
            <w:alias w:val="skirsnis"/>
            <w:tag w:val="part_a35a1c769ca44b61b6dd5327dbe8cd5f"/>
            <w:lock w:val="sdtLocked"/>
            <w:richText/>
          </w:sdtPr>
          <w:sdtContent>
            <w:p w14:paraId="51B56D3B" w14:textId="77777777">
              <w:pPr>
                <w:jc w:val="center"/>
                <w:rPr>
                  <w:bCs/>
                </w:rPr>
              </w:pPr>
              <w:sdt>
                <w:sdtPr>
                  <w:alias w:val="Pavadinimas"/>
                  <w:tag w:val="title_a35a1c769ca44b61b6dd5327dbe8cd5f"/>
                  <w:lock w:val="sdtLocked"/>
                  <w:richText/>
                </w:sdtPr>
                <w:sdtContent>
                  <w:r>
                    <w:rPr>
                      <w:bCs/>
                      <w:szCs w:val="24"/>
                    </w:rPr>
                    <w:t>SAVIVALDYBĖS MOKĖTINOS SUMOS, PASKOLOS</w:t>
                  </w:r>
                </w:sdtContent>
              </w:sdt>
            </w:p>
            <w:p w14:paraId="0999DFC4" w14:textId="77777777">
              <w:pPr>
                <w:tabs>
                  <w:tab w:val="center" w:pos="5049"/>
                </w:tabs>
                <w:ind w:firstLine="567"/>
                <w:jc w:val="both"/>
                <w:rPr>
                  <w:lang w:val="x-none" w:eastAsia="x-none"/>
                </w:rPr>
              </w:pPr>
            </w:p>
            <w:p w14:paraId="11D3023A" w14:textId="77777777">
              <w:pPr>
                <w:tabs>
                  <w:tab w:val="center" w:pos="5049"/>
                </w:tabs>
                <w:ind w:firstLine="567"/>
                <w:jc w:val="both"/>
                <w:rPr>
                  <w:lang w:eastAsia="x-none"/>
                </w:rPr>
              </w:pPr>
              <w:r>
                <w:rPr>
                  <w:lang w:eastAsia="x-none"/>
                </w:rPr>
                <w:t>Šiaulių miesto savivaldybės biudžeto mokėtinos sumos 2024 m. gruodžio 31 d. sudarė 26 136,4 tūkst. Eur, iš jų: paskolos – 24 344,9 tūkst. Eur, įsiskolinimas darbo užmokesčiui ir socialiniam draudimui – 3,1 tūkst. Eur, už prekes ir paslaugas – 1 072,8 tūkst. Eur, už subsidijas gaminiams – 124,8 tūkst. Eur, už socialines išmokas – 429,8 tūkst. Eur, už kitas išlaidas – 35,5 tūkst. Eur, už turto įsigijimo išlaidas – 125,5 tūkst. Eur.</w:t>
              </w:r>
            </w:p>
            <w:p w14:paraId="67092E81" w14:textId="77777777">
              <w:pPr>
                <w:tabs>
                  <w:tab w:val="center" w:pos="5049"/>
                </w:tabs>
                <w:ind w:firstLine="567"/>
                <w:jc w:val="both"/>
                <w:rPr>
                  <w:lang w:eastAsia="x-none"/>
                </w:rPr>
              </w:pPr>
              <w:r>
                <w:rPr>
                  <w:lang w:eastAsia="x-none"/>
                </w:rPr>
                <w:t xml:space="preserve">Ilgalaikių finansinių įsiskolinimų (kurių terminas ilgesnis nei 1 metai) likutis sudarė 16 882,5 tūkst. Eur. Įsiskolinimas, palyginus su buvusiu 2024 m. sausio 1 d., sumažėjo 1,3 tūkst. Eur (atėmus įsiskolinimą paskoloms grąžinti). </w:t>
              </w:r>
            </w:p>
            <w:p w14:paraId="6649F6FC" w14:textId="77777777">
              <w:pPr>
                <w:tabs>
                  <w:tab w:val="center" w:pos="5049"/>
                </w:tabs>
                <w:ind w:firstLine="567"/>
                <w:jc w:val="both"/>
                <w:rPr>
                  <w:lang w:eastAsia="x-none"/>
                </w:rPr>
              </w:pPr>
              <w:r>
                <w:rPr>
                  <w:lang w:eastAsia="x-none"/>
                </w:rPr>
                <w:t>Prognozuojama, kad 2026 m. sausio 1 d. esantis įsiskolinimas (mokėtinos sumos, išskyrus sumas paskoloms grąžinti) bus ne didesnis už 2025 m. sausio 1 d. įsiskolinimą (mokėtinos sumos, išskyrus sumas paskoloms grąžinti).</w:t>
              </w:r>
            </w:p>
            <w:p w14:paraId="32710F37" w14:textId="07F3E8C6">
              <w:pPr>
                <w:tabs>
                  <w:tab w:val="center" w:pos="5049"/>
                </w:tabs>
                <w:ind w:firstLine="567"/>
                <w:jc w:val="both"/>
                <w:rPr>
                  <w:lang w:eastAsia="x-none"/>
                </w:rPr>
              </w:pPr>
              <w:r>
                <w:rPr>
                  <w:szCs w:val="24"/>
                  <w:lang w:val="x-none" w:eastAsia="x-none"/>
                </w:rPr>
                <w:t xml:space="preserve">2024 m. gruodžio 31 d. Savivaldybė buvo paėmusi ir negrąžinusi </w:t>
              </w:r>
              <w:r>
                <w:rPr>
                  <w:szCs w:val="24"/>
                  <w:lang w:eastAsia="x-none"/>
                </w:rPr>
                <w:t>13</w:t>
              </w:r>
              <w:r>
                <w:rPr>
                  <w:szCs w:val="24"/>
                  <w:lang w:val="x-none" w:eastAsia="x-none"/>
                </w:rPr>
                <w:t xml:space="preserve"> ilgalaik</w:t>
              </w:r>
              <w:r>
                <w:rPr>
                  <w:szCs w:val="24"/>
                  <w:lang w:eastAsia="x-none"/>
                </w:rPr>
                <w:t>ių</w:t>
              </w:r>
              <w:r>
                <w:rPr>
                  <w:szCs w:val="24"/>
                  <w:lang w:val="x-none" w:eastAsia="x-none"/>
                </w:rPr>
                <w:t xml:space="preserve"> paskol</w:t>
              </w:r>
              <w:r>
                <w:rPr>
                  <w:szCs w:val="24"/>
                  <w:lang w:eastAsia="x-none"/>
                </w:rPr>
                <w:t>ų, kurių likutis sudarė 24 267,7 tūkst. Eur. Per 2024 m. iš LR Aplinkos ministerijos gauta 198,9 tūkst. Eur kompensacija Šiaulių miesto savivaldybės viešųjų pastatų atnaujinimo paskolai padengti.</w:t>
              </w:r>
            </w:p>
            <w:p w14:paraId="1103BB48" w14:textId="77777777">
              <w:pPr>
                <w:tabs>
                  <w:tab w:val="center" w:pos="5049"/>
                </w:tabs>
                <w:ind w:firstLine="567"/>
                <w:jc w:val="both"/>
                <w:rPr>
                  <w:lang w:val="x-none" w:eastAsia="x-none"/>
                </w:rPr>
              </w:pPr>
            </w:p>
            <w:p w14:paraId="138B59C2" w14:textId="77777777">
              <w:pPr>
                <w:tabs>
                  <w:tab w:val="center" w:pos="5049"/>
                </w:tabs>
                <w:ind w:firstLine="567"/>
                <w:jc w:val="both"/>
                <w:rPr>
                  <w:lang w:val="x-none" w:eastAsia="x-none"/>
                </w:rPr>
              </w:pPr>
            </w:p>
            <w:p w14:paraId="4B4CC4BD" w14:textId="77777777">
              <w:pPr>
                <w:tabs>
                  <w:tab w:val="center" w:pos="5049"/>
                </w:tabs>
                <w:ind w:firstLine="567"/>
                <w:jc w:val="both"/>
                <w:rPr>
                  <w:lang w:val="x-none" w:eastAsia="x-none"/>
                </w:rPr>
              </w:pPr>
            </w:p>
            <w:p w14:paraId="6F2A2509" w14:textId="77777777">
              <w:pPr>
                <w:rPr>
                  <w:b/>
                  <w:bCs/>
                </w:rPr>
              </w:pPr>
            </w:p>
          </w:sdtContent>
        </w:sdt>
        <w:sdt>
          <w:sdtPr>
            <w:alias w:val="signatura"/>
            <w:tag w:val="part_3aef6a3fe9d64cc4b51c99d7cc20c985"/>
            <w:lock w:val="sdtLocked"/>
            <w:richText/>
          </w:sdtPr>
          <w:sdtContent>
            <w:p w14:paraId="3EDBCB5F" w14:textId="409C13CC">
              <w:pPr>
                <w:tabs>
                  <w:tab w:val="center" w:pos="4819"/>
                  <w:tab w:val="right" w:pos="9638"/>
                </w:tabs>
                <w:jc w:val="both"/>
              </w:pPr>
              <w:r>
                <w:rPr>
                  <w:szCs w:val="24"/>
                </w:rPr>
                <w:t>Meras</w:t>
                <w:tab/>
                <w:tab/>
                <w:t>Artūras Visockas</w:t>
              </w:r>
            </w:p>
            <w:p w14:paraId="1115D428" w14:textId="77777777">
              <w:pPr>
                <w:tabs>
                  <w:tab w:val="center" w:pos="4819"/>
                  <w:tab w:val="right" w:pos="9638"/>
                </w:tabs>
                <w:jc w:val="both"/>
              </w:pPr>
            </w:p>
            <w:p w14:paraId="0D78B171" w14:textId="77777777">
              <w:pPr>
                <w:tabs>
                  <w:tab w:val="center" w:pos="4819"/>
                  <w:tab w:val="right" w:pos="9638"/>
                </w:tabs>
                <w:jc w:val="both"/>
              </w:pPr>
            </w:p>
            <w:p w14:paraId="6A3BE449" w14:textId="77777777">
              <w:pPr>
                <w:tabs>
                  <w:tab w:val="center" w:pos="4819"/>
                  <w:tab w:val="right" w:pos="9638"/>
                </w:tabs>
                <w:jc w:val="both"/>
              </w:pPr>
              <w:r>
                <w:rPr>
                  <w:szCs w:val="24"/>
                </w:rPr>
                <w:t>Strateginio planavimo ir finansų skyriaus</w:t>
              </w:r>
            </w:p>
            <w:p w14:paraId="16B1B31E" w14:textId="77777777">
              <w:pPr>
                <w:tabs>
                  <w:tab w:val="center" w:pos="4819"/>
                  <w:tab w:val="right" w:pos="9638"/>
                </w:tabs>
                <w:jc w:val="both"/>
              </w:pPr>
              <w:r>
                <w:rPr>
                  <w:szCs w:val="24"/>
                </w:rPr>
                <w:t>vedėja</w:t>
                <w:tab/>
                <w:tab/>
                <w:t>Vaida Kalasevičienė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24F2F" w14:textId="77777777">
      <w:r>
        <w:separator/>
      </w:r>
    </w:p>
  </w:endnote>
  <w:endnote w:type="continuationSeparator" w:id="0">
    <w:p w14:paraId="5DAC0D8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56249"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BD119"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631923"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6655E5" w14:textId="77777777">
      <w:r>
        <w:separator/>
      </w:r>
    </w:p>
  </w:footnote>
  <w:footnote w:type="continuationSeparator" w:id="0">
    <w:p w14:paraId="1A8A64A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B5D156" w14:textId="77777777">
    <w:pPr>
      <w:tabs>
        <w:tab w:val="center" w:pos="4153"/>
        <w:tab w:val="right" w:pos="8306"/>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44B29" w14:textId="77777777">
    <w:pPr>
      <w:tabs>
        <w:tab w:val="center" w:pos="4153"/>
        <w:tab w:val="right" w:pos="8306"/>
      </w:tabs>
      <w:jc w:val="center"/>
      <w:rPr>
        <w:lang w:val="x-none" w:eastAsia="x-none"/>
      </w:rPr>
    </w:pPr>
    <w:r>
      <w:rPr>
        <w:lang w:val="x-none" w:eastAsia="x-none"/>
      </w:rPr>
      <w:fldChar w:fldCharType="begin"/>
    </w:r>
    <w:r>
      <w:rPr>
        <w:lang w:val="x-none" w:eastAsia="x-none"/>
      </w:rPr>
      <w:instrText>PAGE</w:instrText>
    </w:r>
    <w:r>
      <w:rPr>
        <w:lang w:val="x-none" w:eastAsia="x-none"/>
      </w:rPr>
      <w:fldChar w:fldCharType="separate"/>
    </w:r>
    <w:r>
      <w:rPr>
        <w:lang w:val="x-none" w:eastAsia="x-none"/>
      </w:rPr>
      <w:t>3</w:t>
    </w:r>
    <w:r>
      <w:rPr>
        <w:lang w:val="x-none" w:eastAsia="x-none"/>
      </w:rPr>
      <w:fldChar w:fldCharType="end"/>
    </w:r>
  </w:p>
  <w:p w14:paraId="1F0457BC" w14:textId="77777777">
    <w:pPr>
      <w:tabs>
        <w:tab w:val="center" w:pos="4153"/>
        <w:tab w:val="right" w:pos="8306"/>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598A3" w14:textId="77777777">
    <w:pPr>
      <w:tabs>
        <w:tab w:val="center" w:pos="4153"/>
        <w:tab w:val="right" w:pos="8306"/>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40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94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54639"/>
  <w15:docId w15:val="{70EAF317-93FB-4D66-8D63-8EB783E49B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7651688">
      <w:bodyDiv w:val="1"/>
      <w:marLeft w:val="0"/>
      <w:marRight w:val="0"/>
      <w:marTop w:val="0"/>
      <w:marBottom w:val="0"/>
      <w:divBdr>
        <w:top w:val="none" w:sz="0" w:space="0" w:color="auto"/>
        <w:left w:val="none" w:sz="0" w:space="0" w:color="auto"/>
        <w:bottom w:val="none" w:sz="0" w:space="0" w:color="auto"/>
        <w:right w:val="none" w:sz="0" w:space="0" w:color="auto"/>
      </w:divBdr>
    </w:div>
    <w:div w:id="441458794">
      <w:bodyDiv w:val="1"/>
      <w:marLeft w:val="0"/>
      <w:marRight w:val="0"/>
      <w:marTop w:val="0"/>
      <w:marBottom w:val="0"/>
      <w:divBdr>
        <w:top w:val="none" w:sz="0" w:space="0" w:color="auto"/>
        <w:left w:val="none" w:sz="0" w:space="0" w:color="auto"/>
        <w:bottom w:val="none" w:sz="0" w:space="0" w:color="auto"/>
        <w:right w:val="none" w:sz="0" w:space="0" w:color="auto"/>
      </w:divBdr>
    </w:div>
    <w:div w:id="951979566">
      <w:bodyDiv w:val="1"/>
      <w:marLeft w:val="0"/>
      <w:marRight w:val="0"/>
      <w:marTop w:val="0"/>
      <w:marBottom w:val="0"/>
      <w:divBdr>
        <w:top w:val="none" w:sz="0" w:space="0" w:color="auto"/>
        <w:left w:val="none" w:sz="0" w:space="0" w:color="auto"/>
        <w:bottom w:val="none" w:sz="0" w:space="0" w:color="auto"/>
        <w:right w:val="none" w:sz="0" w:space="0" w:color="auto"/>
      </w:divBdr>
    </w:div>
    <w:div w:id="15606276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ed1550aa34b4411a95068ce6136cc97" PartId="60ef06e4baec4853964540a8f18b3ab4">
    <Part Type="preambule" DocPartId="09b79e61c9d74e1ab36e74d51730e437" PartId="920a4d83051c41a9a7b098b82c1b8c8e"/>
    <Part Type="pastraipa" DocPartId="b9ffdf44e51449bca190d1df5ea0f52b" PartId="7d37e612e7a24bf9b09e8d56ff9aa57d"/>
    <Part Type="strPapunktis" Nr="1" Abbr="1 pp." DocPartId="a31e92f2510f4018ad0f80e92e3dc149" PartId="7a09ee1488384f51a7ba2c87b39b551a"/>
    <Part Type="strPapunktis" Nr="2" Abbr="2 pp." DocPartId="e62ae176cc1f45a2a158b2decdb6a74a" PartId="1193657c5cd14d9798fd7433cc9f98ed"/>
    <Part Type="strPapunktis" Nr="3" Abbr="3 pp." DocPartId="32fc41aa877441b8928300c71cf8d1cd" PartId="07c4cd5ffa4347f68b66b501c650f8be"/>
    <Part Type="skirsnis" Title="IŠLAIDOS" DocPartId="3b564a732e79425f9e94a560df587f11" PartId="c677f237722349daa991b4f8b3419855"/>
    <Part Type="skirsnis" Title="SAVIVALDYBĖS MOKĖTINOS SUMOS, PASKOLOS" DocPartId="309cd7dc126b4601a8744bf67a64c8d3" PartId="a35a1c769ca44b61b6dd5327dbe8cd5f"/>
    <Part Type="signatura" DocPartId="4cfb06153c5d4d4f897ab3eb727b1364" PartId="3aef6a3fe9d64cc4b51c99d7cc20c985"/>
  </Part>
</Parts>
</file>

<file path=customXml/itemProps1.xml><?xml version="1.0" encoding="utf-8"?>
<ds:datastoreItem xmlns:ds="http://schemas.openxmlformats.org/officeDocument/2006/customXml" ds:itemID="{0626056A-E0D7-427D-BFBE-3C1F3744E6EA}">
  <ds:schemaRefs>
    <ds:schemaRef ds:uri="http://schemas.openxmlformats.org/officeDocument/2006/bibliography"/>
  </ds:schemaRefs>
</ds:datastoreItem>
</file>

<file path=customXml/itemProps2.xml><?xml version="1.0" encoding="utf-8"?>
<ds:datastoreItem xmlns:ds="http://schemas.openxmlformats.org/officeDocument/2006/customXml" ds:itemID="{5FDD1585-E9E4-4F94-86DC-8B8976B415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1219</Words>
  <Characters>8034</Characters>
  <Application>Microsoft Office Word</Application>
  <DocSecurity>4</DocSecurity>
  <Lines>136</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9191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2025-05-16T08:54:00Z</dcterms:created>
  <dc:creator>Irmina Volskienė</dc:creator>
  <dc:language>lt-LT</dc:language>
  <lastModifiedBy>adlibuser</lastModifiedBy>
  <lastPrinted>2018-03-22T07:50:00Z</lastPrinted>
  <dcterms:modified xsi:type="dcterms:W3CDTF">2025-05-16T08:54:00Z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