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1cb9b0a36a549fbaff5b94969998ef0"/>
        <w:lock w:val="sdtLocked"/>
        <w:richText/>
      </w:sdtPr>
      <w:sdtContent>
        <w:p w14:paraId="704488D4" w14:textId="77777777">
          <w:pPr>
            <w:tabs>
              <w:tab w:val="center" w:pos="4153"/>
              <w:tab w:val="right" w:pos="8306"/>
            </w:tabs>
          </w:pPr>
        </w:p>
        <w:p w14:paraId="54CB9F7F" w14:textId="77777777">
          <w:pPr>
            <w:tabs>
              <w:tab w:val="center" w:pos="4986"/>
              <w:tab w:val="right" w:pos="9972"/>
            </w:tabs>
            <w:spacing w:line="259" w:lineRule="auto"/>
            <w:rPr>
              <w:sz w:val="22"/>
              <w:szCs w:val="22"/>
              <w:lang w:eastAsia="lt-LT"/>
            </w:rPr>
          </w:pPr>
        </w:p>
        <w:p w14:paraId="22B29D69" w14:textId="77777777">
          <w:pPr>
            <w:rPr>
              <w:sz w:val="14"/>
              <w:szCs w:val="14"/>
            </w:rPr>
          </w:pPr>
        </w:p>
        <w:p w14:paraId="394D898E" w14:textId="77777777">
          <w:pPr>
            <w:tabs>
              <w:tab w:val="center" w:pos="4153"/>
              <w:tab w:val="right" w:pos="8306"/>
            </w:tabs>
          </w:pPr>
        </w:p>
        <w:p w14:paraId="52C9C44F" w14:textId="54417176">
          <w:pPr>
            <w:tabs>
              <w:tab w:val="center" w:pos="4153"/>
              <w:tab w:val="right" w:pos="8306"/>
            </w:tabs>
            <w:rPr>
              <w:b/>
              <w:bCs/>
            </w:rPr>
          </w:pPr>
          <w:r>
            <w:tab/>
            <w:tab/>
          </w:r>
          <w:r>
            <w:rPr>
              <w:b/>
              <w:bCs/>
            </w:rPr>
            <w:t xml:space="preserve">Projekto </w:t>
          </w:r>
        </w:p>
        <w:p w14:paraId="44F60A26" w14:textId="35E7F641">
          <w:pPr>
            <w:tabs>
              <w:tab w:val="center" w:pos="4153"/>
              <w:tab w:val="right" w:pos="8306"/>
            </w:tabs>
            <w:ind w:firstLine="7688"/>
            <w:rPr>
              <w:b/>
              <w:bCs/>
            </w:rPr>
          </w:pPr>
          <w:r>
            <w:rPr>
              <w:b/>
              <w:bCs/>
            </w:rPr>
            <w:t>lyginamasis variantas</w:t>
          </w:r>
        </w:p>
        <w:p w14:paraId="79802000" w14:textId="77777777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</w:p>
        <w:p w14:paraId="43589C9B" w14:textId="77777777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</w:rPr>
            <w:t>LIETUVOS RESPUBLIKOS SVEIKATOS APSAUGOS MINISTRAS</w:t>
          </w:r>
        </w:p>
        <w:p w14:paraId="397CC2D9" w14:textId="77777777">
          <w:pPr>
            <w:tabs>
              <w:tab w:val="center" w:pos="4153"/>
              <w:tab w:val="right" w:pos="8306"/>
            </w:tabs>
            <w:jc w:val="center"/>
            <w:rPr>
              <w:sz w:val="22"/>
              <w:szCs w:val="22"/>
            </w:rPr>
          </w:pPr>
        </w:p>
        <w:p w14:paraId="024BBED3" w14:textId="77777777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2EE45CC6" w14:textId="77777777">
          <w:pPr>
            <w:ind w:left="769"/>
            <w:jc w:val="center"/>
            <w:rPr>
              <w:b/>
            </w:rPr>
          </w:pPr>
          <w:r>
            <w:rPr>
              <w:b/>
            </w:rPr>
            <w:t xml:space="preserve">DĖL LIETUVOS RESPUBLIKOS SVEIKATOS APSAUGOS MINISTRO </w:t>
          </w:r>
          <w:smartTag w:uri="urn:schemas-microsoft-com:office:smarttags" w:element="metricconverter">
            <w:smartTagPr>
              <w:attr w:name="ProductID" w:val="2010 m"/>
            </w:smartTagPr>
          </w:smartTag>
        </w:p>
        <w:p w14:paraId="09C7F3A6" w14:textId="77777777">
          <w:pPr>
            <w:ind w:left="769"/>
            <w:jc w:val="center"/>
            <w:rPr>
              <w:b/>
            </w:rPr>
          </w:pPr>
          <w:r>
            <w:rPr>
              <w:b/>
            </w:rPr>
            <w:t>2010 M. BALANDŽIO 6 D. ĮSAKYMO NR. V-267 „DĖL KOMPENSUOJAMŲJŲ VAISTINIŲ PREPARATŲ IR MEDICINOS PAGALBOS PRIEMONIŲ ĮRAŠYMO Į KAINYNUS TVARKOS APRAŠO, KOMPENSUOJAMŲJŲ VAISTINIŲ PREPARATŲ RINKOS STEBĖSENOS TVARKOS APRAŠO IR KOMPENSUOJAMŲJŲ VAISTINIŲ PREPARATŲ IR KOMPENSUOJAMŲJŲ MEDICINOS PAGALBOS PRIEMONIŲ PREKYBOS ANTKAINIŲ SĄRAŠO IR JŲ TAIKYMO REIKALAVIMŲ PATVIRTINIMO“ PAKEITIMO</w:t>
          </w:r>
        </w:p>
        <w:p w14:paraId="56DAD802" w14:textId="77777777">
          <w:pPr>
            <w:jc w:val="center"/>
            <w:rPr>
              <w:b/>
              <w:bCs/>
            </w:rPr>
          </w:pPr>
        </w:p>
        <w:p w14:paraId="249DA11D" w14:textId="4D9E704C">
          <w:pPr>
            <w:jc w:val="center"/>
          </w:pPr>
          <w:r>
            <w:t xml:space="preserve">2026 m.                    Nr. </w:t>
          </w:r>
        </w:p>
        <w:p w14:paraId="4E3AADF3" w14:textId="77777777">
          <w:pPr>
            <w:jc w:val="center"/>
            <w:rPr>
              <w:bCs/>
            </w:rPr>
          </w:pPr>
          <w:r>
            <w:t>Vilnius</w:t>
          </w:r>
        </w:p>
        <w:p w14:paraId="3C302A01" w14:textId="77777777">
          <w:pPr>
            <w:jc w:val="both"/>
            <w:rPr>
              <w:bCs/>
              <w:szCs w:val="24"/>
            </w:rPr>
          </w:pPr>
        </w:p>
        <w:sdt>
          <w:sdtPr>
            <w:alias w:val="pastraipa"/>
            <w:tag w:val="part_9129693b490143a7bd9e9cb9ac6849f3"/>
            <w:lock w:val="sdtLocked"/>
            <w:richText/>
          </w:sdtPr>
          <w:sdtContent>
            <w:p w14:paraId="03CBB4A0" w14:textId="5F8248EC">
              <w:pPr>
                <w:tabs>
                  <w:tab w:val="left" w:pos="0"/>
                  <w:tab w:val="left" w:pos="567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 </w:t>
              </w:r>
              <w:r>
                <w:rPr>
                  <w:color w:val="000000"/>
                  <w:szCs w:val="24"/>
                </w:rPr>
                <w:t>Kompensuojamųjų vaistinių preparatų rinkos stebėsenos tvarkos aprašą, patvirtintą</w:t>
              </w:r>
              <w:r>
                <w:rPr>
                  <w:szCs w:val="24"/>
                </w:rPr>
                <w:t xml:space="preserve"> Lietuvos Respublikos sveikatos apsaugos ministro 2010 m. balandžio 6 d. įsakymu Nr. V-267 „Dėl Kompensuojamųjų vaistinių preparatų ir medicinos pagalbos priemonių įrašymo į kainynus tvarkos aprašo, Kompensuojamųjų vaistinių preparatų rinkos stebėsenos tvarkos aprašo ir Kompensuojamųjų vaistinių preparatų ir kompensuojamųjų medicinos pagalbos priemonių prekybos antkainių sąrašo ir jų taikymo reikalavimų patvirtinimo“, ir </w:t>
              </w:r>
              <w:r>
                <w:t>22 punktą išdėstau taip:</w:t>
              </w:r>
            </w:p>
            <w:sdt>
              <w:sdtPr>
                <w:alias w:val="citata"/>
                <w:tag w:val="part_05d559e540eb4a6ea8c8218599306681"/>
                <w:lock w:val="sdtLocked"/>
                <w:richText/>
              </w:sdtPr>
              <w:sdtContent>
                <w:sdt>
                  <w:sdtPr>
                    <w:alias w:val="22 p."/>
                    <w:tag w:val="part_e342741cbe8848988c2d9ef4db5031c3"/>
                    <w:lock w:val="sdtLocked"/>
                    <w:richText/>
                  </w:sdtPr>
                  <w:sdtContent>
                    <w:p w14:paraId="38DD2010" w14:textId="672EDF68">
                      <w:pPr>
                        <w:ind w:firstLine="851"/>
                        <w:jc w:val="both"/>
                        <w:rPr>
                          <w:b/>
                          <w:bCs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e342741cbe8848988c2d9ef4db5031c3"/>
                          <w:lock w:val="sdtLocked"/>
                          <w:richText/>
                        </w:sdtPr>
                        <w:sdtContent>
                          <w:r>
                            <w:t>22</w:t>
                          </w:r>
                        </w:sdtContent>
                      </w:sdt>
                      <w:r>
                        <w:t xml:space="preserve">. Kai į Kainyno grupę įrašytas tik vienas kompensuojamasis vaistinis preparatas konkrečiu pavadinimu </w:t>
                      </w:r>
                      <w:r>
                        <w:rPr>
                          <w:b/>
                          <w:bCs/>
                        </w:rPr>
                        <w:t>arba dviejų ir daugiau tiekėjų grupę sudaro mažo terapinio indekso vaistiniai preparatai</w:t>
                      </w:r>
                      <w:r>
                        <w:t xml:space="preserve">, </w:t>
                      </w:r>
                      <w:r>
                        <w:rPr>
                          <w:strike/>
                        </w:rPr>
                        <w:t>jo</w:t>
                      </w:r>
                      <w:r>
                        <w:t xml:space="preserve">  </w:t>
                      </w:r>
                      <w:r>
                        <w:rPr>
                          <w:b/>
                          <w:bCs/>
                        </w:rPr>
                        <w:t>jų</w:t>
                      </w:r>
                      <w:r>
                        <w:t xml:space="preserve"> stebėsena vykdoma vadovaujantis Aprašo II ir III skyrių nuostatomis.</w:t>
                      </w:r>
                      <w:r>
                        <w:rPr>
                          <w:color w:val="000000"/>
                        </w:rPr>
                        <w:t>“</w:t>
                      </w:r>
                      <w:r>
                        <w:t xml:space="preserve"> </w:t>
                      </w:r>
                    </w:p>
                    <w:p w14:paraId="5EB55ABE" w14:textId="77777777">
                      <w:pPr>
                        <w:tabs>
                          <w:tab w:val="center" w:pos="4153"/>
                          <w:tab w:val="right" w:pos="8306"/>
                        </w:tabs>
                        <w:jc w:val="center"/>
                        <w:rPr>
                          <w:b/>
                        </w:rPr>
                      </w:pPr>
                    </w:p>
                    <w:p w14:paraId="6E6701B7" w14:textId="77777777">
                      <w:pPr>
                        <w:jc w:val="both"/>
                        <w:rPr>
                          <w:color w:val="000000"/>
                        </w:rPr>
                      </w:pPr>
                    </w:p>
                    <w:p w14:paraId="00B9A965" w14:textId="77777777">
                      <w:pPr>
                        <w:jc w:val="both"/>
                        <w:rPr>
                          <w:color w:val="00000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030c1ce6d7f4edeaf83fd944a3e55ad"/>
            <w:lock w:val="sdtLocked"/>
            <w:richText/>
          </w:sdtPr>
          <w:sdtContent>
            <w:p w14:paraId="6DA427FC" w14:textId="31C99C4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</w:rPr>
                <w:t>Sveikatos apsaugos ministras</w:t>
                <w:tab/>
                <w:tab/>
                <w:tab/>
                <w:tab/>
              </w:r>
            </w:p>
            <w:p w14:paraId="4D9ED367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F419A9" w14:textId="77777777">
      <w:r>
        <w:separator/>
      </w:r>
    </w:p>
  </w:endnote>
  <w:endnote w:type="continuationSeparator" w:id="0">
    <w:p w14:paraId="5EED49EE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44D93B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CD10C2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85F208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8E419E" w14:textId="77777777">
      <w:r>
        <w:separator/>
      </w:r>
    </w:p>
  </w:footnote>
  <w:footnote w:type="continuationSeparator" w:id="0">
    <w:p w14:paraId="5FC7CAAA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CFB73" w14:textId="77777777">
    <w:pP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19DBFF" w14:textId="77777777">
    <w:pPr>
      <w:tabs>
        <w:tab w:val="center" w:pos="4153"/>
        <w:tab w:val="right" w:pos="830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E198879" w14:textId="77777777">
    <w:pP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FEEC26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."/>
  <w:listSeparator w:val=","/>
  <w14:docId w14:val="67300C97"/>
  <w15:docId w15:val="{134B6C7F-A87F-4034-A33B-29700D70D15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71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8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0172d288c254895bf648bba2f48b264" PartId="51cb9b0a36a549fbaff5b94969998ef0">
    <Part Type="pastraipa" DocPartId="0c79bf1ce04d4687a236342c8bb5b4c9" PartId="9129693b490143a7bd9e9cb9ac6849f3">
      <Part Type="citata" DocPartId="22ec2e31c90f468eb6d4bc29950b7310" PartId="05d559e540eb4a6ea8c8218599306681">
        <Part Type="punktas" Nr="22" Abbr="22 p." DocPartId="53cc064383294709ae39dc67e55d4d04" PartId="e342741cbe8848988c2d9ef4db5031c3"/>
      </Part>
    </Part>
    <Part Type="signatura" DocPartId="80880e8afec346658b1a8d2425c7e636" PartId="8030c1ce6d7f4edeaf83fd944a3e55ad"/>
  </Part>
</Parts>
</file>

<file path=customXml/itemProps1.xml><?xml version="1.0" encoding="utf-8"?>
<ds:datastoreItem xmlns:ds="http://schemas.openxmlformats.org/officeDocument/2006/customXml" ds:itemID="{0A7AEB8D-3202-44CC-B0C3-8794DBCFD10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180</Words>
  <Characters>1253</Characters>
  <Application>Microsoft Office Word</Application>
  <DocSecurity>4</DocSecurity>
  <Lines>35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2026-07-03T05:49:00Z</dcterms:created>
  <dc:creator>Vilma Meldžiukaitė</dc:creator>
  <lastModifiedBy>adlibuser</lastModifiedBy>
  <dcterms:modified xsi:type="dcterms:W3CDTF">2026-07-03T05:49:00Z</dcterms:modified>
  <revision>2</revision>
</coreProperties>
</file>