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4c903f9eec8c47c284aa27a540096021"/>
        <w:lock w:val="sdtLocked"/>
        <w:richText/>
      </w:sdtPr>
      <w:sdtContent>
        <w:tbl>
          <w:tblPr>
            <w:tblW w:w="9638" w:type="dxa"/>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cBorders>
              </w:tcPr>
              <w:p>
                <w:pPr>
                  <w:suppressLineNumbers/>
                  <w:tabs>
                    <w:tab w:val="center" w:pos="4800"/>
                    <w:tab w:val="right" w:pos="9601"/>
                  </w:tabs>
                  <w:jc w:val="both"/>
                  <w:rPr>
                    <w:rFonts w:eastAsia="Andale Sans UI" w:cs="Tahoma"/>
                    <w:szCs w:val="24"/>
                    <w:lang w:bidi="en-US"/>
                  </w:rPr>
                </w:pPr>
              </w:p>
              <w:p>
                <w:pPr>
                  <w:suppressLineNumbers/>
                  <w:jc w:val="center"/>
                  <w:rPr>
                    <w:rFonts w:eastAsia="Andale Sans UI" w:cs="Tahoma"/>
                    <w:b/>
                    <w:bCs/>
                    <w:spacing w:val="20"/>
                    <w:szCs w:val="24"/>
                    <w:lang w:bidi="en-US"/>
                  </w:rPr>
                </w:pPr>
                <w:r>
                  <w:rPr>
                    <w:rFonts w:eastAsia="Andale Sans UI" w:cs="Tahoma"/>
                    <w:b/>
                    <w:spacing w:val="20"/>
                    <w:sz w:val="26"/>
                    <w:szCs w:val="26"/>
                    <w:lang w:val="en-US"/>
                  </w:rPr>
                  <w:drawing>
                    <wp:inline distT="0" distB="0" distL="0" distR="0" wp14:anchorId="47B4FF70" wp14:editId="05B85950">
                      <wp:extent cx="523875" cy="619125"/>
                      <wp:effectExtent l="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solidFill>
                                <a:srgbClr val="FFFFFF">
                                  <a:alpha val="0"/>
                                </a:srgbClr>
                              </a:solidFill>
                              <a:ln>
                                <a:noFill/>
                              </a:ln>
                            </pic:spPr>
                          </pic:pic>
                        </a:graphicData>
                      </a:graphic>
                    </wp:inline>
                  </w:drawing>
                </w:r>
              </w:p>
              <w:p>
                <w:pPr>
                  <w:rPr>
                    <w:sz w:val="10"/>
                    <w:szCs w:val="10"/>
                  </w:rPr>
                </w:pPr>
              </w:p>
              <w:p>
                <w:pPr>
                  <w:suppressLineNumbers/>
                  <w:jc w:val="center"/>
                  <w:rPr>
                    <w:rFonts w:eastAsia="Andale Sans UI" w:cs="Tahoma"/>
                    <w:b/>
                    <w:bCs/>
                    <w:spacing w:val="20"/>
                    <w:szCs w:val="24"/>
                    <w:lang w:bidi="en-US"/>
                  </w:rPr>
                </w:pPr>
                <w:r>
                  <w:rPr>
                    <w:rFonts w:eastAsia="Andale Sans UI" w:cs="Tahoma"/>
                    <w:b/>
                    <w:bCs/>
                    <w:spacing w:val="20"/>
                    <w:szCs w:val="24"/>
                    <w:lang w:bidi="en-US"/>
                  </w:rPr>
                  <w:t>LIETUVOS RESPUBLIKOS APLINKOS MINISTERIJA</w:t>
                </w:r>
              </w:p>
              <w:p>
                <w:pPr>
                  <w:rPr>
                    <w:sz w:val="10"/>
                    <w:szCs w:val="10"/>
                  </w:rPr>
                </w:pPr>
              </w:p>
              <w:p>
                <w:pPr>
                  <w:suppressLineNumbers/>
                  <w:jc w:val="center"/>
                  <w:rPr>
                    <w:rFonts w:eastAsia="Andale Sans UI"/>
                    <w:spacing w:val="12"/>
                    <w:sz w:val="16"/>
                    <w:szCs w:val="16"/>
                    <w:lang w:bidi="en-US"/>
                  </w:rPr>
                </w:pPr>
                <w:r>
                  <w:rPr>
                    <w:rFonts w:eastAsia="Andale Sans UI"/>
                    <w:spacing w:val="12"/>
                    <w:sz w:val="16"/>
                    <w:szCs w:val="16"/>
                    <w:lang w:bidi="en-US"/>
                  </w:rPr>
                  <w:t>Biudžetinė įstaiga, A. Jakšto g. 4, LT-01105 Vilnius,</w:t>
                </w:r>
              </w:p>
              <w:p>
                <w:pPr>
                  <w:suppressLineNumbers/>
                  <w:jc w:val="center"/>
                  <w:rPr>
                    <w:rFonts w:eastAsia="Andale Sans UI"/>
                    <w:spacing w:val="12"/>
                    <w:sz w:val="16"/>
                    <w:szCs w:val="16"/>
                    <w:lang w:bidi="en-US"/>
                  </w:rPr>
                </w:pPr>
                <w:r>
                  <w:rPr>
                    <w:rFonts w:eastAsia="Andale Sans UI"/>
                    <w:spacing w:val="12"/>
                    <w:sz w:val="16"/>
                    <w:szCs w:val="16"/>
                    <w:lang w:bidi="en-US"/>
                  </w:rPr>
                  <w:t>tel. +370 626 22 252, el. p. info@am.lt, https://am.lrv.lt.</w:t>
                </w:r>
              </w:p>
              <w:p>
                <w:pPr>
                  <w:suppressLineNumbers/>
                  <w:jc w:val="center"/>
                  <w:rPr>
                    <w:rFonts w:ascii="Arial" w:eastAsia="Andale Sans UI" w:hAnsi="Arial" w:cs="Tahoma"/>
                    <w:b/>
                    <w:bCs/>
                    <w:spacing w:val="12"/>
                    <w:sz w:val="14"/>
                    <w:szCs w:val="14"/>
                    <w:lang w:bidi="en-US"/>
                  </w:rPr>
                </w:pPr>
                <w:r>
                  <w:rPr>
                    <w:rFonts w:eastAsia="Andale Sans UI"/>
                    <w:spacing w:val="12"/>
                    <w:sz w:val="16"/>
                    <w:szCs w:val="16"/>
                    <w:lang w:bidi="en-US"/>
                  </w:rPr>
                  <w:t>Duomenys kaupiami ir saugomi Juridinių asmenų registre, kodas 188602370</w:t>
                </w:r>
              </w:p>
            </w:tc>
          </w:tr>
          <w:tr>
            <w:tc>
              <w:tcPr>
                <w:tcW w:w="9638" w:type="dxa"/>
                <w:gridSpan w:val="5"/>
                <w:tcMar>
                  <w:top w:w="0" w:type="dxa"/>
                  <w:left w:w="0" w:type="dxa"/>
                  <w:bottom w:w="0" w:type="dxa"/>
                  <w:right w:w="0" w:type="dxa"/>
                </w:tcMar>
              </w:tcPr>
              <w:p>
                <w:pPr>
                  <w:suppressLineNumbers/>
                  <w:jc w:val="both"/>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suppressLineNumbers/>
                  <w:jc w:val="both"/>
                  <w:rPr>
                    <w:rFonts w:eastAsia="Andale Sans UI" w:cs="Tahoma"/>
                    <w:szCs w:val="24"/>
                    <w:lang w:bidi="en-US"/>
                  </w:rPr>
                </w:pPr>
                <w:r>
                  <w:rPr>
                    <w:rFonts w:eastAsia="Andale Sans UI" w:cs="Tahoma"/>
                    <w:szCs w:val="24"/>
                    <w:lang w:bidi="en-US"/>
                  </w:rPr>
                  <w:t>Pagal adresatų sąrašą</w:t>
                </w:r>
              </w:p>
              <w:p>
                <w:pPr>
                  <w:suppressLineNumbers/>
                  <w:jc w:val="both"/>
                  <w:rPr>
                    <w:rFonts w:eastAsia="Andale Sans UI" w:cs="Tahoma"/>
                    <w:szCs w:val="24"/>
                    <w:lang w:bidi="en-US"/>
                  </w:rPr>
                </w:pPr>
              </w:p>
              <w:p>
                <w:pPr>
                  <w:suppressLineNumbers/>
                  <w:jc w:val="both"/>
                  <w:rPr>
                    <w:rFonts w:eastAsia="Andale Sans UI" w:cs="Tahoma"/>
                    <w:spacing w:val="10"/>
                    <w:szCs w:val="24"/>
                    <w:lang w:bidi="en-US"/>
                  </w:rPr>
                </w:pPr>
              </w:p>
              <w:p>
                <w:pPr>
                  <w:suppressLineNumbers/>
                  <w:jc w:val="both"/>
                  <w:rPr>
                    <w:rFonts w:eastAsia="Andale Sans UI" w:cs="Tahoma"/>
                    <w:spacing w:val="10"/>
                    <w:szCs w:val="24"/>
                    <w:lang w:bidi="en-US"/>
                  </w:rPr>
                </w:pPr>
              </w:p>
            </w:tc>
            <w:tc>
              <w:tcPr>
                <w:tcW w:w="282" w:type="dxa"/>
                <w:tcMar>
                  <w:top w:w="0" w:type="dxa"/>
                  <w:left w:w="0" w:type="dxa"/>
                  <w:bottom w:w="0" w:type="dxa"/>
                  <w:right w:w="0" w:type="dxa"/>
                </w:tcMar>
              </w:tcPr>
              <w:p>
                <w:pPr>
                  <w:ind w:right="67"/>
                  <w:jc w:val="right"/>
                  <w:rPr>
                    <w:rFonts w:eastAsia="Andale Sans UI" w:cs="Tahoma"/>
                    <w:spacing w:val="10"/>
                    <w:szCs w:val="24"/>
                    <w:lang w:bidi="en-US"/>
                  </w:rPr>
                </w:pP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p>
            </w:tc>
            <w:tc>
              <w:tcPr>
                <w:tcW w:w="565" w:type="dxa"/>
              </w:tcPr>
              <w:p>
                <w:pPr>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p>
            </w:tc>
          </w:tr>
          <w:tr>
            <w:trPr>
              <w:cantSplit/>
              <w:trHeight w:val="340"/>
            </w:trPr>
            <w:tc>
              <w:tcPr>
                <w:tcW w:w="4817" w:type="dxa"/>
                <w:vMerge/>
                <w:tcMar>
                  <w:top w:w="0" w:type="dxa"/>
                  <w:left w:w="0" w:type="dxa"/>
                  <w:bottom w:w="0" w:type="dxa"/>
                  <w:right w:w="0" w:type="dxa"/>
                </w:tcMar>
              </w:tcPr>
              <w:p/>
            </w:tc>
            <w:tc>
              <w:tcPr>
                <w:tcW w:w="282" w:type="dxa"/>
                <w:tcMar>
                  <w:top w:w="0" w:type="dxa"/>
                  <w:left w:w="0" w:type="dxa"/>
                  <w:bottom w:w="0" w:type="dxa"/>
                  <w:right w:w="0" w:type="dxa"/>
                </w:tcMar>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Į</w:t>
                </w: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p>
            </w:tc>
            <w:tc>
              <w:tcPr>
                <w:tcW w:w="565" w:type="dxa"/>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p>
            </w:tc>
          </w:tr>
          <w:tr>
            <w:trPr>
              <w:cantSplit/>
            </w:trPr>
            <w:tc>
              <w:tcPr>
                <w:tcW w:w="4817" w:type="dxa"/>
                <w:vMerge/>
                <w:tcMar>
                  <w:top w:w="0" w:type="dxa"/>
                  <w:left w:w="0" w:type="dxa"/>
                  <w:bottom w:w="0" w:type="dxa"/>
                  <w:right w:w="0" w:type="dxa"/>
                </w:tcMar>
              </w:tcPr>
              <w:p/>
            </w:tc>
            <w:tc>
              <w:tcPr>
                <w:tcW w:w="4821" w:type="dxa"/>
                <w:gridSpan w:val="4"/>
                <w:tcMar>
                  <w:top w:w="0" w:type="dxa"/>
                  <w:left w:w="0" w:type="dxa"/>
                  <w:bottom w:w="0" w:type="dxa"/>
                  <w:right w:w="0" w:type="dxa"/>
                </w:tcMar>
              </w:tcPr>
              <w:p>
                <w:pPr>
                  <w:tabs>
                    <w:tab w:val="left" w:pos="2869"/>
                  </w:tabs>
                  <w:ind w:right="67"/>
                  <w:jc w:val="both"/>
                  <w:rPr>
                    <w:rFonts w:eastAsia="Andale Sans UI" w:cs="Tahoma"/>
                    <w:spacing w:val="10"/>
                    <w:szCs w:val="24"/>
                    <w:lang w:bidi="en-US"/>
                  </w:rPr>
                </w:pPr>
              </w:p>
            </w:tc>
          </w:tr>
          <w:tr>
            <w:trPr>
              <w:trHeight w:val="340"/>
            </w:trPr>
            <w:tc>
              <w:tcPr>
                <w:tcW w:w="9638" w:type="dxa"/>
                <w:gridSpan w:val="5"/>
                <w:tcMar>
                  <w:top w:w="0" w:type="dxa"/>
                  <w:left w:w="0" w:type="dxa"/>
                  <w:bottom w:w="0" w:type="dxa"/>
                  <w:right w:w="0" w:type="dxa"/>
                </w:tcMar>
              </w:tcPr>
              <w:p>
                <w:pPr>
                  <w:suppressLineNumbers/>
                  <w:spacing w:line="276" w:lineRule="auto"/>
                  <w:jc w:val="both"/>
                  <w:rPr>
                    <w:rFonts w:eastAsia="Andale Sans UI" w:cs="Tahoma"/>
                    <w:b/>
                    <w:szCs w:val="24"/>
                    <w:lang w:eastAsia="lt-LT" w:bidi="en-US"/>
                  </w:rPr>
                </w:pPr>
                <w:r>
                  <w:rPr>
                    <w:rFonts w:eastAsia="Andale Sans UI" w:cs="Tahoma"/>
                    <w:b/>
                    <w:caps/>
                    <w:szCs w:val="24"/>
                    <w:lang w:bidi="en-US"/>
                  </w:rPr>
                  <w:t xml:space="preserve">DĖL </w:t>
                </w:r>
                <w:r>
                  <w:rPr>
                    <w:rFonts w:eastAsia="Andale Sans UI" w:cs="Tahoma"/>
                    <w:b/>
                    <w:szCs w:val="24"/>
                    <w:lang w:eastAsia="lt-LT" w:bidi="en-US"/>
                  </w:rPr>
                  <w:t>APLINKOS MINISTRO ĮSAKYMO PROJEKTO</w:t>
                </w:r>
              </w:p>
              <w:p>
                <w:pPr>
                  <w:suppressLineNumbers/>
                  <w:spacing w:line="276" w:lineRule="auto"/>
                  <w:jc w:val="both"/>
                  <w:rPr>
                    <w:rFonts w:eastAsia="Andale Sans UI" w:cs="Tahoma"/>
                    <w:b/>
                    <w:bCs/>
                    <w:szCs w:val="24"/>
                    <w:lang w:bidi="en-US"/>
                  </w:rPr>
                </w:pPr>
              </w:p>
            </w:tc>
          </w:tr>
        </w:tbl>
        <w:p/>
      </w:sdtContent>
    </w:sdt>
    <w:sdt>
      <w:sdtPr>
        <w:alias w:val="pastraipa"/>
        <w:tag w:val="part_5561589e0eda4504b9da00c8aeed0161"/>
        <w:lock w:val="sdtLocked"/>
        <w:richText/>
      </w:sdtPr>
      <w:sdtContent>
        <w:p>
          <w:pPr>
            <w:ind w:firstLine="567"/>
            <w:jc w:val="both"/>
            <w:rPr>
              <w:rFonts w:eastAsia="Andale Sans UI" w:cs="Tahoma"/>
              <w:szCs w:val="24"/>
              <w:lang w:bidi="en-US"/>
            </w:rPr>
          </w:pPr>
          <w:r>
            <w:rPr>
              <w:rFonts w:eastAsia="Andale Sans UI" w:cs="Tahoma"/>
              <w:szCs w:val="24"/>
              <w:lang w:bidi="en-US"/>
            </w:rPr>
            <w:t>Aplinkos ministerija teikia derinti Lietuvos Respublikos aplinkos ministro įsakymo „Dėl Lietuvos Respublikos aplinkos ministro 2023 m. balandžio 27 d. įsakymo Nr. D1-124 „Dėl 2022–2030 metų plėtros programos valdytojos Lietuvos Respublikos aplinkos ministerijos aplinkos apsaugos ir klimato kaitos valdymo plėtros programos pažangos priemonės Nr. 02-001-06-10-02 „Skatinti atliekų perdirbimą ir antrinių žaliavų naudojimą“ įgyvendinimo“ pakeitimo“ projektą (toliau – Projektas).</w:t>
          </w:r>
        </w:p>
        <w:sdt>
          <w:sdtPr>
            <w:alias w:val="1 p."/>
            <w:tag w:val="part_43f9b8b67dfb40f8a565c3efbdc5d2bf"/>
            <w:lock w:val="sdtLocked"/>
            <w:richText/>
          </w:sdtPr>
          <w:sdtContent>
            <w:p>
              <w:pPr>
                <w:ind w:firstLine="567"/>
                <w:jc w:val="both"/>
                <w:rPr>
                  <w:rFonts w:eastAsia="Andale Sans UI"/>
                  <w:szCs w:val="24"/>
                  <w:lang w:bidi="en-US"/>
                </w:rPr>
              </w:pPr>
              <w:sdt>
                <w:sdtPr>
                  <w:alias w:val="Numeris"/>
                  <w:tag w:val="nr_43f9b8b67dfb40f8a565c3efbdc5d2bf"/>
                  <w:lock w:val="sdtLocked"/>
                  <w:richText/>
                </w:sdtPr>
                <w:sdtContent>
                  <w:r>
                    <w:rPr>
                      <w:rFonts w:eastAsia="Andale Sans UI"/>
                      <w:b/>
                      <w:bCs/>
                      <w:szCs w:val="24"/>
                      <w:lang w:bidi="en-US"/>
                    </w:rPr>
                    <w:t>1</w:t>
                  </w:r>
                </w:sdtContent>
              </w:sdt>
              <w:r>
                <w:rPr>
                  <w:rFonts w:eastAsia="Andale Sans UI"/>
                  <w:b/>
                  <w:bCs/>
                  <w:szCs w:val="24"/>
                  <w:lang w:bidi="en-US"/>
                </w:rPr>
                <w:t>. Projektu sprendžiama problema ir Projektą rengti paskatinusios priežastys</w:t>
              </w:r>
            </w:p>
            <w:p>
              <w:pPr>
                <w:spacing w:line="259" w:lineRule="auto"/>
                <w:ind w:firstLine="567"/>
                <w:jc w:val="both"/>
                <w:rPr>
                  <w:rFonts w:eastAsia="Andale Sans UI" w:cs="Tahoma"/>
                  <w:szCs w:val="24"/>
                  <w:lang w:bidi="en-US"/>
                </w:rPr>
              </w:pPr>
              <w:r>
                <w:rPr>
                  <w:rFonts w:eastAsia="Andale Sans UI" w:cs="Tahoma"/>
                  <w:szCs w:val="24"/>
                  <w:lang w:bidi="en-US"/>
                </w:rPr>
                <w:t xml:space="preserve">2025 m. birželio 25 d. patikslinta </w:t>
              </w:r>
              <w:r>
                <w:rPr>
                  <w:rFonts w:eastAsia="Andale Sans UI"/>
                  <w:szCs w:val="24"/>
                  <w:lang w:bidi="en-US"/>
                </w:rPr>
                <w:t>2021–2027 m. Europos Sąjungos fondų investicijų programa</w:t>
              </w:r>
              <w:r>
                <w:rPr>
                  <w:rFonts w:eastAsia="Andale Sans UI"/>
                  <w:szCs w:val="24"/>
                  <w:vertAlign w:val="superscript"/>
                  <w:lang w:bidi="en-US"/>
                </w:rPr>
                <w:footnoteReference w:id="2"/>
              </w:r>
              <w:r>
                <w:rPr>
                  <w:rFonts w:eastAsia="Andale Sans UI"/>
                  <w:szCs w:val="24"/>
                  <w:lang w:bidi="en-US"/>
                </w:rPr>
                <w:t xml:space="preserve"> (toliau – Investicijų programa), todėl </w:t>
              </w:r>
              <w:r>
                <w:rPr>
                  <w:rFonts w:eastAsia="Andale Sans UI" w:cs="Tahoma"/>
                  <w:szCs w:val="24"/>
                  <w:lang w:eastAsia="lt-LT" w:bidi="en-US"/>
                </w:rPr>
                <w:t xml:space="preserve">Pažangos priemonės Nr. 02-001-06-10-02 „Skatinti atliekų perdirbimą ir antrinių žaliavų naudojimą“ veiklos „Finansuoti atliekų paruošimo perdirbti ir perdirbimo infrastruktūros modernizavimą, plėtrą, naujų įrenginių diegimą“ poveiklės „Plastiko atliekų perdirbimo pajėgumų plėtra“ projektų finansavimo sąlygų aprašo (toliau – Aprašo) </w:t>
              </w:r>
              <w:r>
                <w:rPr>
                  <w:rFonts w:eastAsia="Andale Sans UI" w:cs="Tahoma"/>
                  <w:szCs w:val="24"/>
                  <w:lang w:bidi="en-US"/>
                </w:rPr>
                <w:t xml:space="preserve">2.1 papunktyje turi būti išplečiamos finansuojamos veiklos leidžiant finansuoti  naujos ar modernizuoti esamos ne tik atskirai surenkamų, bet ir iš mišraus srauto surenkamų komunalinių plastiko atliekų paruošimo perdirbti ir perdirbimo infrastruktūros sukūrimą arba atnaujinimą. </w:t>
              </w:r>
            </w:p>
            <w:p>
              <w:pPr>
                <w:spacing w:line="259" w:lineRule="auto"/>
                <w:ind w:firstLine="567"/>
                <w:jc w:val="both"/>
                <w:rPr>
                  <w:rFonts w:eastAsia="Andale Sans UI" w:cs="Tahoma"/>
                  <w:szCs w:val="24"/>
                  <w:lang w:bidi="en-US"/>
                </w:rPr>
              </w:pPr>
              <w:r>
                <w:rPr>
                  <w:rFonts w:eastAsia="Andale Sans UI" w:cs="Tahoma"/>
                  <w:szCs w:val="24"/>
                  <w:lang w:bidi="en-US"/>
                </w:rPr>
                <w:t>Apraše šiuo metu numatyti pareiškėjai ir partneriai</w:t>
              </w:r>
              <w:r>
                <w:rPr>
                  <w:rFonts w:eastAsia="Andale Sans UI"/>
                  <w:b/>
                  <w:bCs/>
                  <w:szCs w:val="24"/>
                  <w:lang w:bidi="en-US"/>
                </w:rPr>
                <w:t xml:space="preserve"> – </w:t>
              </w:r>
              <w:r>
                <w:rPr>
                  <w:rFonts w:eastAsia="Andale Sans UI" w:cs="Tahoma"/>
                  <w:szCs w:val="24"/>
                  <w:lang w:bidi="en-US"/>
                </w:rPr>
                <w:t xml:space="preserve">atliekų tvarkytojai. </w:t>
              </w:r>
              <w:r>
                <w:rPr>
                  <w:rFonts w:eastAsia="Andale Sans UI"/>
                  <w:szCs w:val="24"/>
                  <w:lang w:bidi="en-US"/>
                </w:rPr>
                <w:t>Atsižvelgiant į viešosios įstaigos Centrinė projektų valdymo agentūros (toliau – CPVA) rekomendacijas</w:t>
              </w:r>
              <w:r>
                <w:rPr>
                  <w:rFonts w:eastAsia="Andale Sans UI" w:cs="Tahoma"/>
                  <w:szCs w:val="24"/>
                  <w:lang w:bidi="en-US"/>
                </w:rPr>
                <w:t xml:space="preserve">, turi būti atsisakoma nuostatų, susijusių su partneryste, kadangi partnerystė įgyvendinant projektą nėra pagrįsta.  </w:t>
              </w:r>
            </w:p>
            <w:p>
              <w:pPr>
                <w:ind w:firstLine="567"/>
                <w:jc w:val="both"/>
                <w:rPr>
                  <w:rFonts w:eastAsia="Andale Sans UI" w:cs="Tahoma"/>
                  <w:color w:val="000000"/>
                  <w:szCs w:val="24"/>
                  <w:shd w:val="clear" w:color="auto" w:fill="FFFFFF"/>
                  <w:lang w:bidi="en-US"/>
                </w:rPr>
              </w:pPr>
              <w:r>
                <w:rPr>
                  <w:rFonts w:eastAsia="Andale Sans UI" w:cs="Tahoma"/>
                  <w:szCs w:val="24"/>
                  <w:lang w:bidi="en-US"/>
                </w:rPr>
                <w:t xml:space="preserve">Atsižvelgiant į CPVA pastabas, Apraše turi būti papildyti išlaidų tinkamumo finansuoti reikalavimai, nurodant netinkamomis finansuoti išlaidomis </w:t>
              </w:r>
              <w:r>
                <w:rPr>
                  <w:rFonts w:eastAsia="Andale Sans UI" w:cs="Tahoma"/>
                  <w:color w:val="000000"/>
                  <w:szCs w:val="24"/>
                  <w:shd w:val="clear" w:color="auto" w:fill="FFFFFF"/>
                  <w:lang w:bidi="en-US"/>
                </w:rPr>
                <w:t>statybos ir rekonstrukcijos darbų bei žemės įsigijimo išlaidas. Šios išlaidos nėra įtrauktos Apraše pateiktuose išlaidų tinkamumo finansuoti reikalavimuose, todėl pareiškėjams kyla neaiškumų.</w:t>
              </w:r>
            </w:p>
            <w:p>
              <w:pPr>
                <w:ind w:firstLine="567"/>
                <w:jc w:val="both"/>
                <w:rPr>
                  <w:rFonts w:eastAsia="Andale Sans UI" w:cs="Tahoma"/>
                  <w:szCs w:val="24"/>
                  <w:lang w:bidi="en-US"/>
                </w:rPr>
              </w:pPr>
              <w:r>
                <w:rPr>
                  <w:rFonts w:eastAsia="Andale Sans UI" w:cs="Tahoma"/>
                  <w:szCs w:val="24"/>
                  <w:lang w:bidi="en-US"/>
                </w:rPr>
                <w:t>CPVA prašymu Apraše turi būti patikslintas pareiškėjo teikiamų dokumentų sąrašas, įtraukiant pagrindimo dokumentus dėl žemės sklypo ar pastato valdymo pagrindų, įrangos techninę specifikaciją, patikslinti poveikio aplinkai vertinimo dokumentai, projekto atrankos kriterijų skaičiavimas, nurodant papildomą skaičiavimo formulę, ir apvalinimo taisyklės. Reikia patikslinti šią informaciją, kad būtų aiškesnis teikiamų projekto įgyvendinimo planų vertinimas.</w:t>
              </w:r>
            </w:p>
          </w:sdtContent>
        </w:sdt>
        <w:sdt>
          <w:sdtPr>
            <w:alias w:val="2 p."/>
            <w:tag w:val="part_f0fd0595df3a4a8aba218606d59f3b37"/>
            <w:lock w:val="sdtLocked"/>
            <w:richText/>
          </w:sdtPr>
          <w:sdtContent>
            <w:p>
              <w:pPr>
                <w:ind w:firstLine="567"/>
                <w:jc w:val="both"/>
                <w:rPr>
                  <w:rFonts w:eastAsia="Andale Sans UI"/>
                  <w:szCs w:val="24"/>
                  <w:lang w:bidi="en-US"/>
                </w:rPr>
              </w:pPr>
              <w:sdt>
                <w:sdtPr>
                  <w:alias w:val="Numeris"/>
                  <w:tag w:val="nr_f0fd0595df3a4a8aba218606d59f3b37"/>
                  <w:lock w:val="sdtLocked"/>
                  <w:richText/>
                </w:sdtPr>
                <w:sdtContent>
                  <w:r>
                    <w:rPr>
                      <w:rFonts w:eastAsia="Andale Sans UI"/>
                      <w:b/>
                      <w:bCs/>
                      <w:szCs w:val="24"/>
                      <w:lang w:bidi="en-US"/>
                    </w:rPr>
                    <w:t>2</w:t>
                  </w:r>
                </w:sdtContent>
              </w:sdt>
              <w:r>
                <w:rPr>
                  <w:rFonts w:eastAsia="Andale Sans UI"/>
                  <w:b/>
                  <w:bCs/>
                  <w:szCs w:val="24"/>
                  <w:lang w:bidi="en-US"/>
                </w:rPr>
                <w:t>. Projektu siūlomo teisinio reguliavimo esmė – problemos sprendimas</w:t>
              </w:r>
            </w:p>
            <w:p>
              <w:pPr>
                <w:ind w:firstLine="567"/>
                <w:jc w:val="both"/>
                <w:rPr>
                  <w:rFonts w:eastAsia="Andale Sans UI"/>
                  <w:szCs w:val="24"/>
                  <w:lang w:bidi="en-US"/>
                </w:rPr>
              </w:pPr>
              <w:r>
                <w:rPr>
                  <w:rFonts w:eastAsia="Andale Sans UI"/>
                  <w:bCs/>
                  <w:szCs w:val="24"/>
                  <w:lang w:bidi="en-US"/>
                </w:rPr>
                <w:t xml:space="preserve">Atsižvelgiant į </w:t>
              </w:r>
              <w:r>
                <w:rPr>
                  <w:rFonts w:eastAsia="Andale Sans UI"/>
                  <w:szCs w:val="24"/>
                  <w:lang w:bidi="en-US"/>
                </w:rPr>
                <w:t xml:space="preserve">Investicijų programos pakeitimą, Aprašo 2.1 papunktyje išplečiamos finansuojamos veiklos. </w:t>
              </w:r>
            </w:p>
            <w:p>
              <w:pPr>
                <w:ind w:firstLine="567"/>
                <w:jc w:val="both"/>
                <w:rPr>
                  <w:rFonts w:eastAsia="Andale Sans UI"/>
                  <w:bCs/>
                  <w:szCs w:val="24"/>
                  <w:lang w:bidi="en-US"/>
                </w:rPr>
              </w:pPr>
              <w:r>
                <w:rPr>
                  <w:rFonts w:eastAsia="Andale Sans UI"/>
                  <w:szCs w:val="24"/>
                  <w:lang w:bidi="en-US"/>
                </w:rPr>
                <w:t xml:space="preserve">Atsižvelgiant į CPVA pastabas, </w:t>
              </w:r>
              <w:r>
                <w:rPr>
                  <w:rFonts w:eastAsia="Andale Sans UI"/>
                  <w:bCs/>
                  <w:szCs w:val="24"/>
                  <w:lang w:bidi="en-US"/>
                </w:rPr>
                <w:t xml:space="preserve">Apraše atliekami šie pagrindiniai pakeitimai: atsisakoma partnerių (tikslinami 2.6, 2.13, 2.18.5, 2.18.8, 8.3.3 papunkčiai, atsisakoma 2.7 ir 2.18.4 papunkčių), įtraukiami pareiškėjo teikiami pagrindimo dokumentai (Aprašas papildomas 2.18.11 papunkčiu dėl </w:t>
              </w:r>
              <w:r>
                <w:rPr>
                  <w:rFonts w:eastAsia="Andale Sans UI" w:cs="Tahoma"/>
                  <w:szCs w:val="24"/>
                  <w:lang w:bidi="en-US"/>
                </w:rPr>
                <w:t xml:space="preserve">žemės sklypo ar pastato valdymo pagrindų, papildomas 2.18.12 papunkčiu dėl deklaracijos, jei planuojamos ūkinės veiklos poveikio aplinkai vertinimas neatliekamas, papildomas 2.18.14 papunkčiu dėl plastiko atliekų perdirbimo įrangos techninės specifikacijos pateikimo),  taip pat </w:t>
              </w:r>
              <w:r>
                <w:rPr>
                  <w:rFonts w:eastAsia="Andale Sans UI"/>
                  <w:bCs/>
                  <w:szCs w:val="24"/>
                  <w:lang w:bidi="en-US"/>
                </w:rPr>
                <w:t xml:space="preserve"> detalizuojami atrankos kriterijų skaičiavimai (tikslinama 9 punkto lentelė įtraukiant papildomą formulę skaičiuojant „</w:t>
              </w:r>
              <w:r>
                <w:rPr>
                  <w:rFonts w:eastAsia="Andale Sans UI" w:cs="Tahoma"/>
                  <w:bCs/>
                  <w:szCs w:val="24"/>
                  <w:lang w:bidi="en-US"/>
                </w:rPr>
                <w:t>už 1 suteiktos dotacijos eurą sukurti papildomi plastiko atliekų perdirbimo pajėgumai (kg/m)</w:t>
              </w:r>
              <w:r>
                <w:rPr>
                  <w:rFonts w:eastAsia="Andale Sans UI" w:cs="Tahoma"/>
                  <w:szCs w:val="24"/>
                  <w:lang w:eastAsia="lt-LT" w:bidi="en-US"/>
                </w:rPr>
                <w:t>“</w:t>
              </w:r>
              <w:r>
                <w:rPr>
                  <w:rFonts w:eastAsia="Andale Sans UI"/>
                  <w:bCs/>
                  <w:szCs w:val="24"/>
                  <w:lang w:bidi="en-US"/>
                </w:rPr>
                <w:t xml:space="preserve">, tikslinamas apvalinimas), Aprašas papildomas 13.5.6 ir 13.5.7 papunkčiais, nurodant netinkamomis finansuoti statybos darbų ir rekonstrukcijos bei žemės įsigijimo išlaidas. </w:t>
              </w:r>
            </w:p>
          </w:sdtContent>
        </w:sdt>
        <w:sdt>
          <w:sdtPr>
            <w:alias w:val="3 p."/>
            <w:tag w:val="part_1a839522994e433085c78a401623e8e5"/>
            <w:lock w:val="sdtLocked"/>
            <w:richText/>
          </w:sdtPr>
          <w:sdtContent>
            <w:p>
              <w:pPr>
                <w:ind w:firstLine="567"/>
                <w:jc w:val="both"/>
                <w:rPr>
                  <w:rFonts w:eastAsia="Andale Sans UI"/>
                  <w:b/>
                  <w:bCs/>
                  <w:szCs w:val="24"/>
                  <w:lang w:bidi="en-US"/>
                </w:rPr>
              </w:pPr>
              <w:sdt>
                <w:sdtPr>
                  <w:alias w:val="Numeris"/>
                  <w:tag w:val="nr_1a839522994e433085c78a401623e8e5"/>
                  <w:lock w:val="sdtLocked"/>
                  <w:richText/>
                </w:sdtPr>
                <w:sdtContent>
                  <w:r>
                    <w:rPr>
                      <w:rFonts w:eastAsia="Andale Sans UI"/>
                      <w:b/>
                      <w:bCs/>
                      <w:szCs w:val="24"/>
                      <w:lang w:bidi="en-US"/>
                    </w:rPr>
                    <w:t>3</w:t>
                  </w:r>
                </w:sdtContent>
              </w:sdt>
              <w:r>
                <w:rPr>
                  <w:rFonts w:eastAsia="Andale Sans UI"/>
                  <w:b/>
                  <w:bCs/>
                  <w:szCs w:val="24"/>
                  <w:lang w:bidi="en-US"/>
                </w:rPr>
                <w:t>. Pasiūlymų įgyvendinimo mechanizmas, kaštai ir nauda</w:t>
              </w:r>
            </w:p>
            <w:p>
              <w:pPr>
                <w:suppressAutoHyphens/>
                <w:ind w:firstLine="567"/>
                <w:jc w:val="both"/>
                <w:rPr>
                  <w:rFonts w:eastAsia="Andale Sans UI;Times New Roman" w:cs="Tahoma"/>
                  <w:szCs w:val="24"/>
                  <w:lang w:eastAsia="zh-CN" w:bidi="en-US"/>
                </w:rPr>
              </w:pPr>
              <w:r>
                <w:rPr>
                  <w:rFonts w:eastAsia="Andale Sans UI;Times New Roman" w:cs="Tahoma"/>
                  <w:szCs w:val="24"/>
                  <w:lang w:eastAsia="zh-CN" w:bidi="en-US"/>
                </w:rPr>
                <w:t>Projekto nuostatoms įgyvendinti papildomų lėšų nereikės, rodikliai nekeičiami.</w:t>
              </w:r>
            </w:p>
            <w:p>
              <w:pPr>
                <w:suppressAutoHyphens/>
                <w:ind w:firstLine="567"/>
                <w:jc w:val="both"/>
                <w:rPr>
                  <w:rFonts w:eastAsia="Andale Sans UI" w:cs="Tahoma"/>
                  <w:szCs w:val="24"/>
                  <w:lang w:bidi="en-US"/>
                </w:rPr>
              </w:pPr>
              <w:r>
                <w:rPr>
                  <w:rFonts w:eastAsia="Andale Sans UI;Times New Roman" w:cs="Tahoma"/>
                  <w:szCs w:val="24"/>
                  <w:lang w:eastAsia="zh-CN" w:bidi="en-US"/>
                </w:rPr>
                <w:t xml:space="preserve">Patvirtinus Projektą, bus kokybiškai įgyvendintos </w:t>
              </w:r>
              <w:r>
                <w:rPr>
                  <w:rFonts w:eastAsia="Andale Sans UI" w:cs="Tahoma"/>
                  <w:szCs w:val="24"/>
                  <w:lang w:eastAsia="lt-LT" w:bidi="en-US"/>
                </w:rPr>
                <w:t xml:space="preserve">Aprašo </w:t>
              </w:r>
              <w:r>
                <w:rPr>
                  <w:rFonts w:eastAsia="Andale Sans UI" w:cs="Tahoma"/>
                  <w:color w:val="000000"/>
                  <w:szCs w:val="24"/>
                  <w:lang w:bidi="en-US"/>
                </w:rPr>
                <w:t xml:space="preserve">veiklos – </w:t>
              </w:r>
              <w:r>
                <w:rPr>
                  <w:rFonts w:eastAsia="Andale Sans UI" w:cs="Tahoma"/>
                  <w:color w:val="000000"/>
                  <w:szCs w:val="24"/>
                  <w:lang w:eastAsia="lt-LT" w:bidi="en-US"/>
                </w:rPr>
                <w:t xml:space="preserve">iš gyventojų surenkamų komunalinių plastiko atliekų paruošimo perdirbti ir perdirbimo infrastruktūros sukūrimas / atnaujinimas. </w:t>
              </w:r>
              <w:r>
                <w:rPr>
                  <w:rFonts w:eastAsia="Andale Sans UI" w:cs="Tahoma"/>
                  <w:szCs w:val="24"/>
                  <w:lang w:bidi="en-US"/>
                </w:rPr>
                <w:t xml:space="preserve">Projektu bus sprendžiama didėjančio susidarančių plastiko atliekų kiekio ir nepakankamai efektyvaus atliekų tvarkymo problema. </w:t>
              </w:r>
            </w:p>
          </w:sdtContent>
        </w:sdt>
        <w:sdt>
          <w:sdtPr>
            <w:alias w:val="4 p."/>
            <w:tag w:val="part_7f776e19966042ae80eff7290ebd2038"/>
            <w:lock w:val="sdtLocked"/>
            <w:richText/>
          </w:sdtPr>
          <w:sdtContent>
            <w:p>
              <w:pPr>
                <w:ind w:firstLine="567"/>
                <w:jc w:val="both"/>
                <w:rPr>
                  <w:rFonts w:eastAsia="Andale Sans UI" w:cs="Tahoma"/>
                  <w:szCs w:val="24"/>
                  <w:lang w:bidi="en-US"/>
                </w:rPr>
              </w:pPr>
              <w:sdt>
                <w:sdtPr>
                  <w:alias w:val="Numeris"/>
                  <w:tag w:val="nr_7f776e19966042ae80eff7290ebd2038"/>
                  <w:lock w:val="sdtLocked"/>
                  <w:richText/>
                </w:sdtPr>
                <w:sdtContent>
                  <w:r>
                    <w:rPr>
                      <w:rFonts w:eastAsia="Andale Sans UI"/>
                      <w:b/>
                      <w:bCs/>
                      <w:szCs w:val="24"/>
                      <w:lang w:bidi="en-US"/>
                    </w:rPr>
                    <w:t>4</w:t>
                  </w:r>
                </w:sdtContent>
              </w:sdt>
              <w:r>
                <w:rPr>
                  <w:rFonts w:eastAsia="Andale Sans UI"/>
                  <w:b/>
                  <w:bCs/>
                  <w:szCs w:val="24"/>
                  <w:lang w:bidi="en-US"/>
                </w:rPr>
                <w:t>.</w:t>
              </w:r>
              <w:r>
                <w:rPr>
                  <w:rFonts w:eastAsia="Andale Sans UI"/>
                  <w:szCs w:val="24"/>
                  <w:lang w:bidi="en-US"/>
                </w:rPr>
                <w:t xml:space="preserve"> </w:t>
              </w:r>
              <w:r>
                <w:rPr>
                  <w:rFonts w:eastAsia="Andale Sans UI"/>
                  <w:b/>
                  <w:bCs/>
                  <w:szCs w:val="24"/>
                  <w:lang w:bidi="en-US"/>
                </w:rPr>
                <w:t>Numatomo teisinio reguliavimo poveikio vertinimas</w:t>
              </w:r>
              <w:r>
                <w:rPr>
                  <w:rFonts w:eastAsia="Andale Sans UI"/>
                  <w:b/>
                  <w:bCs/>
                  <w:szCs w:val="24"/>
                  <w:vertAlign w:val="superscript"/>
                  <w:lang w:bidi="en-US"/>
                </w:rPr>
                <w:footnoteReference w:id="3"/>
              </w:r>
              <w:r>
                <w:rPr>
                  <w:rFonts w:eastAsia="Andale Sans UI"/>
                  <w:b/>
                  <w:bCs/>
                  <w:szCs w:val="24"/>
                  <w:lang w:bidi="en-US"/>
                </w:rPr>
                <w:t xml:space="preserve"> </w:t>
              </w:r>
              <w:r>
                <w:rPr>
                  <w:szCs w:val="24"/>
                  <w:lang w:eastAsia="lt-LT" w:bidi="en-US"/>
                </w:rPr>
                <w:t>(pažymimas tinkamas variantas)</w:t>
              </w:r>
            </w:p>
            <w:p>
              <w:pPr>
                <w:widowControl w:val="0"/>
                <w:ind w:firstLine="567"/>
                <w:jc w:val="both"/>
                <w:rPr>
                  <w:b/>
                  <w:bCs/>
                  <w:i/>
                  <w:iCs/>
                  <w:szCs w:val="24"/>
                  <w:lang w:eastAsia="lt-LT"/>
                </w:rPr>
              </w:pPr>
              <w:r>
                <w:rPr>
                  <w:rFonts w:ascii="Segoe UI Symbol" w:eastAsia="MS Gothic" w:hAnsi="Segoe UI Symbol" w:cs="Segoe UI Symbol"/>
                  <w:szCs w:val="24"/>
                  <w:lang w:bidi="en-US"/>
                </w:rPr>
                <w:t>☐</w:t>
              </w:r>
              <w:r>
                <w:rPr>
                  <w:rFonts w:eastAsia="Andale Sans UI"/>
                  <w:szCs w:val="24"/>
                  <w:lang w:bidi="en-US"/>
                </w:rPr>
                <w:t xml:space="preserve"> Atliktas Projekto numatomo teisinio reguliavimo poveikio vertinimas (</w:t>
              </w:r>
              <w:r>
                <w:rPr>
                  <w:rFonts w:eastAsia="Andale Sans UI"/>
                  <w:i/>
                  <w:iCs/>
                  <w:color w:val="000000"/>
                  <w:szCs w:val="24"/>
                  <w:lang w:bidi="en-US"/>
                </w:rPr>
                <w:t>pateikiamos Projekto poveikio vertinimo rezultatų išvados – apibendrinta informacija, kurioje nurodomas numatomo teisinio reguliavimo tikslas, galimas teigiamas ir (ar) neigiamas Projekto poveikis kiekvienu vertinimo aspektu, kur įmanoma, pagrįstas atliktais skaičiavimais; jeigu atliekamas Projekto poveikio aplinkai ir klimato kaitai vertinimas</w:t>
              </w:r>
              <w:r>
                <w:rPr>
                  <w:rFonts w:eastAsia="Andale Sans UI"/>
                  <w:i/>
                  <w:iCs/>
                  <w:color w:val="000000"/>
                  <w:szCs w:val="24"/>
                  <w:vertAlign w:val="superscript"/>
                  <w:lang w:bidi="en-US"/>
                </w:rPr>
                <w:footnoteReference w:id="4"/>
              </w:r>
              <w:r>
                <w:rPr>
                  <w:rFonts w:eastAsia="Andale Sans UI"/>
                  <w:i/>
                  <w:iCs/>
                  <w:color w:val="000000"/>
                  <w:szCs w:val="24"/>
                  <w:lang w:bidi="en-US"/>
                </w:rPr>
                <w:t>, kokybiškai ir (ar) kiekybiškai įvertinamas ir aprašomas galimas poveikis aplinkai ir klimato kaitai</w:t>
              </w:r>
              <w:r>
                <w:rPr>
                  <w:rFonts w:eastAsia="Andale Sans UI"/>
                  <w:i/>
                  <w:iCs/>
                  <w:color w:val="000000"/>
                  <w:szCs w:val="24"/>
                  <w:vertAlign w:val="superscript"/>
                  <w:lang w:bidi="en-US"/>
                </w:rPr>
                <w:footnoteReference w:id="5"/>
              </w:r>
              <w:r>
                <w:rPr>
                  <w:rFonts w:eastAsia="Andale Sans UI"/>
                  <w:i/>
                  <w:iCs/>
                  <w:color w:val="000000"/>
                  <w:szCs w:val="24"/>
                  <w:lang w:bidi="en-US"/>
                </w:rPr>
                <w:t>; d</w:t>
              </w:r>
              <w:r>
                <w:rPr>
                  <w:rFonts w:eastAsia="Andale Sans UI"/>
                  <w:i/>
                  <w:iCs/>
                  <w:szCs w:val="24"/>
                  <w:lang w:bidi="en-US"/>
                </w:rPr>
                <w:t>ėl poveikio aplinkai ir klimato kaitai vertinimo konsultuoja Aplinkos apsaugos agentūra</w:t>
              </w:r>
              <w:r>
                <w:rPr>
                  <w:rFonts w:eastAsia="Andale Sans UI"/>
                  <w:i/>
                  <w:iCs/>
                  <w:szCs w:val="24"/>
                  <w:vertAlign w:val="superscript"/>
                  <w:lang w:bidi="en-US"/>
                </w:rPr>
                <w:footnoteReference w:id="6"/>
              </w:r>
              <w:r>
                <w:rPr>
                  <w:rFonts w:eastAsia="Andale Sans UI"/>
                  <w:color w:val="000000"/>
                  <w:szCs w:val="24"/>
                  <w:lang w:bidi="en-US"/>
                </w:rPr>
                <w:t>)</w:t>
              </w:r>
              <w:r>
                <w:rPr>
                  <w:rFonts w:eastAsia="Andale Sans UI"/>
                  <w:szCs w:val="24"/>
                  <w:lang w:bidi="en-US"/>
                </w:rPr>
                <w:t>.</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Projekto numatomo teisinio reguliavimo poveikio vertinimas neatliekamas.</w:t>
              </w:r>
            </w:p>
          </w:sdtContent>
        </w:sdt>
        <w:sdt>
          <w:sdtPr>
            <w:alias w:val="5 p."/>
            <w:tag w:val="part_b699ae680e0d445f856b76001fb976f0"/>
            <w:lock w:val="sdtLocked"/>
            <w:richText/>
          </w:sdtPr>
          <w:sdtContent>
            <w:p>
              <w:pPr>
                <w:ind w:firstLine="567"/>
                <w:jc w:val="both"/>
                <w:rPr>
                  <w:rFonts w:eastAsia="Andale Sans UI" w:cs="Tahoma"/>
                  <w:szCs w:val="24"/>
                  <w:lang w:bidi="en-US"/>
                </w:rPr>
              </w:pPr>
              <w:sdt>
                <w:sdtPr>
                  <w:alias w:val="Numeris"/>
                  <w:tag w:val="nr_b699ae680e0d445f856b76001fb976f0"/>
                  <w:lock w:val="sdtLocked"/>
                  <w:richText/>
                </w:sdtPr>
                <w:sdtContent>
                  <w:r>
                    <w:rPr>
                      <w:b/>
                      <w:bCs/>
                      <w:szCs w:val="24"/>
                      <w:lang w:eastAsia="lt-LT" w:bidi="en-US"/>
                    </w:rPr>
                    <w:t>5</w:t>
                  </w:r>
                </w:sdtContent>
              </w:sdt>
              <w:r>
                <w:rPr>
                  <w:b/>
                  <w:bCs/>
                  <w:szCs w:val="24"/>
                  <w:lang w:eastAsia="lt-LT" w:bidi="en-US"/>
                </w:rPr>
                <w:t xml:space="preserve">. Europos Sąjungos teisės aktų perkėlimas ir (ar) įgyvendinimas </w:t>
              </w:r>
              <w:r>
                <w:rPr>
                  <w:szCs w:val="24"/>
                  <w:lang w:eastAsia="lt-LT" w:bidi="en-US"/>
                </w:rPr>
                <w:t>(pažymimas tinkamas variantas)</w:t>
              </w:r>
            </w:p>
            <w:p>
              <w:pPr>
                <w:ind w:firstLine="567"/>
                <w:jc w:val="both"/>
                <w:rPr>
                  <w:b/>
                  <w:bCs/>
                  <w:szCs w:val="24"/>
                  <w:lang w:eastAsia="lt-LT" w:bidi="en-US"/>
                </w:rPr>
              </w:pPr>
              <w:r>
                <w:rPr>
                  <w:rFonts w:ascii="MS Gothic" w:eastAsia="MS Gothic" w:hAnsi="MS Gothic"/>
                  <w:szCs w:val="24"/>
                  <w:lang w:bidi="en-US"/>
                </w:rPr>
                <w:t>☒</w:t>
              </w:r>
              <w:r>
                <w:rPr>
                  <w:rFonts w:eastAsia="Andale Sans UI"/>
                  <w:szCs w:val="24"/>
                  <w:lang w:bidi="en-US"/>
                </w:rPr>
                <w:t xml:space="preserve"> Projektu neperkeliamos ir neįgyvendinamos Europos Sąjungos teisės aktų nuostatos.</w:t>
              </w:r>
            </w:p>
            <w:p>
              <w:pPr>
                <w:ind w:firstLine="567"/>
                <w:jc w:val="both"/>
                <w:rPr>
                  <w:color w:val="000000"/>
                  <w:szCs w:val="24"/>
                  <w:lang w:eastAsia="lt-LT" w:bidi="en-US"/>
                </w:rPr>
              </w:pPr>
              <w:r>
                <w:rPr>
                  <w:rFonts w:ascii="Segoe UI Symbol" w:eastAsia="MS Gothic" w:hAnsi="Segoe UI Symbol" w:cs="Segoe UI Symbol"/>
                  <w:szCs w:val="24"/>
                  <w:lang w:bidi="en-US"/>
                </w:rPr>
                <w:t>☐</w:t>
              </w:r>
              <w:r>
                <w:rPr>
                  <w:rFonts w:eastAsia="Andale Sans UI"/>
                  <w:szCs w:val="24"/>
                  <w:lang w:bidi="en-US"/>
                </w:rPr>
                <w:t xml:space="preserve"> Projektu perkeliamos (</w:t>
              </w:r>
              <w:r>
                <w:rPr>
                  <w:rFonts w:eastAsia="Andale Sans UI"/>
                  <w:i/>
                  <w:szCs w:val="24"/>
                  <w:lang w:bidi="en-US"/>
                </w:rPr>
                <w:t>dėl Direktyvų</w:t>
              </w:r>
              <w:r>
                <w:rPr>
                  <w:rFonts w:eastAsia="Andale Sans UI"/>
                  <w:szCs w:val="24"/>
                  <w:lang w:bidi="en-US"/>
                </w:rPr>
                <w:t>) ir (ar) įgyvendinamos (</w:t>
              </w:r>
              <w:r>
                <w:rPr>
                  <w:rFonts w:eastAsia="Andale Sans UI"/>
                  <w:i/>
                  <w:szCs w:val="24"/>
                  <w:lang w:bidi="en-US"/>
                </w:rPr>
                <w:t>dėl Reglamentų ir Sprendimų</w:t>
              </w:r>
              <w:r>
                <w:rPr>
                  <w:rFonts w:eastAsia="Andale Sans UI"/>
                  <w:szCs w:val="24"/>
                  <w:lang w:bidi="en-US"/>
                </w:rPr>
                <w:t>) šios Europos Sąjungos teisės aktų nuostatos: (</w:t>
              </w:r>
              <w:r>
                <w:rPr>
                  <w:rFonts w:eastAsia="Andale Sans UI"/>
                  <w:i/>
                  <w:szCs w:val="24"/>
                  <w:lang w:bidi="en-US"/>
                </w:rPr>
                <w:t>išvardijama</w:t>
              </w:r>
              <w:r>
                <w:rPr>
                  <w:rFonts w:eastAsia="Andale Sans UI"/>
                  <w:szCs w:val="24"/>
                  <w:lang w:bidi="en-US"/>
                </w:rPr>
                <w:t>).</w:t>
              </w:r>
              <w:r>
                <w:rPr>
                  <w:rFonts w:eastAsia="Andale Sans UI"/>
                  <w:i/>
                  <w:szCs w:val="24"/>
                  <w:lang w:bidi="en-US"/>
                </w:rPr>
                <w:t xml:space="preserve"> </w:t>
              </w:r>
              <w:r>
                <w:rPr>
                  <w:rFonts w:eastAsia="Andale Sans UI"/>
                  <w:szCs w:val="24"/>
                  <w:lang w:eastAsia="lt-LT" w:bidi="en-US"/>
                </w:rPr>
                <w:t>(</w:t>
              </w:r>
              <w:r>
                <w:rPr>
                  <w:rFonts w:eastAsia="Andale Sans UI"/>
                  <w:i/>
                  <w:iCs/>
                  <w:szCs w:val="24"/>
                  <w:lang w:eastAsia="lt-LT" w:bidi="en-US"/>
                </w:rPr>
                <w:t>Taip pat nurodomi kiti su Projektu susiję tiesiogiai taikomi Europos Sąjungos teisės aktai, kai jie nėra įgyvendinami.</w:t>
              </w:r>
              <w:r>
                <w:rPr>
                  <w:rFonts w:eastAsia="Andale Sans UI"/>
                  <w:szCs w:val="24"/>
                  <w:lang w:eastAsia="lt-LT" w:bidi="en-US"/>
                </w:rPr>
                <w:t xml:space="preserve">) Projektas yra įtrauktas į perkeliamo ir (ar) įgyvendinamo Europos Sąjungos teisės akto perkėlimo ir įgyvendinimo planą Lietuvos narystės Europos Sąjungoje informacinėje sistemoje (LINESIS), į kurią įkelta  atitikties lentelė</w:t>
              </w:r>
              <w:r>
                <w:rPr>
                  <w:rFonts w:eastAsia="Andale Sans UI"/>
                  <w:szCs w:val="24"/>
                  <w:vertAlign w:val="superscript"/>
                  <w:lang w:eastAsia="lt-LT" w:bidi="en-US"/>
                </w:rPr>
                <w:footnoteReference w:id="7"/>
              </w:r>
              <w:r>
                <w:rPr>
                  <w:rFonts w:eastAsia="Andale Sans UI"/>
                  <w:i/>
                  <w:szCs w:val="24"/>
                  <w:lang w:eastAsia="lt-LT" w:bidi="en-US"/>
                </w:rPr>
                <w:t xml:space="preserve">. </w:t>
              </w:r>
              <w:r>
                <w:rPr>
                  <w:rFonts w:eastAsia="Andale Sans UI"/>
                  <w:szCs w:val="24"/>
                  <w:lang w:bidi="en-US"/>
                </w:rPr>
                <w:t xml:space="preserve">Siekiant užtikrinti visišką </w:t>
              </w:r>
              <w:r>
                <w:rPr>
                  <w:color w:val="000000"/>
                  <w:szCs w:val="24"/>
                  <w:lang w:eastAsia="lt-LT" w:bidi="en-US"/>
                </w:rPr>
                <w:t>susijusių Europos Sąjungos teisės aktų perkėlimą ir (ar) įgyvendinimą, reikės priimti </w:t>
              </w:r>
              <w:r>
                <w:rPr>
                  <w:i/>
                  <w:iCs/>
                  <w:color w:val="000000"/>
                  <w:szCs w:val="24"/>
                  <w:lang w:eastAsia="lt-LT" w:bidi="en-US"/>
                </w:rPr>
                <w:t>...</w:t>
              </w:r>
              <w:r>
                <w:rPr>
                  <w:iCs/>
                  <w:color w:val="000000"/>
                  <w:szCs w:val="24"/>
                  <w:lang w:eastAsia="lt-LT" w:bidi="en-US"/>
                </w:rPr>
                <w:t>(</w:t>
              </w:r>
              <w:r>
                <w:rPr>
                  <w:i/>
                  <w:iCs/>
                  <w:color w:val="000000"/>
                  <w:szCs w:val="24"/>
                  <w:lang w:eastAsia="lt-LT" w:bidi="en-US"/>
                </w:rPr>
                <w:t>išvardijami Lietuvos Respublikos teisės aktai, kuriuos reikės priimti</w:t>
              </w:r>
              <w:r>
                <w:rPr>
                  <w:color w:val="000000"/>
                  <w:szCs w:val="24"/>
                  <w:lang w:eastAsia="lt-LT" w:bidi="en-US"/>
                </w:rPr>
                <w:t>) (</w:t>
              </w:r>
              <w:r>
                <w:rPr>
                  <w:b/>
                  <w:bCs/>
                  <w:color w:val="000000"/>
                  <w:szCs w:val="24"/>
                  <w:lang w:eastAsia="lt-LT" w:bidi="en-US"/>
                </w:rPr>
                <w:t>arba</w:t>
              </w:r>
              <w:r>
                <w:rPr>
                  <w:color w:val="000000"/>
                  <w:szCs w:val="24"/>
                  <w:lang w:eastAsia="lt-LT" w:bidi="en-US"/>
                </w:rPr>
                <w:t xml:space="preserve"> </w:t>
              </w:r>
              <w:r>
                <w:rPr>
                  <w:rFonts w:eastAsia="Andale Sans UI"/>
                  <w:szCs w:val="24"/>
                  <w:lang w:bidi="en-US"/>
                </w:rPr>
                <w:t xml:space="preserve">Siekiant užtikrinti visišką </w:t>
              </w:r>
              <w:r>
                <w:rPr>
                  <w:color w:val="000000"/>
                  <w:szCs w:val="24"/>
                  <w:lang w:eastAsia="lt-LT" w:bidi="en-US"/>
                </w:rPr>
                <w:t>susijusių Europos Sąjungos teisės aktų perkėlimą ir (ar) įgyvendinimą, kitų teisės aktų priimti nereikės.)</w:t>
              </w:r>
              <w:r>
                <w:rPr>
                  <w:rFonts w:eastAsia="Andale Sans UI"/>
                  <w:i/>
                  <w:iCs/>
                  <w:szCs w:val="24"/>
                  <w:lang w:eastAsia="lt-LT" w:bidi="en-US"/>
                </w:rPr>
                <w:t xml:space="preserve">. </w:t>
              </w:r>
            </w:p>
          </w:sdtContent>
        </w:sdt>
        <w:sdt>
          <w:sdtPr>
            <w:alias w:val="6 p."/>
            <w:tag w:val="part_f0a9949a8d524607a8bb44c9526b8705"/>
            <w:lock w:val="sdtLocked"/>
            <w:richText/>
          </w:sdtPr>
          <w:sdtContent>
            <w:p>
              <w:pPr>
                <w:ind w:firstLine="567"/>
                <w:jc w:val="both"/>
                <w:rPr>
                  <w:rFonts w:eastAsia="Andale Sans UI" w:cs="Tahoma"/>
                  <w:szCs w:val="24"/>
                  <w:lang w:bidi="en-US"/>
                </w:rPr>
              </w:pPr>
              <w:sdt>
                <w:sdtPr>
                  <w:alias w:val="Numeris"/>
                  <w:tag w:val="nr_f0a9949a8d524607a8bb44c9526b8705"/>
                  <w:lock w:val="sdtLocked"/>
                  <w:richText/>
                </w:sdtPr>
                <w:sdtContent>
                  <w:r>
                    <w:rPr>
                      <w:rFonts w:eastAsia="Andale Sans UI"/>
                      <w:b/>
                      <w:bCs/>
                      <w:szCs w:val="24"/>
                      <w:lang w:bidi="en-US"/>
                    </w:rPr>
                    <w:t>6</w:t>
                  </w:r>
                </w:sdtContent>
              </w:sdt>
              <w:r>
                <w:rPr>
                  <w:rFonts w:eastAsia="Andale Sans UI"/>
                  <w:b/>
                  <w:bCs/>
                  <w:szCs w:val="24"/>
                  <w:lang w:bidi="en-US"/>
                </w:rPr>
                <w:t>. Notifikavimas</w:t>
              </w:r>
              <w:r>
                <w:rPr>
                  <w:rFonts w:eastAsia="Andale Sans UI"/>
                  <w:b/>
                  <w:bCs/>
                  <w:szCs w:val="24"/>
                  <w:vertAlign w:val="superscript"/>
                  <w:lang w:bidi="en-US"/>
                </w:rPr>
                <w:footnoteReference w:id="8"/>
              </w:r>
              <w:r>
                <w:rPr>
                  <w:rFonts w:eastAsia="Andale Sans UI"/>
                  <w:b/>
                  <w:bCs/>
                  <w:szCs w:val="24"/>
                  <w:lang w:bidi="en-US"/>
                </w:rPr>
                <w:t xml:space="preserve"> Europos Komisijai </w:t>
              </w:r>
              <w:r>
                <w:rPr>
                  <w:szCs w:val="24"/>
                  <w:lang w:eastAsia="lt-LT" w:bidi="en-US"/>
                </w:rPr>
                <w:t>(pažymimas tinkamas variantas)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Projektas nenotifikuotinas Europos Komisijai.</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Projektas notifikuotinas Europos Komisijai </w:t>
              </w:r>
              <w:r>
                <w:rPr>
                  <w:rFonts w:eastAsia="Andale Sans UI" w:cs="Tahoma"/>
                  <w:szCs w:val="24"/>
                  <w:lang w:bidi="en-US"/>
                </w:rPr>
                <w:t>(</w:t>
              </w:r>
              <w:r>
                <w:rPr>
                  <w:rFonts w:eastAsia="Andale Sans UI" w:cs="Tahoma"/>
                  <w:i/>
                  <w:iCs/>
                  <w:szCs w:val="24"/>
                  <w:lang w:bidi="en-US"/>
                </w:rPr>
                <w:t>nurodoma data</w:t>
              </w:r>
              <w:r>
                <w:rPr>
                  <w:rFonts w:eastAsia="Andale Sans UI" w:cs="Tahoma"/>
                  <w:szCs w:val="24"/>
                  <w:lang w:bidi="en-US"/>
                </w:rPr>
                <w:t>).</w:t>
              </w:r>
            </w:p>
          </w:sdtContent>
        </w:sdt>
        <w:sdt>
          <w:sdtPr>
            <w:alias w:val="7 p."/>
            <w:tag w:val="part_fa7b9628b0604ad8a98cb08015a11cda"/>
            <w:lock w:val="sdtLocked"/>
            <w:richText/>
          </w:sdtPr>
          <w:sdtContent>
            <w:p>
              <w:pPr>
                <w:ind w:firstLine="567"/>
                <w:jc w:val="both"/>
                <w:rPr>
                  <w:rFonts w:eastAsia="Andale Sans UI" w:cs="Tahoma"/>
                  <w:color w:val="000000"/>
                  <w:szCs w:val="24"/>
                  <w:lang w:bidi="en-US"/>
                </w:rPr>
              </w:pPr>
              <w:sdt>
                <w:sdtPr>
                  <w:alias w:val="Numeris"/>
                  <w:tag w:val="nr_fa7b9628b0604ad8a98cb08015a11cda"/>
                  <w:lock w:val="sdtLocked"/>
                  <w:richText/>
                </w:sdtPr>
                <w:sdtContent>
                  <w:r>
                    <w:rPr>
                      <w:rFonts w:eastAsia="Andale Sans UI"/>
                      <w:b/>
                      <w:bCs/>
                      <w:szCs w:val="24"/>
                      <w:lang w:bidi="en-US"/>
                    </w:rPr>
                    <w:t>7</w:t>
                  </w:r>
                </w:sdtContent>
              </w:sdt>
              <w:r>
                <w:rPr>
                  <w:rFonts w:eastAsia="Andale Sans UI"/>
                  <w:b/>
                  <w:bCs/>
                  <w:szCs w:val="24"/>
                  <w:lang w:bidi="en-US"/>
                </w:rPr>
                <w:t>.</w:t>
              </w:r>
              <w:r>
                <w:rPr>
                  <w:rFonts w:eastAsia="Andale Sans UI"/>
                  <w:szCs w:val="24"/>
                  <w:lang w:bidi="en-US"/>
                </w:rPr>
                <w:t xml:space="preserve"> </w:t>
              </w:r>
              <w:r>
                <w:rPr>
                  <w:b/>
                  <w:bCs/>
                  <w:color w:val="000000"/>
                  <w:szCs w:val="24"/>
                  <w:lang w:eastAsia="lt-LT" w:bidi="en-US"/>
                </w:rPr>
                <w:t>Pranešimo Europos Komisijai teikimas</w:t>
              </w:r>
              <w:r>
                <w:rPr>
                  <w:b/>
                  <w:bCs/>
                  <w:color w:val="000000"/>
                  <w:szCs w:val="24"/>
                  <w:vertAlign w:val="superscript"/>
                  <w:lang w:eastAsia="lt-LT" w:bidi="en-US"/>
                </w:rPr>
                <w:footnoteReference w:id="9"/>
              </w:r>
              <w:r>
                <w:rPr>
                  <w:color w:val="000000"/>
                  <w:szCs w:val="24"/>
                  <w:lang w:eastAsia="lt-LT" w:bidi="en-US"/>
                </w:rPr>
                <w:t xml:space="preserve"> (</w:t>
              </w:r>
              <w:r>
                <w:rPr>
                  <w:szCs w:val="24"/>
                  <w:lang w:eastAsia="lt-LT" w:bidi="en-US"/>
                </w:rPr>
                <w:t>pažymimas tinkamas variantas)</w:t>
              </w:r>
            </w:p>
            <w:p>
              <w:pPr>
                <w:ind w:firstLine="567"/>
                <w:jc w:val="both"/>
                <w:rPr>
                  <w:color w:val="000000"/>
                  <w:szCs w:val="24"/>
                  <w:lang w:eastAsia="lt-LT" w:bidi="en-US"/>
                </w:rPr>
              </w:pPr>
              <w:r>
                <w:rPr>
                  <w:rFonts w:ascii="MS Gothic" w:eastAsia="MS Gothic" w:hAnsi="MS Gothic"/>
                  <w:szCs w:val="24"/>
                  <w:lang w:bidi="en-US"/>
                </w:rPr>
                <w:t>☐</w:t>
              </w:r>
              <w:r>
                <w:rPr>
                  <w:rFonts w:eastAsia="Andale Sans UI"/>
                  <w:szCs w:val="24"/>
                  <w:lang w:bidi="en-US"/>
                </w:rPr>
                <w:t xml:space="preserve"> P</w:t>
              </w:r>
              <w:r>
                <w:rPr>
                  <w:color w:val="000000"/>
                  <w:szCs w:val="24"/>
                  <w:lang w:eastAsia="lt-LT" w:bidi="en-US"/>
                </w:rPr>
                <w:t>ranešimas Europos Komisijai teiktinas.</w:t>
              </w:r>
            </w:p>
            <w:p>
              <w:pPr>
                <w:ind w:firstLine="567"/>
                <w:jc w:val="both"/>
                <w:rPr>
                  <w:rFonts w:eastAsia="Andale Sans UI" w:cs="Tahoma"/>
                  <w:szCs w:val="24"/>
                  <w:lang w:bidi="en-US"/>
                </w:rPr>
              </w:pPr>
              <w:r>
                <w:rPr>
                  <w:rFonts w:ascii="MS Gothic" w:eastAsia="MS Gothic" w:hAnsi="MS Gothic"/>
                  <w:szCs w:val="24"/>
                  <w:lang w:bidi="en-US"/>
                </w:rPr>
                <w:t>☒</w:t>
              </w:r>
              <w:r>
                <w:rPr>
                  <w:rFonts w:eastAsia="Andale Sans UI"/>
                  <w:szCs w:val="24"/>
                  <w:lang w:bidi="en-US"/>
                </w:rPr>
                <w:t xml:space="preserve"> P</w:t>
              </w:r>
              <w:r>
                <w:rPr>
                  <w:color w:val="000000"/>
                  <w:szCs w:val="24"/>
                  <w:lang w:eastAsia="lt-LT" w:bidi="en-US"/>
                </w:rPr>
                <w:t>ranešimas Europos Komisijai neteiktinas.</w:t>
              </w:r>
            </w:p>
          </w:sdtContent>
        </w:sdt>
        <w:sdt>
          <w:sdtPr>
            <w:alias w:val="8 p."/>
            <w:tag w:val="part_02dde66d06994b20a8eb7f824ce9cc3a"/>
            <w:lock w:val="sdtLocked"/>
            <w:richText/>
          </w:sdtPr>
          <w:sdtContent>
            <w:p>
              <w:pPr>
                <w:ind w:firstLine="567"/>
                <w:jc w:val="both"/>
                <w:rPr>
                  <w:rFonts w:eastAsia="Andale Sans UI"/>
                  <w:b/>
                  <w:bCs/>
                  <w:szCs w:val="24"/>
                  <w:lang w:bidi="en-US"/>
                </w:rPr>
              </w:pPr>
              <w:sdt>
                <w:sdtPr>
                  <w:alias w:val="Numeris"/>
                  <w:tag w:val="nr_02dde66d06994b20a8eb7f824ce9cc3a"/>
                  <w:lock w:val="sdtLocked"/>
                  <w:richText/>
                </w:sdtPr>
                <w:sdtContent>
                  <w:r>
                    <w:rPr>
                      <w:rFonts w:eastAsia="Andale Sans UI"/>
                      <w:b/>
                      <w:bCs/>
                      <w:szCs w:val="24"/>
                      <w:lang w:bidi="en-US"/>
                    </w:rPr>
                    <w:t>8</w:t>
                  </w:r>
                </w:sdtContent>
              </w:sdt>
              <w:r>
                <w:rPr>
                  <w:rFonts w:eastAsia="Andale Sans UI"/>
                  <w:b/>
                  <w:bCs/>
                  <w:szCs w:val="24"/>
                  <w:lang w:bidi="en-US"/>
                </w:rPr>
                <w:t xml:space="preserve">. Teisės aktai, kuriuos reikės priimti, pakeisti arba pripažinti netekusiais galios </w:t>
              </w:r>
              <w:r>
                <w:rPr>
                  <w:color w:val="000000"/>
                  <w:szCs w:val="24"/>
                  <w:lang w:eastAsia="lt-LT" w:bidi="en-US"/>
                </w:rPr>
                <w:t>(</w:t>
              </w:r>
              <w:r>
                <w:rPr>
                  <w:szCs w:val="24"/>
                  <w:lang w:eastAsia="lt-LT" w:bidi="en-US"/>
                </w:rPr>
                <w:t>pažymimas tinkamas variantas)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Projektui įtraukti į teisės sistemą kitų teisės aktų priimti nereikės.</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Projektui įtraukti į teisės sistemą reikės priimti šiuos teisės aktus: (</w:t>
              </w:r>
              <w:r>
                <w:rPr>
                  <w:rFonts w:eastAsia="Andale Sans UI"/>
                  <w:i/>
                  <w:szCs w:val="24"/>
                  <w:lang w:bidi="en-US"/>
                </w:rPr>
                <w:t>išvardijama</w:t>
              </w:r>
              <w:r>
                <w:rPr>
                  <w:rFonts w:eastAsia="Andale Sans UI"/>
                  <w:szCs w:val="24"/>
                  <w:lang w:bidi="en-US"/>
                </w:rPr>
                <w:t>)</w:t>
              </w:r>
              <w:r>
                <w:rPr>
                  <w:rFonts w:eastAsia="Andale Sans UI"/>
                  <w:i/>
                  <w:szCs w:val="24"/>
                  <w:lang w:bidi="en-US"/>
                </w:rPr>
                <w:t>.</w:t>
              </w:r>
            </w:p>
          </w:sdtContent>
        </w:sdt>
        <w:sdt>
          <w:sdtPr>
            <w:alias w:val="9 p."/>
            <w:tag w:val="part_5eaca51b1700485090a7478fce08c7b1"/>
            <w:lock w:val="sdtLocked"/>
            <w:richText/>
          </w:sdtPr>
          <w:sdtContent>
            <w:p>
              <w:pPr>
                <w:ind w:firstLine="567"/>
                <w:jc w:val="both"/>
                <w:rPr>
                  <w:rFonts w:eastAsia="Andale Sans UI"/>
                  <w:b/>
                  <w:bCs/>
                  <w:szCs w:val="24"/>
                  <w:lang w:bidi="en-US"/>
                </w:rPr>
              </w:pPr>
              <w:sdt>
                <w:sdtPr>
                  <w:alias w:val="Numeris"/>
                  <w:tag w:val="nr_5eaca51b1700485090a7478fce08c7b1"/>
                  <w:lock w:val="sdtLocked"/>
                  <w:richText/>
                </w:sdtPr>
                <w:sdtContent>
                  <w:r>
                    <w:rPr>
                      <w:rFonts w:eastAsia="Andale Sans UI"/>
                      <w:b/>
                      <w:bCs/>
                      <w:szCs w:val="24"/>
                      <w:lang w:bidi="en-US"/>
                    </w:rPr>
                    <w:t>9</w:t>
                  </w:r>
                </w:sdtContent>
              </w:sdt>
              <w:r>
                <w:rPr>
                  <w:rFonts w:eastAsia="Andale Sans UI"/>
                  <w:b/>
                  <w:bCs/>
                  <w:szCs w:val="24"/>
                  <w:lang w:bidi="en-US"/>
                </w:rPr>
                <w:t xml:space="preserve">. Informacija apie sąvokų įvertinimą Lietuvos Respublikos terminų banko įstatymo ir jo įgyvendinamųjų teisės aktų nustatyta tvarka </w:t>
              </w:r>
              <w:r>
                <w:rPr>
                  <w:color w:val="000000"/>
                  <w:szCs w:val="24"/>
                  <w:lang w:eastAsia="lt-LT" w:bidi="en-US"/>
                </w:rPr>
                <w:t>(</w:t>
              </w:r>
              <w:r>
                <w:rPr>
                  <w:szCs w:val="24"/>
                  <w:lang w:eastAsia="lt-LT" w:bidi="en-US"/>
                </w:rPr>
                <w:t>pažymimas tinkamas variantas)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Projekte naujų sąvokų nėra.</w:t>
              </w:r>
            </w:p>
            <w:p>
              <w:pPr>
                <w:ind w:firstLine="567"/>
                <w:jc w:val="both"/>
                <w:rPr>
                  <w:rFonts w:eastAsia="Andale Sans UI"/>
                  <w:color w:val="000000"/>
                  <w:szCs w:val="24"/>
                  <w:lang w:bidi="en-US"/>
                </w:rPr>
              </w:pPr>
              <w:r>
                <w:rPr>
                  <w:rFonts w:ascii="Segoe UI Symbol" w:eastAsia="MS Gothic" w:hAnsi="Segoe UI Symbol" w:cs="Segoe UI Symbol"/>
                  <w:szCs w:val="24"/>
                  <w:lang w:bidi="en-US"/>
                </w:rPr>
                <w:t>☐</w:t>
              </w:r>
              <w:r>
                <w:rPr>
                  <w:rFonts w:eastAsia="Andale Sans UI"/>
                  <w:szCs w:val="24"/>
                  <w:lang w:bidi="en-US"/>
                </w:rPr>
                <w:t xml:space="preserve"> P</w:t>
              </w:r>
              <w:r>
                <w:rPr>
                  <w:rFonts w:eastAsia="Andale Sans UI"/>
                  <w:color w:val="000000"/>
                  <w:szCs w:val="24"/>
                  <w:lang w:bidi="en-US"/>
                </w:rPr>
                <w:t>rojekte vartojamos sąvokos aprobuotos Lietuvos Respublikos terminų banko įstatymo ir jo įgyvendinamųjų teisės aktų nustatyta tvarka.</w:t>
              </w:r>
            </w:p>
          </w:sdtContent>
        </w:sdt>
        <w:sdt>
          <w:sdtPr>
            <w:alias w:val="10 p."/>
            <w:tag w:val="part_33b304860e9642d2add5c244e382fcae"/>
            <w:lock w:val="sdtLocked"/>
            <w:richText/>
          </w:sdtPr>
          <w:sdtContent>
            <w:p>
              <w:pPr>
                <w:ind w:firstLine="567"/>
                <w:jc w:val="both"/>
                <w:rPr>
                  <w:rFonts w:eastAsia="Andale Sans UI"/>
                  <w:b/>
                  <w:bCs/>
                  <w:szCs w:val="24"/>
                  <w:lang w:bidi="en-US"/>
                </w:rPr>
              </w:pPr>
              <w:sdt>
                <w:sdtPr>
                  <w:alias w:val="Numeris"/>
                  <w:tag w:val="nr_33b304860e9642d2add5c244e382fcae"/>
                  <w:lock w:val="sdtLocked"/>
                  <w:richText/>
                </w:sdtPr>
                <w:sdtContent>
                  <w:r>
                    <w:rPr>
                      <w:rFonts w:eastAsia="Andale Sans UI"/>
                      <w:b/>
                      <w:bCs/>
                      <w:szCs w:val="24"/>
                      <w:lang w:bidi="en-US"/>
                    </w:rPr>
                    <w:t>10</w:t>
                  </w:r>
                </w:sdtContent>
              </w:sdt>
              <w:r>
                <w:rPr>
                  <w:rFonts w:eastAsia="Andale Sans UI"/>
                  <w:b/>
                  <w:bCs/>
                  <w:szCs w:val="24"/>
                  <w:lang w:bidi="en-US"/>
                </w:rPr>
                <w:t>. Kita reikalinga informacija</w:t>
              </w:r>
            </w:p>
            <w:p>
              <w:pPr>
                <w:shd w:val="clear" w:color="auto" w:fill="FFFFFF"/>
                <w:ind w:firstLine="567"/>
                <w:jc w:val="both"/>
                <w:textAlignment w:val="center"/>
                <w:rPr>
                  <w:rFonts w:eastAsia="Andale Sans UI"/>
                  <w:color w:val="000000"/>
                  <w:szCs w:val="24"/>
                  <w:lang w:bidi="en-US"/>
                </w:rPr>
              </w:pPr>
              <w:r>
                <w:rPr>
                  <w:rFonts w:eastAsia="Andale Sans UI"/>
                  <w:szCs w:val="24"/>
                  <w:lang w:bidi="en-US"/>
                </w:rPr>
                <w:t>P</w:t>
              </w:r>
              <w:r>
                <w:rPr>
                  <w:rFonts w:eastAsia="Andale Sans UI"/>
                  <w:color w:val="000000"/>
                  <w:szCs w:val="24"/>
                  <w:lang w:bidi="en-US"/>
                </w:rPr>
                <w:t xml:space="preserve">rojekte nereglamentuojamas asmens duomenų naudojimas. </w:t>
              </w:r>
            </w:p>
            <w:p>
              <w:pPr>
                <w:shd w:val="clear" w:color="auto" w:fill="FFFFFF"/>
                <w:ind w:firstLine="567"/>
                <w:jc w:val="both"/>
                <w:textAlignment w:val="center"/>
                <w:rPr>
                  <w:i/>
                  <w:iCs/>
                  <w:szCs w:val="24"/>
                  <w:lang w:eastAsia="lt-LT" w:bidi="en-US"/>
                </w:rPr>
              </w:pPr>
              <w:r>
                <w:rPr>
                  <w:rFonts w:eastAsia="Andale Sans UI"/>
                  <w:szCs w:val="24"/>
                  <w:lang w:bidi="en-US"/>
                </w:rPr>
                <w:t xml:space="preserve">Projektas viešosioms konsultacijoms skelbtas interneto svetainėje </w:t>
              </w:r>
              <w:r>
                <w:rPr>
                  <w:rFonts w:eastAsia="Andale Sans UI" w:cs="Tahoma"/>
                  <w:bCs/>
                  <w:szCs w:val="24"/>
                  <w:lang w:bidi="en-US"/>
                </w:rPr>
                <w:t>esinvesticijos.lt</w:t>
              </w:r>
              <w:r>
                <w:rPr>
                  <w:rFonts w:eastAsia="Andale Sans UI"/>
                  <w:szCs w:val="24"/>
                  <w:lang w:bidi="en-US"/>
                </w:rPr>
                <w:t xml:space="preserve">, kur pastabas ir pasiūlymus </w:t>
              </w:r>
              <w:r>
                <w:rPr>
                  <w:rFonts w:eastAsia="Andale Sans UI" w:cs="Tahoma"/>
                  <w:bCs/>
                  <w:szCs w:val="24"/>
                  <w:lang w:bidi="en-US"/>
                </w:rPr>
                <w:t xml:space="preserve">nuo 2025 m. liepos 4 d. iki  2025 m. liepos 18 d. </w:t>
              </w:r>
              <w:r>
                <w:rPr>
                  <w:rFonts w:eastAsia="Andale Sans UI"/>
                  <w:szCs w:val="24"/>
                  <w:lang w:bidi="en-US"/>
                </w:rPr>
                <w:t>galėjo teikti visi suinteresuoti asmenys</w:t>
              </w:r>
              <w:r>
                <w:rPr>
                  <w:szCs w:val="24"/>
                  <w:lang w:eastAsia="lt-LT" w:bidi="en-US"/>
                </w:rPr>
                <w:t xml:space="preserve">. CPVA ir UAB „Sintesi consulting“ pateikė pastabų, į jas  atsižvelgta.</w:t>
              </w:r>
              <w:r>
                <w:rPr>
                  <w:i/>
                  <w:iCs/>
                  <w:szCs w:val="24"/>
                  <w:lang w:eastAsia="lt-LT" w:bidi="en-US"/>
                </w:rPr>
                <w:t xml:space="preserve"> </w:t>
              </w:r>
            </w:p>
          </w:sdtContent>
        </w:sdt>
        <w:sdt>
          <w:sdtPr>
            <w:alias w:val="11 p."/>
            <w:tag w:val="part_74a2ee1df23c4278bcc6c53f63d2b811"/>
            <w:lock w:val="sdtLocked"/>
            <w:richText/>
          </w:sdtPr>
          <w:sdtContent>
            <w:p>
              <w:pPr>
                <w:ind w:firstLine="567"/>
                <w:jc w:val="both"/>
                <w:rPr>
                  <w:rFonts w:eastAsia="Andale Sans UI"/>
                  <w:b/>
                  <w:bCs/>
                  <w:i/>
                  <w:color w:val="000000"/>
                  <w:szCs w:val="24"/>
                  <w:lang w:bidi="en-US"/>
                </w:rPr>
              </w:pPr>
              <w:sdt>
                <w:sdtPr>
                  <w:alias w:val="Numeris"/>
                  <w:tag w:val="nr_74a2ee1df23c4278bcc6c53f63d2b811"/>
                  <w:lock w:val="sdtLocked"/>
                  <w:richText/>
                </w:sdtPr>
                <w:sdtContent>
                  <w:r>
                    <w:rPr>
                      <w:rFonts w:eastAsia="Andale Sans UI"/>
                      <w:b/>
                      <w:bCs/>
                      <w:szCs w:val="24"/>
                      <w:lang w:bidi="en-US"/>
                    </w:rPr>
                    <w:t>11</w:t>
                  </w:r>
                </w:sdtContent>
              </w:sdt>
              <w:r>
                <w:rPr>
                  <w:rFonts w:eastAsia="Andale Sans UI"/>
                  <w:b/>
                  <w:bCs/>
                  <w:szCs w:val="24"/>
                  <w:lang w:bidi="en-US"/>
                </w:rPr>
                <w:t>. Konsultavimasis su visuomene</w:t>
              </w:r>
              <w:r>
                <w:rPr>
                  <w:rFonts w:eastAsia="Andale Sans UI"/>
                  <w:b/>
                  <w:bCs/>
                  <w:szCs w:val="24"/>
                  <w:vertAlign w:val="superscript"/>
                  <w:lang w:bidi="en-US"/>
                </w:rPr>
                <w:footnoteReference w:id="10"/>
              </w:r>
              <w:r>
                <w:rPr>
                  <w:rFonts w:eastAsia="Andale Sans UI"/>
                  <w:b/>
                  <w:bCs/>
                  <w:szCs w:val="24"/>
                  <w:lang w:bidi="en-US"/>
                </w:rPr>
                <w:t xml:space="preserve"> </w:t>
              </w:r>
              <w:r>
                <w:rPr>
                  <w:rFonts w:eastAsia="Andale Sans UI"/>
                  <w:b/>
                  <w:bCs/>
                  <w:color w:val="000000"/>
                  <w:szCs w:val="24"/>
                  <w:lang w:bidi="en-US"/>
                </w:rPr>
                <w:t>interneto svetainėje epilietis.lrv.lt</w:t>
              </w:r>
              <w:r>
                <w:rPr>
                  <w:rFonts w:eastAsia="Andale Sans UI"/>
                  <w:color w:val="000000"/>
                  <w:szCs w:val="24"/>
                  <w:lang w:bidi="en-US"/>
                </w:rPr>
                <w:t xml:space="preserve"> </w:t>
              </w:r>
              <w:r>
                <w:rPr>
                  <w:rFonts w:eastAsia="Andale Sans UI"/>
                  <w:b/>
                  <w:bCs/>
                  <w:i/>
                  <w:color w:val="000000"/>
                  <w:szCs w:val="24"/>
                  <w:lang w:bidi="en-US"/>
                </w:rPr>
                <w:t xml:space="preserve"> </w:t>
              </w:r>
              <w:r>
                <w:rPr>
                  <w:color w:val="000000"/>
                  <w:szCs w:val="24"/>
                  <w:lang w:eastAsia="lt-LT" w:bidi="en-US"/>
                </w:rPr>
                <w:t>(</w:t>
              </w:r>
              <w:r>
                <w:rPr>
                  <w:szCs w:val="24"/>
                  <w:lang w:eastAsia="lt-LT" w:bidi="en-US"/>
                </w:rPr>
                <w:t>pažymimas tinkamas variantas)</w:t>
              </w:r>
            </w:p>
            <w:p>
              <w:pPr>
                <w:ind w:firstLine="567"/>
                <w:jc w:val="both"/>
                <w:rPr>
                  <w:i/>
                  <w:iCs/>
                  <w:color w:val="000000"/>
                  <w:szCs w:val="24"/>
                  <w:lang w:eastAsia="lt-LT" w:bidi="en-US"/>
                </w:rPr>
              </w:pPr>
              <w:r>
                <w:rPr>
                  <w:rFonts w:ascii="Segoe UI Symbol" w:eastAsia="MS Gothic" w:hAnsi="Segoe UI Symbol" w:cs="Segoe UI Symbol"/>
                  <w:szCs w:val="24"/>
                  <w:lang w:bidi="en-US"/>
                </w:rPr>
                <w:t>☐</w:t>
              </w:r>
              <w:r>
                <w:rPr>
                  <w:rFonts w:eastAsia="Andale Sans UI"/>
                  <w:szCs w:val="24"/>
                  <w:lang w:bidi="en-US"/>
                </w:rPr>
                <w:t xml:space="preserve"> P</w:t>
              </w:r>
              <w:r>
                <w:rPr>
                  <w:rFonts w:eastAsia="Andale Sans UI"/>
                  <w:color w:val="000000"/>
                  <w:szCs w:val="24"/>
                  <w:lang w:bidi="en-US"/>
                </w:rPr>
                <w:t>rojektas viešosioms konsultacijoms skelbtas interneto svetainėje epilietis.lrv.lt, kur pastabas ir pasiūlymus nuo 202.. m. ... ... d. iki 202.. m. ... ... d. galėjo teikti visi suinteresuoti asmenys (</w:t>
              </w:r>
              <w:r>
                <w:rPr>
                  <w:rFonts w:eastAsia="Andale Sans UI"/>
                  <w:i/>
                  <w:color w:val="000000"/>
                  <w:szCs w:val="24"/>
                  <w:lang w:bidi="en-US"/>
                </w:rPr>
                <w:t xml:space="preserve">nurodomas </w:t>
              </w:r>
              <w:r>
                <w:rPr>
                  <w:rFonts w:eastAsia="Andale Sans UI"/>
                  <w:i/>
                  <w:szCs w:val="24"/>
                  <w:lang w:bidi="en-US"/>
                </w:rPr>
                <w:t xml:space="preserve">konsultavimosi tikslas (tikslai), būdas (būdai), </w:t>
              </w:r>
              <w:r>
                <w:rPr>
                  <w:i/>
                  <w:iCs/>
                  <w:color w:val="000000"/>
                  <w:szCs w:val="24"/>
                  <w:lang w:eastAsia="lt-LT" w:bidi="en-US"/>
                </w:rPr>
                <w:t>suinteresuoti asmenys, su kuriais konsultuotasi, konsultavimosi trukmė</w:t>
              </w:r>
              <w:r>
                <w:rPr>
                  <w:rFonts w:eastAsia="Andale Sans UI"/>
                  <w:i/>
                  <w:szCs w:val="24"/>
                  <w:lang w:bidi="en-US"/>
                </w:rPr>
                <w:t xml:space="preserve"> ir apibendrinti konsultavimosi rezultatai </w:t>
              </w:r>
              <w:r>
                <w:rPr>
                  <w:rFonts w:eastAsia="Andale Sans UI"/>
                  <w:i/>
                  <w:color w:val="000000"/>
                  <w:szCs w:val="24"/>
                  <w:lang w:bidi="en-US"/>
                </w:rPr>
                <w:t xml:space="preserve">– </w:t>
              </w:r>
              <w:r>
                <w:rPr>
                  <w:rFonts w:eastAsia="Andale Sans UI"/>
                  <w:i/>
                  <w:szCs w:val="24"/>
                  <w:lang w:bidi="en-US"/>
                </w:rPr>
                <w:t>pateikiamos bendros (agreguotos) viešųjų konsultacijų dalyvių nuomonių tendencijos, nurodoma, kaip į konsultavimosi su visuomene rezultatus atsižvelgta Projekte</w:t>
              </w:r>
              <w:r>
                <w:rPr>
                  <w:rFonts w:eastAsia="Andale Sans UI"/>
                  <w:szCs w:val="24"/>
                  <w:lang w:bidi="en-US"/>
                </w:rPr>
                <w:t>)</w:t>
              </w:r>
              <w:r>
                <w:rPr>
                  <w:rFonts w:eastAsia="Andale Sans UI"/>
                  <w:i/>
                  <w:szCs w:val="24"/>
                  <w:lang w:bidi="en-US"/>
                </w:rPr>
                <w:t xml:space="preserve"> </w:t>
              </w:r>
              <w:r>
                <w:rPr>
                  <w:rFonts w:eastAsia="Andale Sans UI"/>
                  <w:szCs w:val="24"/>
                  <w:lang w:bidi="en-US"/>
                </w:rPr>
                <w:t>(</w:t>
              </w:r>
              <w:r>
                <w:rPr>
                  <w:rFonts w:eastAsia="Andale Sans UI"/>
                  <w:b/>
                  <w:bCs/>
                  <w:iCs/>
                  <w:szCs w:val="24"/>
                  <w:lang w:bidi="en-US"/>
                </w:rPr>
                <w:t>arba</w:t>
              </w:r>
              <w:r>
                <w:rPr>
                  <w:rFonts w:eastAsia="Andale Sans UI"/>
                  <w:iCs/>
                  <w:szCs w:val="24"/>
                  <w:lang w:bidi="en-US"/>
                </w:rPr>
                <w:t xml:space="preserve"> </w:t>
              </w:r>
              <w:r>
                <w:rPr>
                  <w:rFonts w:eastAsia="Andale Sans UI"/>
                  <w:szCs w:val="24"/>
                  <w:lang w:bidi="en-US"/>
                </w:rPr>
                <w:t>P</w:t>
              </w:r>
              <w:r>
                <w:rPr>
                  <w:rFonts w:eastAsia="Andale Sans UI"/>
                  <w:color w:val="000000"/>
                  <w:szCs w:val="24"/>
                  <w:lang w:bidi="en-US"/>
                </w:rPr>
                <w:t>rojektas viešosioms konsultacijoms paskelbtas (</w:t>
              </w:r>
              <w:r>
                <w:rPr>
                  <w:rFonts w:eastAsia="Andale Sans UI"/>
                  <w:b/>
                  <w:bCs/>
                  <w:iCs/>
                  <w:color w:val="000000"/>
                  <w:szCs w:val="24"/>
                  <w:lang w:bidi="en-US"/>
                </w:rPr>
                <w:t>arba</w:t>
              </w:r>
              <w:r>
                <w:rPr>
                  <w:rFonts w:eastAsia="Andale Sans UI"/>
                  <w:color w:val="000000"/>
                  <w:szCs w:val="24"/>
                  <w:lang w:bidi="en-US"/>
                </w:rPr>
                <w:t xml:space="preserve"> bus skelbiamas) interneto svetainėje epilietis.lrv.lt, kur pastabas ir pasiūlymus gali teikti (</w:t>
              </w:r>
              <w:r>
                <w:rPr>
                  <w:rFonts w:eastAsia="Andale Sans UI"/>
                  <w:b/>
                  <w:bCs/>
                  <w:iCs/>
                  <w:color w:val="000000"/>
                  <w:szCs w:val="24"/>
                  <w:lang w:bidi="en-US"/>
                </w:rPr>
                <w:t>arba</w:t>
              </w:r>
              <w:r>
                <w:rPr>
                  <w:rFonts w:eastAsia="Andale Sans UI"/>
                  <w:color w:val="000000"/>
                  <w:szCs w:val="24"/>
                  <w:lang w:bidi="en-US"/>
                </w:rPr>
                <w:t xml:space="preserve"> galės teikti) visi suinteresuoti asmenys (</w:t>
              </w:r>
              <w:r>
                <w:rPr>
                  <w:i/>
                  <w:iCs/>
                  <w:color w:val="000000"/>
                  <w:szCs w:val="24"/>
                  <w:lang w:eastAsia="lt-LT" w:bidi="en-US"/>
                </w:rPr>
                <w:t>nurodomas konsultavimosi tikslas (tikslai), būdas (būdai), suinteresuoti asmenys ir konsultavimosi trukmė</w:t>
              </w:r>
              <w:r>
                <w:rPr>
                  <w:iCs/>
                  <w:color w:val="000000"/>
                  <w:szCs w:val="24"/>
                  <w:lang w:eastAsia="lt-LT" w:bidi="en-US"/>
                </w:rPr>
                <w:t>)</w:t>
              </w:r>
              <w:r>
                <w:rPr>
                  <w:rFonts w:eastAsia="Andale Sans UI"/>
                  <w:color w:val="000000"/>
                  <w:szCs w:val="24"/>
                  <w:lang w:bidi="en-US"/>
                </w:rPr>
                <w:t>.</w:t>
              </w:r>
            </w:p>
            <w:p>
              <w:pPr>
                <w:ind w:firstLine="567"/>
                <w:jc w:val="both"/>
                <w:rPr>
                  <w:color w:val="000000"/>
                  <w:szCs w:val="24"/>
                  <w:lang w:eastAsia="lt-LT" w:bidi="en-US"/>
                </w:rPr>
              </w:pPr>
              <w:r>
                <w:rPr>
                  <w:rFonts w:ascii="MS Gothic" w:eastAsia="MS Gothic" w:hAnsi="MS Gothic"/>
                  <w:szCs w:val="24"/>
                  <w:lang w:bidi="en-US"/>
                </w:rPr>
                <w:t>☒</w:t>
              </w:r>
              <w:r>
                <w:rPr>
                  <w:rFonts w:eastAsia="Andale Sans UI"/>
                  <w:szCs w:val="24"/>
                  <w:lang w:bidi="en-US"/>
                </w:rPr>
                <w:t xml:space="preserve"> P</w:t>
              </w:r>
              <w:r>
                <w:rPr>
                  <w:rFonts w:eastAsia="Andale Sans UI"/>
                  <w:color w:val="000000"/>
                  <w:szCs w:val="24"/>
                  <w:lang w:bidi="en-US"/>
                </w:rPr>
                <w:t xml:space="preserve">rojekto skelbti viešosioms konsultacijoms interneto svetainėje epilietis.lrv.lt </w:t>
              </w:r>
              <w:r>
                <w:rPr>
                  <w:color w:val="000000"/>
                  <w:szCs w:val="24"/>
                  <w:lang w:eastAsia="lt-LT" w:bidi="en-US"/>
                </w:rPr>
                <w:t>neplanuojama.</w:t>
              </w:r>
            </w:p>
          </w:sdtContent>
        </w:sdt>
        <w:sdt>
          <w:sdtPr>
            <w:alias w:val="12 p."/>
            <w:tag w:val="part_2ed7ae3841824389a577094d6637c84b"/>
            <w:lock w:val="sdtLocked"/>
            <w:richText/>
          </w:sdtPr>
          <w:sdtContent>
            <w:p>
              <w:pPr>
                <w:ind w:firstLine="567"/>
                <w:jc w:val="both"/>
                <w:rPr>
                  <w:rFonts w:eastAsia="Andale Sans UI"/>
                  <w:b/>
                  <w:bCs/>
                  <w:szCs w:val="24"/>
                  <w:lang w:bidi="en-US"/>
                </w:rPr>
              </w:pPr>
              <w:sdt>
                <w:sdtPr>
                  <w:alias w:val="Numeris"/>
                  <w:tag w:val="nr_2ed7ae3841824389a577094d6637c84b"/>
                  <w:lock w:val="sdtLocked"/>
                  <w:richText/>
                </w:sdtPr>
                <w:sdtContent>
                  <w:r>
                    <w:rPr>
                      <w:rFonts w:eastAsia="Andale Sans UI"/>
                      <w:b/>
                      <w:bCs/>
                      <w:szCs w:val="24"/>
                      <w:lang w:bidi="en-US"/>
                    </w:rPr>
                    <w:t>12</w:t>
                  </w:r>
                </w:sdtContent>
              </w:sdt>
              <w:r>
                <w:rPr>
                  <w:rFonts w:eastAsia="Andale Sans UI"/>
                  <w:b/>
                  <w:bCs/>
                  <w:szCs w:val="24"/>
                  <w:lang w:bidi="en-US"/>
                </w:rPr>
                <w:t>. Derinimas su suinteresuotomis institucijomis ir suinteresuotais asmenimis</w:t>
              </w:r>
            </w:p>
            <w:p>
              <w:pPr>
                <w:ind w:firstLine="567"/>
                <w:jc w:val="both"/>
                <w:rPr>
                  <w:rFonts w:eastAsia="Andale Sans UI"/>
                  <w:szCs w:val="24"/>
                  <w:lang w:bidi="en-US"/>
                </w:rPr>
              </w:pPr>
              <w:r>
                <w:rPr>
                  <w:rFonts w:eastAsia="Andale Sans UI"/>
                  <w:szCs w:val="24"/>
                  <w:lang w:bidi="en-US"/>
                </w:rPr>
                <w:t>Projektas skelbiamas Lietuvos Respublikos Seimo kanceliarijos teisės aktų informacinėje sistemoje (TAIS).</w:t>
              </w:r>
            </w:p>
            <w:p>
              <w:pPr>
                <w:ind w:firstLine="567"/>
                <w:jc w:val="both"/>
                <w:rPr>
                  <w:rFonts w:eastAsia="Andale Sans UI"/>
                  <w:szCs w:val="24"/>
                  <w:lang w:bidi="en-US"/>
                </w:rPr>
              </w:pPr>
              <w:r>
                <w:rPr>
                  <w:rFonts w:eastAsia="Andale Sans UI"/>
                  <w:szCs w:val="24"/>
                  <w:lang w:bidi="en-US"/>
                </w:rPr>
                <w:t xml:space="preserve">Derinimo terminas </w:t>
              </w:r>
              <w:r>
                <w:rPr>
                  <w:color w:val="000000"/>
                  <w:szCs w:val="24"/>
                  <w:lang w:eastAsia="lt-LT" w:bidi="en-US"/>
                </w:rPr>
                <w:t>(</w:t>
              </w:r>
              <w:r>
                <w:rPr>
                  <w:szCs w:val="24"/>
                  <w:lang w:eastAsia="lt-LT" w:bidi="en-US"/>
                </w:rPr>
                <w:t>pažymimas tinkamas variantas)</w:t>
              </w:r>
              <w:r>
                <w:rPr>
                  <w:rFonts w:eastAsia="Andale Sans UI"/>
                  <w:szCs w:val="24"/>
                  <w:lang w:bidi="en-US"/>
                </w:rPr>
                <w:t>:</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10 darbo dienų.</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5 darbo dienos (</w:t>
              </w:r>
              <w:r>
                <w:rPr>
                  <w:rFonts w:eastAsia="Calibri" w:cs="Tahoma"/>
                  <w:i/>
                  <w:iCs/>
                  <w:kern w:val="2"/>
                  <w:szCs w:val="24"/>
                  <w:lang w:bidi="en-US"/>
                </w:rPr>
                <w:t xml:space="preserve">jeigu dėl nenumatytų aplinkybių Projektas turi būti priimtas nedelsiant, surašomas motyvuotas prašymas suinteresuotų institucijų pateikti išvadas, o suinteresuotų asmenų – pastabas ir pasiūlymus </w:t>
              </w:r>
              <w:r>
                <w:rPr>
                  <w:rFonts w:eastAsia="Andale Sans UI"/>
                  <w:i/>
                  <w:iCs/>
                  <w:color w:val="000000"/>
                  <w:szCs w:val="24"/>
                  <w:lang w:bidi="en-US"/>
                </w:rPr>
                <w:t xml:space="preserve">dėl Projekto skubos tvarka </w:t>
              </w:r>
              <w:r>
                <w:rPr>
                  <w:rFonts w:eastAsia="Calibri" w:cs="Tahoma"/>
                  <w:i/>
                  <w:iCs/>
                  <w:kern w:val="2"/>
                  <w:szCs w:val="24"/>
                  <w:lang w:eastAsia="lt-LT" w:bidi="en-US"/>
                </w:rPr>
                <w:t>Ministrų, Vyriausybės įstaigų, įstaigų prie ministerijų ir kitų Vyriausybei pavaldžių ir atskaitingų viešojo administravimo subjektų norminių teisės aktų projektų rengimo taisyklių</w:t>
              </w:r>
              <w:r>
                <w:rPr>
                  <w:rFonts w:eastAsia="Andale Sans UI"/>
                  <w:i/>
                  <w:iCs/>
                  <w:szCs w:val="24"/>
                  <w:vertAlign w:val="superscript"/>
                  <w:lang w:bidi="en-US"/>
                </w:rPr>
                <w:footnoteReference w:id="11"/>
              </w:r>
              <w:r>
                <w:rPr>
                  <w:rFonts w:eastAsia="Andale Sans UI"/>
                  <w:i/>
                  <w:iCs/>
                  <w:szCs w:val="24"/>
                  <w:lang w:bidi="en-US"/>
                </w:rPr>
                <w:t xml:space="preserve"> 19 punkte išvardytais išimtiniais atvejais</w:t>
              </w:r>
              <w:r>
                <w:rPr>
                  <w:rFonts w:eastAsia="Andale Sans UI"/>
                  <w:szCs w:val="24"/>
                  <w:lang w:bidi="en-US"/>
                </w:rPr>
                <w:t>).</w:t>
              </w:r>
            </w:p>
          </w:sdtContent>
        </w:sdt>
        <w:sdt>
          <w:sdtPr>
            <w:alias w:val="13 p."/>
            <w:tag w:val="part_6b92d0b95ac84d20a4b74218c91dac3f"/>
            <w:lock w:val="sdtLocked"/>
            <w:richText/>
          </w:sdtPr>
          <w:sdtContent>
            <w:p>
              <w:pPr>
                <w:ind w:firstLine="567"/>
                <w:jc w:val="both"/>
                <w:rPr>
                  <w:rFonts w:eastAsia="Andale Sans UI"/>
                  <w:b/>
                  <w:bCs/>
                  <w:szCs w:val="24"/>
                  <w:lang w:bidi="en-US"/>
                </w:rPr>
              </w:pPr>
              <w:sdt>
                <w:sdtPr>
                  <w:alias w:val="Numeris"/>
                  <w:tag w:val="nr_6b92d0b95ac84d20a4b74218c91dac3f"/>
                  <w:lock w:val="sdtLocked"/>
                  <w:richText/>
                </w:sdtPr>
                <w:sdtContent>
                  <w:r>
                    <w:rPr>
                      <w:rFonts w:eastAsia="Andale Sans UI"/>
                      <w:b/>
                      <w:bCs/>
                      <w:szCs w:val="24"/>
                      <w:lang w:bidi="en-US"/>
                    </w:rPr>
                    <w:t>13</w:t>
                  </w:r>
                </w:sdtContent>
              </w:sdt>
              <w:r>
                <w:rPr>
                  <w:rFonts w:eastAsia="Andale Sans UI"/>
                  <w:b/>
                  <w:bCs/>
                  <w:szCs w:val="24"/>
                  <w:lang w:bidi="en-US"/>
                </w:rPr>
                <w:t>. Projekto rengėjai</w:t>
              </w:r>
            </w:p>
            <w:p>
              <w:pPr>
                <w:spacing w:line="276" w:lineRule="auto"/>
                <w:ind w:firstLine="567"/>
                <w:jc w:val="both"/>
                <w:rPr>
                  <w:rFonts w:eastAsia="Andale Sans UI" w:cs="Tahoma"/>
                  <w:szCs w:val="24"/>
                  <w:lang w:bidi="en-US"/>
                </w:rPr>
              </w:pPr>
              <w:r>
                <w:rPr>
                  <w:rFonts w:eastAsia="Andale Sans UI" w:cs="Tahoma"/>
                  <w:szCs w:val="24"/>
                  <w:lang w:bidi="en-US"/>
                </w:rPr>
                <w:t xml:space="preserve">Projektą parengė Aplinkos ministerijos Strateginio valdymo ir investicijų departamento Europos Sąjungos investicijų valdymo skyriaus (vedėja – Daiva Astasevičiūtė, mob. +370 612 98 513, el. p. daiva.astaseviciute@am.lt) patarėja Eglė Tolvaišienė (mob. +370 687 22 178 el. p. </w:t>
              </w:r>
              <w:r>
                <w:rPr>
                  <w:rFonts w:eastAsia="Andale Sans UI" w:cs="Tahoma"/>
                  <w:szCs w:val="24"/>
                  <w:lang w:bidi="en-US"/>
                </w:rPr>
                <w:t>egle.tolvaisiene@am.lt</w:t>
              </w:r>
              <w:r>
                <w:rPr>
                  <w:rFonts w:eastAsia="Andale Sans UI" w:cs="Tahoma"/>
                  <w:szCs w:val="24"/>
                  <w:lang w:bidi="en-US"/>
                </w:rPr>
                <w:t>).</w:t>
              </w:r>
            </w:p>
            <w:p>
              <w:pPr>
                <w:ind w:firstLine="567"/>
                <w:jc w:val="both"/>
                <w:rPr>
                  <w:rFonts w:eastAsia="Andale Sans UI"/>
                  <w:szCs w:val="24"/>
                  <w:lang w:bidi="en-US"/>
                </w:rPr>
              </w:pPr>
              <w:r>
                <w:rPr>
                  <w:rFonts w:eastAsia="Andale Sans UI"/>
                  <w:szCs w:val="24"/>
                  <w:lang w:bidi="en-US"/>
                </w:rPr>
                <w:t>PRIDEDAMA:</w:t>
              </w:r>
            </w:p>
          </w:sdtContent>
        </w:sdt>
        <w:sdt>
          <w:sdtPr>
            <w:alias w:val="1 p."/>
            <w:tag w:val="part_27396b8ec6004f8eb9a8b9246aec8de5"/>
            <w:lock w:val="sdtLocked"/>
            <w:richText/>
          </w:sdtPr>
          <w:sdtContent>
            <w:p>
              <w:pPr>
                <w:ind w:firstLine="567"/>
                <w:jc w:val="both"/>
                <w:rPr>
                  <w:szCs w:val="24"/>
                  <w:lang w:eastAsia="lt-LT" w:bidi="en-US"/>
                </w:rPr>
              </w:pPr>
              <w:sdt>
                <w:sdtPr>
                  <w:alias w:val="Numeris"/>
                  <w:tag w:val="nr_27396b8ec6004f8eb9a8b9246aec8de5"/>
                  <w:lock w:val="sdtLocked"/>
                  <w:richText/>
                </w:sdtPr>
                <w:sdtContent>
                  <w:r>
                    <w:rPr>
                      <w:szCs w:val="24"/>
                      <w:lang w:eastAsia="lt-LT" w:bidi="en-US"/>
                    </w:rPr>
                    <w:t>1</w:t>
                  </w:r>
                </w:sdtContent>
              </w:sdt>
              <w:r>
                <w:rPr>
                  <w:szCs w:val="24"/>
                  <w:lang w:eastAsia="lt-LT" w:bidi="en-US"/>
                </w:rPr>
                <w:t xml:space="preserve">. </w:t>
              </w:r>
              <w:r>
                <w:rPr>
                  <w:rFonts w:eastAsia="Andale Sans UI"/>
                  <w:szCs w:val="24"/>
                  <w:lang w:bidi="en-US"/>
                </w:rPr>
                <w:t>P</w:t>
              </w:r>
              <w:r>
                <w:rPr>
                  <w:szCs w:val="24"/>
                  <w:lang w:eastAsia="lt-LT" w:bidi="en-US"/>
                </w:rPr>
                <w:t>rojektas, 9 lapai.</w:t>
              </w:r>
            </w:p>
          </w:sdtContent>
        </w:sdt>
        <w:sdt>
          <w:sdtPr>
            <w:alias w:val="2 p."/>
            <w:tag w:val="part_1e0cbd21798144aa8bd3d172f35683f5"/>
            <w:lock w:val="sdtLocked"/>
            <w:richText/>
          </w:sdtPr>
          <w:sdtContent>
            <w:p>
              <w:pPr>
                <w:ind w:firstLine="567"/>
                <w:jc w:val="both"/>
                <w:rPr>
                  <w:szCs w:val="24"/>
                  <w:lang w:eastAsia="lt-LT" w:bidi="en-US"/>
                </w:rPr>
              </w:pPr>
              <w:sdt>
                <w:sdtPr>
                  <w:alias w:val="Numeris"/>
                  <w:tag w:val="nr_1e0cbd21798144aa8bd3d172f35683f5"/>
                  <w:lock w:val="sdtLocked"/>
                  <w:richText/>
                </w:sdtPr>
                <w:sdtContent>
                  <w:r>
                    <w:rPr>
                      <w:szCs w:val="24"/>
                      <w:lang w:eastAsia="lt-LT" w:bidi="en-US"/>
                    </w:rPr>
                    <w:t>2</w:t>
                  </w:r>
                </w:sdtContent>
              </w:sdt>
              <w:r>
                <w:rPr>
                  <w:szCs w:val="24"/>
                  <w:lang w:eastAsia="lt-LT" w:bidi="en-US"/>
                </w:rPr>
                <w:t xml:space="preserve">. </w:t>
              </w:r>
              <w:r>
                <w:rPr>
                  <w:rFonts w:eastAsia="Andale Sans UI"/>
                  <w:szCs w:val="24"/>
                  <w:lang w:bidi="en-US"/>
                </w:rPr>
                <w:t>P</w:t>
              </w:r>
              <w:r>
                <w:rPr>
                  <w:szCs w:val="24"/>
                  <w:lang w:eastAsia="lt-LT" w:bidi="en-US"/>
                </w:rPr>
                <w:t>rojekto lyginamasis variantas, 10 lapų.</w:t>
              </w:r>
            </w:p>
          </w:sdtContent>
        </w:sdt>
        <w:sdt>
          <w:sdtPr>
            <w:alias w:val="3 p."/>
            <w:tag w:val="part_9786a5509cdc425b846cdf160b79df99"/>
            <w:lock w:val="sdtLocked"/>
            <w:richText/>
          </w:sdtPr>
          <w:sdtContent>
            <w:p>
              <w:pPr>
                <w:ind w:firstLine="567"/>
                <w:jc w:val="both"/>
                <w:rPr>
                  <w:szCs w:val="24"/>
                  <w:lang w:eastAsia="lt-LT" w:bidi="en-US"/>
                </w:rPr>
              </w:pPr>
              <w:sdt>
                <w:sdtPr>
                  <w:alias w:val="Numeris"/>
                  <w:tag w:val="nr_9786a5509cdc425b846cdf160b79df99"/>
                  <w:lock w:val="sdtLocked"/>
                  <w:richText/>
                </w:sdtPr>
                <w:sdtContent>
                  <w:r>
                    <w:rPr>
                      <w:szCs w:val="24"/>
                      <w:lang w:eastAsia="lt-LT" w:bidi="en-US"/>
                    </w:rPr>
                    <w:t>3</w:t>
                  </w:r>
                </w:sdtContent>
              </w:sdt>
              <w:r>
                <w:rPr>
                  <w:szCs w:val="24"/>
                  <w:lang w:eastAsia="lt-LT" w:bidi="en-US"/>
                </w:rPr>
                <w:t>. Antikorupcinio vertinimo pažyma, 6 lapai.</w:t>
              </w:r>
            </w:p>
            <w:p>
              <w:pPr>
                <w:suppressLineNumbers/>
                <w:spacing w:line="276" w:lineRule="auto"/>
                <w:jc w:val="both"/>
                <w:rPr>
                  <w:rFonts w:eastAsia="Andale Sans UI"/>
                  <w:bCs/>
                  <w:szCs w:val="24"/>
                  <w:lang w:bidi="en-US"/>
                </w:rPr>
              </w:pPr>
            </w:p>
            <w:tbl>
              <w:tblPr>
                <w:tblW w:w="10919" w:type="dxa"/>
                <w:tblInd w:w="8" w:type="dxa"/>
                <w:tblLayout w:type="fixed"/>
                <w:tblCellMar>
                  <w:left w:w="0" w:type="dxa"/>
                  <w:right w:w="0" w:type="dxa"/>
                </w:tblCellMar>
                <w:tblLook w:val="0000" w:firstRow="0" w:lastRow="0" w:firstColumn="0" w:lastColumn="0" w:noHBand="0" w:noVBand="0"/>
              </w:tblPr>
              <w:tblGrid>
                <w:gridCol w:w="9773"/>
                <w:gridCol w:w="1146"/>
              </w:tblGrid>
              <w:tr>
                <w:trPr>
                  <w:trHeight w:val="340"/>
                </w:trPr>
                <w:tc>
                  <w:tcPr>
                    <w:tcW w:w="9773" w:type="dxa"/>
                    <w:vAlign w:val="bottom"/>
                  </w:tcPr>
                  <w:p>
                    <w:pPr>
                      <w:ind w:hanging="6"/>
                      <w:jc w:val="both"/>
                      <w:rPr>
                        <w:rFonts w:eastAsia="Andale Sans UI" w:cs="Tahoma"/>
                        <w:szCs w:val="24"/>
                        <w:lang w:bidi="en-US"/>
                      </w:rPr>
                    </w:pPr>
                    <w:r>
                      <w:rPr>
                        <w:rFonts w:eastAsia="Andale Sans UI" w:cs="Tahoma"/>
                        <w:szCs w:val="24"/>
                        <w:lang w:bidi="en-US"/>
                      </w:rPr>
                      <w:t>Teisės skyriaus vedėjo funkcijas vykdanti, </w:t>
                    </w:r>
                  </w:p>
                  <w:p>
                    <w:pPr>
                      <w:ind w:hanging="6"/>
                      <w:jc w:val="both"/>
                      <w:rPr>
                        <w:rFonts w:eastAsia="Andale Sans UI" w:cs="Tahoma"/>
                        <w:szCs w:val="24"/>
                        <w:lang w:val="fi-FI" w:bidi="en-US"/>
                      </w:rPr>
                    </w:pPr>
                    <w:r>
                      <w:rPr>
                        <w:rFonts w:eastAsia="Andale Sans UI" w:cs="Tahoma"/>
                        <w:szCs w:val="24"/>
                        <w:lang w:val="fi-FI" w:bidi="en-US"/>
                      </w:rPr>
                      <w:t xml:space="preserve">laikinai atliekanti Aplinkos ministerijos kanclerio funkcijas                                        </w:t>
                    </w:r>
                    <w:r>
                      <w:rPr>
                        <w:rFonts w:eastAsia="Andale Sans UI" w:cs="Tahoma"/>
                        <w:szCs w:val="24"/>
                        <w:lang w:bidi="en-US"/>
                      </w:rPr>
                      <w:t>Aušrūnė Burlėgė</w:t>
                    </w:r>
                  </w:p>
                  <w:p>
                    <w:pPr>
                      <w:ind w:hanging="6"/>
                      <w:rPr>
                        <w:rFonts w:eastAsia="Andale Sans UI" w:cs="Tahoma"/>
                        <w:szCs w:val="24"/>
                        <w:lang w:bidi="en-US"/>
                      </w:rPr>
                    </w:pPr>
                  </w:p>
                </w:tc>
                <w:tc>
                  <w:tcPr>
                    <w:tcW w:w="1146" w:type="dxa"/>
                    <w:vAlign w:val="bottom"/>
                  </w:tcPr>
                  <w:p>
                    <w:pPr>
                      <w:ind w:left="279" w:firstLine="288"/>
                      <w:jc w:val="right"/>
                      <w:rPr>
                        <w:rFonts w:eastAsia="Andale Sans UI" w:cs="Tahoma"/>
                        <w:szCs w:val="24"/>
                        <w:lang w:val="fi-FI" w:bidi="en-US"/>
                      </w:rPr>
                    </w:pPr>
                  </w:p>
                </w:tc>
              </w:tr>
              <w:tr>
                <w:trPr>
                  <w:trHeight w:val="340"/>
                </w:trPr>
                <w:tc>
                  <w:tcPr>
                    <w:tcW w:w="9773" w:type="dxa"/>
                    <w:vAlign w:val="bottom"/>
                  </w:tcPr>
                  <w:p>
                    <w:pPr>
                      <w:ind w:hanging="6"/>
                      <w:rPr>
                        <w:rFonts w:eastAsia="Andale Sans UI" w:cs="Tahoma"/>
                        <w:szCs w:val="24"/>
                        <w:lang w:bidi="en-US"/>
                      </w:rPr>
                    </w:pPr>
                  </w:p>
                </w:tc>
                <w:tc>
                  <w:tcPr>
                    <w:tcW w:w="1146" w:type="dxa"/>
                    <w:vAlign w:val="bottom"/>
                  </w:tcPr>
                  <w:p>
                    <w:pPr>
                      <w:ind w:firstLine="567"/>
                      <w:jc w:val="right"/>
                      <w:rPr>
                        <w:rFonts w:eastAsia="Andale Sans UI" w:cs="Tahoma"/>
                        <w:szCs w:val="24"/>
                        <w:lang w:bidi="en-US"/>
                      </w:rPr>
                    </w:pPr>
                  </w:p>
                </w:tc>
              </w:tr>
              <w:tr>
                <w:trPr>
                  <w:trHeight w:val="340"/>
                </w:trPr>
                <w:tc>
                  <w:tcPr>
                    <w:tcW w:w="9773" w:type="dxa"/>
                    <w:vAlign w:val="bottom"/>
                  </w:tcPr>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val="fi-FI"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tc>
                <w:tc>
                  <w:tcPr>
                    <w:tcW w:w="1146" w:type="dxa"/>
                    <w:vAlign w:val="bottom"/>
                  </w:tcPr>
                  <w:p>
                    <w:pPr>
                      <w:spacing w:line="276" w:lineRule="auto"/>
                      <w:ind w:right="34"/>
                      <w:jc w:val="right"/>
                      <w:rPr>
                        <w:rFonts w:eastAsia="Andale Sans UI"/>
                        <w:szCs w:val="24"/>
                        <w:lang w:bidi="en-US"/>
                      </w:rPr>
                    </w:pPr>
                  </w:p>
                </w:tc>
              </w:tr>
              <w:tr>
                <w:trPr>
                  <w:trHeight w:val="340"/>
                </w:trPr>
                <w:tc>
                  <w:tcPr>
                    <w:tcW w:w="9773" w:type="dxa"/>
                    <w:vAlign w:val="bottom"/>
                  </w:tcPr>
                  <w:p>
                    <w:pPr>
                      <w:suppressLineNumbers/>
                      <w:spacing w:line="276" w:lineRule="auto"/>
                      <w:jc w:val="both"/>
                      <w:rPr>
                        <w:rFonts w:eastAsia="Andale Sans UI"/>
                        <w:szCs w:val="24"/>
                        <w:lang w:bidi="en-US"/>
                      </w:rPr>
                    </w:pPr>
                  </w:p>
                </w:tc>
                <w:tc>
                  <w:tcPr>
                    <w:tcW w:w="1146" w:type="dxa"/>
                    <w:vAlign w:val="bottom"/>
                  </w:tcPr>
                  <w:p>
                    <w:pPr>
                      <w:spacing w:line="276" w:lineRule="auto"/>
                      <w:ind w:right="34"/>
                      <w:jc w:val="right"/>
                      <w:rPr>
                        <w:rFonts w:eastAsia="Andale Sans UI"/>
                        <w:szCs w:val="24"/>
                        <w:lang w:bidi="en-US"/>
                      </w:rPr>
                    </w:pPr>
                  </w:p>
                </w:tc>
              </w:tr>
              <w:tr>
                <w:trPr>
                  <w:cantSplit/>
                  <w:trHeight w:val="340"/>
                </w:trPr>
                <w:tc>
                  <w:tcPr>
                    <w:tcW w:w="10918" w:type="dxa"/>
                    <w:gridSpan w:val="2"/>
                  </w:tcPr>
                  <w:p>
                    <w:pPr>
                      <w:jc w:val="both"/>
                      <w:rPr>
                        <w:rFonts w:eastAsia="Andale Sans UI" w:cs="Tahoma"/>
                        <w:szCs w:val="24"/>
                        <w:lang w:bidi="en-US"/>
                      </w:rPr>
                    </w:pPr>
                    <w:r>
                      <w:rPr>
                        <w:rFonts w:eastAsia="Andale Sans UI" w:cs="Tahoma"/>
                        <w:szCs w:val="24"/>
                        <w:lang w:bidi="en-US"/>
                      </w:rPr>
                      <w:t>E. Tolvaišienė, mob. +370 </w:t>
                    </w:r>
                    <w:r>
                      <w:rPr>
                        <w:rFonts w:eastAsia="Andale Sans UI" w:cs="Tahoma"/>
                        <w:szCs w:val="24"/>
                        <w:lang w:val="en-US" w:bidi="en-US"/>
                      </w:rPr>
                      <w:t>687</w:t>
                    </w:r>
                    <w:r>
                      <w:rPr>
                        <w:rFonts w:eastAsia="Andale Sans UI" w:cs="Tahoma"/>
                        <w:szCs w:val="24"/>
                        <w:lang w:bidi="en-US"/>
                      </w:rPr>
                      <w:t xml:space="preserve"> 22 178, el. p. </w:t>
                    </w:r>
                    <w:r>
                      <w:rPr>
                        <w:rFonts w:eastAsia="Andale Sans UI" w:cs="Tahoma"/>
                        <w:color w:val="000080"/>
                        <w:szCs w:val="24"/>
                        <w:u w:val="single"/>
                        <w:lang w:bidi="en-US"/>
                      </w:rPr>
                      <w:t>egle.tolvaisiene@am.lt</w:t>
                    </w:r>
                  </w:p>
                  <w:p>
                    <w:pPr>
                      <w:suppressLineNumbers/>
                      <w:jc w:val="both"/>
                      <w:rPr>
                        <w:rFonts w:eastAsia="Andale Sans UI"/>
                        <w:szCs w:val="24"/>
                        <w:lang w:bidi="en-US"/>
                      </w:rPr>
                    </w:pPr>
                  </w:p>
                </w:tc>
              </w:tr>
            </w:tbl>
            <w:p>
              <w:pPr>
                <w:jc w:val="center"/>
                <w:rPr>
                  <w:rFonts w:eastAsia="Andale Sans UI" w:cs="Tahoma"/>
                  <w:szCs w:val="24"/>
                  <w:lang w:bidi="en-US"/>
                </w:rPr>
                <w:sectPr>
                  <w:headerReference w:type="even" r:id="rId13"/>
                  <w:headerReference w:type="default" r:id="rId14"/>
                  <w:footerReference w:type="even" r:id="rId15"/>
                  <w:footerReference w:type="default" r:id="rId16"/>
                  <w:headerReference w:type="first" r:id="rId17"/>
                  <w:footerReference w:type="first" r:id="rId18"/>
                  <w:footnotePr>
                    <w:pos w:val="beneathText"/>
                    <w:numRestart w:val="eachPage"/>
                  </w:footnotePr>
                  <w:endnotePr>
                    <w:numFmt w:val="decimal"/>
                  </w:endnotePr>
                  <w:pgSz w:w="11905" w:h="16837"/>
                  <w:pgMar w:top="1134" w:right="567" w:bottom="1134" w:left="1701" w:header="567" w:footer="232" w:gutter="0"/>
                  <w:cols w:space="1296"/>
                  <w:titlePg/>
                  <w:docGrid w:linePitch="326"/>
                </w:sectPr>
              </w:pPr>
            </w:p>
            <w:p>
              <w:pPr>
                <w:suppressLineNumbers/>
                <w:tabs>
                  <w:tab w:val="center" w:pos="4800"/>
                  <w:tab w:val="right" w:pos="9601"/>
                </w:tabs>
                <w:jc w:val="both"/>
                <w:rPr>
                  <w:rFonts w:eastAsia="Andale Sans UI" w:cs="Tahoma"/>
                  <w:szCs w:val="24"/>
                  <w:lang w:bidi="en-US"/>
                </w:rPr>
              </w:pPr>
            </w:p>
            <w:p>
              <w:pPr>
                <w:jc w:val="center"/>
                <w:rPr>
                  <w:rFonts w:eastAsia="Andale Sans UI" w:cs="Tahoma"/>
                  <w:szCs w:val="24"/>
                  <w:lang w:bidi="en-US"/>
                </w:rPr>
              </w:pPr>
              <w:r>
                <w:rPr>
                  <w:rFonts w:eastAsia="Andale Sans UI" w:cs="Tahoma"/>
                  <w:szCs w:val="24"/>
                  <w:lang w:bidi="en-US"/>
                </w:rPr>
                <w:t>ADRESATŲ SĄRAŠAS</w:t>
              </w:r>
            </w:p>
            <w:p>
              <w:pPr>
                <w:ind w:firstLine="567"/>
                <w:jc w:val="center"/>
                <w:rPr>
                  <w:rFonts w:eastAsia="Andale Sans UI" w:cs="Tahoma"/>
                  <w:szCs w:val="24"/>
                  <w:lang w:bidi="en-US"/>
                </w:rPr>
              </w:pPr>
            </w:p>
          </w:sdtContent>
        </w:sdt>
        <w:sdt>
          <w:sdtPr>
            <w:alias w:val="signatura"/>
            <w:tag w:val="part_c313861307ce46b69d3788b0c52f7ac7"/>
            <w:lock w:val="sdtLocked"/>
            <w:richText/>
          </w:sdtPr>
          <w:sdtContent>
            <w:p>
              <w:pPr>
                <w:textAlignment w:val="baseline"/>
                <w:rPr>
                  <w:rFonts w:eastAsia="Andale Sans UI"/>
                  <w:color w:val="000000"/>
                  <w:szCs w:val="24"/>
                  <w:shd w:val="clear" w:color="auto" w:fill="FFFFFF"/>
                  <w:lang w:eastAsia="lt-LT"/>
                </w:rPr>
              </w:pPr>
              <w:r>
                <w:rPr>
                  <w:rFonts w:eastAsia="Andale Sans UI"/>
                  <w:color w:val="000000"/>
                  <w:szCs w:val="24"/>
                  <w:shd w:val="clear" w:color="auto" w:fill="FFFFFF"/>
                  <w:lang w:eastAsia="lt-LT"/>
                </w:rPr>
                <w:t>Viešajai įstaigai Centrinei projektų valdymo agentūrai</w:t>
              </w:r>
            </w:p>
            <w:p>
              <w:pPr>
                <w:rPr>
                  <w:sz w:val="10"/>
                  <w:szCs w:val="10"/>
                </w:rPr>
              </w:pPr>
            </w:p>
            <w:p>
              <w:pPr>
                <w:textAlignment w:val="baseline"/>
                <w:rPr>
                  <w:rFonts w:eastAsia="Andale Sans UI"/>
                  <w:color w:val="000000"/>
                  <w:szCs w:val="24"/>
                  <w:shd w:val="clear" w:color="auto" w:fill="FFFFFF"/>
                  <w:lang w:eastAsia="lt-LT"/>
                </w:rPr>
              </w:pPr>
              <w:r>
                <w:rPr>
                  <w:rFonts w:eastAsia="Andale Sans UI"/>
                  <w:color w:val="000000"/>
                  <w:szCs w:val="24"/>
                  <w:shd w:val="clear" w:color="auto" w:fill="FFFFFF"/>
                  <w:lang w:eastAsia="lt-LT"/>
                </w:rPr>
                <w:t>Lietuvos Respublikos specialiajai tyrimų tarnybai</w:t>
              </w:r>
            </w:p>
            <w:p>
              <w:pPr>
                <w:rPr>
                  <w:sz w:val="10"/>
                  <w:szCs w:val="10"/>
                </w:rPr>
              </w:pPr>
            </w:p>
            <w:p>
              <w:pPr>
                <w:textAlignment w:val="baseline"/>
                <w:rPr>
                  <w:rFonts w:eastAsia="Andale Sans UI"/>
                  <w:color w:val="000000"/>
                  <w:szCs w:val="24"/>
                  <w:shd w:val="clear" w:color="auto" w:fill="FFFFFF"/>
                  <w:lang w:eastAsia="lt-LT"/>
                </w:rPr>
              </w:pPr>
              <w:r>
                <w:rPr>
                  <w:rFonts w:eastAsia="Andale Sans UI"/>
                  <w:color w:val="000000"/>
                  <w:szCs w:val="24"/>
                  <w:shd w:val="clear" w:color="auto" w:fill="FFFFFF"/>
                  <w:lang w:eastAsia="lt-LT"/>
                </w:rPr>
                <w:t>Lietuvos Respublikos konkurencijos tarybai</w:t>
              </w:r>
            </w:p>
            <w:p>
              <w:pPr>
                <w:rPr>
                  <w:sz w:val="10"/>
                  <w:szCs w:val="10"/>
                </w:rPr>
              </w:pPr>
            </w:p>
            <w:p>
              <w:pPr>
                <w:textAlignment w:val="baseline"/>
                <w:rPr>
                  <w:rFonts w:eastAsia="Andale Sans UI"/>
                  <w:color w:val="000000"/>
                  <w:szCs w:val="24"/>
                  <w:shd w:val="clear" w:color="auto" w:fill="FFFFFF"/>
                  <w:lang w:eastAsia="lt-LT"/>
                </w:rPr>
              </w:pPr>
              <w:r>
                <w:rPr>
                  <w:rFonts w:eastAsia="Andale Sans UI"/>
                  <w:color w:val="000000"/>
                  <w:szCs w:val="24"/>
                  <w:shd w:val="clear" w:color="auto" w:fill="FFFFFF"/>
                  <w:lang w:eastAsia="lt-LT"/>
                </w:rPr>
                <w:t>Lietuvos Respublikos ekonomikos ir inovacijų ministerijai</w:t>
              </w:r>
            </w:p>
            <w:p>
              <w:pPr>
                <w:rPr>
                  <w:sz w:val="10"/>
                  <w:szCs w:val="10"/>
                </w:rPr>
              </w:pPr>
            </w:p>
            <w:p>
              <w:pPr>
                <w:textAlignment w:val="baseline"/>
                <w:rPr>
                  <w:rFonts w:eastAsia="Andale Sans UI"/>
                  <w:color w:val="000000"/>
                  <w:szCs w:val="24"/>
                  <w:shd w:val="clear" w:color="auto" w:fill="FFFFFF"/>
                  <w:lang w:eastAsia="lt-LT"/>
                </w:rPr>
              </w:pPr>
              <w:r>
                <w:rPr>
                  <w:rFonts w:eastAsia="Andale Sans UI"/>
                  <w:color w:val="000000"/>
                  <w:szCs w:val="24"/>
                  <w:shd w:val="clear" w:color="auto" w:fill="FFFFFF"/>
                  <w:lang w:eastAsia="lt-LT"/>
                </w:rPr>
                <w:t>Antrinių žaliavų ir atliekų surinkėjų, perdirbėjų asociacijai</w:t>
              </w:r>
            </w:p>
            <w:p>
              <w:pPr>
                <w:rPr>
                  <w:sz w:val="10"/>
                  <w:szCs w:val="10"/>
                </w:rPr>
              </w:pPr>
            </w:p>
            <w:p>
              <w:pPr>
                <w:textAlignment w:val="baseline"/>
                <w:rPr>
                  <w:rFonts w:eastAsia="Andale Sans UI"/>
                  <w:color w:val="000000"/>
                  <w:szCs w:val="24"/>
                  <w:shd w:val="clear" w:color="auto" w:fill="FFFFFF"/>
                  <w:lang w:eastAsia="lt-LT"/>
                </w:rPr>
              </w:pPr>
              <w:r>
                <w:rPr>
                  <w:rFonts w:eastAsia="Andale Sans UI"/>
                  <w:color w:val="000000"/>
                  <w:szCs w:val="24"/>
                  <w:shd w:val="clear" w:color="auto" w:fill="FFFFFF"/>
                  <w:lang w:eastAsia="lt-LT"/>
                </w:rPr>
                <w:t>Lietuvos komunalininkų ir atliekų tvarkytojų asociacijai</w:t>
              </w:r>
            </w:p>
            <w:p>
              <w:pPr>
                <w:rPr>
                  <w:sz w:val="10"/>
                  <w:szCs w:val="10"/>
                </w:rPr>
              </w:pPr>
            </w:p>
            <w:p>
              <w:pPr>
                <w:textAlignment w:val="baseline"/>
                <w:rPr>
                  <w:rFonts w:eastAsia="Andale Sans UI"/>
                  <w:color w:val="000000"/>
                  <w:szCs w:val="24"/>
                  <w:shd w:val="clear" w:color="auto" w:fill="FFFFFF"/>
                  <w:lang w:eastAsia="lt-LT"/>
                </w:rPr>
              </w:pPr>
              <w:r>
                <w:rPr>
                  <w:rFonts w:eastAsia="Andale Sans UI"/>
                  <w:color w:val="000000"/>
                  <w:szCs w:val="24"/>
                  <w:shd w:val="clear" w:color="auto" w:fill="FFFFFF"/>
                  <w:lang w:eastAsia="lt-LT"/>
                </w:rPr>
                <w:t>Lietuvos pramonininkų konfederacijai</w:t>
              </w:r>
            </w:p>
            <w:p>
              <w:pPr>
                <w:rPr>
                  <w:sz w:val="10"/>
                  <w:szCs w:val="10"/>
                </w:rPr>
              </w:pPr>
            </w:p>
            <w:p>
              <w:pPr>
                <w:textAlignment w:val="baseline"/>
                <w:rPr>
                  <w:rFonts w:eastAsia="Andale Sans UI"/>
                  <w:color w:val="000000"/>
                  <w:szCs w:val="24"/>
                  <w:shd w:val="clear" w:color="auto" w:fill="FFFFFF"/>
                  <w:lang w:eastAsia="lt-LT"/>
                </w:rPr>
              </w:pPr>
              <w:r>
                <w:rPr>
                  <w:rFonts w:eastAsia="Andale Sans UI"/>
                  <w:color w:val="000000"/>
                  <w:szCs w:val="24"/>
                  <w:shd w:val="clear" w:color="auto" w:fill="FFFFFF"/>
                  <w:lang w:eastAsia="lt-LT"/>
                </w:rPr>
                <w:t>Lietuvos prekybos, pramonės ir amatų rūmų asociacijai</w:t>
              </w:r>
            </w:p>
            <w:p>
              <w:pPr>
                <w:rPr>
                  <w:sz w:val="10"/>
                  <w:szCs w:val="10"/>
                </w:rPr>
              </w:pPr>
            </w:p>
            <w:p>
              <w:pPr>
                <w:textAlignment w:val="baseline"/>
                <w:rPr>
                  <w:rFonts w:eastAsia="Andale Sans UI"/>
                  <w:color w:val="000000"/>
                  <w:szCs w:val="24"/>
                  <w:shd w:val="clear" w:color="auto" w:fill="FFFFFF"/>
                  <w:lang w:eastAsia="lt-LT"/>
                </w:rPr>
              </w:pPr>
              <w:r>
                <w:rPr>
                  <w:rFonts w:eastAsia="Andale Sans UI"/>
                  <w:color w:val="000000"/>
                  <w:szCs w:val="24"/>
                  <w:shd w:val="clear" w:color="auto" w:fill="FFFFFF"/>
                  <w:lang w:eastAsia="lt-LT"/>
                </w:rPr>
                <w:t>Lietuvos regioninių atliekų tvarkymo centrų asociacijai</w:t>
              </w:r>
            </w:p>
            <w:p>
              <w:pPr>
                <w:rPr>
                  <w:sz w:val="10"/>
                  <w:szCs w:val="10"/>
                </w:rPr>
              </w:pPr>
            </w:p>
            <w:p>
              <w:pPr>
                <w:textAlignment w:val="baseline"/>
                <w:rPr>
                  <w:rFonts w:eastAsia="Andale Sans UI"/>
                  <w:color w:val="000000"/>
                  <w:szCs w:val="24"/>
                  <w:shd w:val="clear" w:color="auto" w:fill="FFFFFF"/>
                  <w:lang w:eastAsia="lt-LT"/>
                </w:rPr>
              </w:pPr>
              <w:r>
                <w:rPr>
                  <w:rFonts w:eastAsia="Andale Sans UI"/>
                  <w:color w:val="000000"/>
                  <w:szCs w:val="24"/>
                  <w:shd w:val="clear" w:color="auto" w:fill="FFFFFF"/>
                  <w:lang w:eastAsia="lt-LT"/>
                </w:rPr>
                <w:t>Lietuvos verslo konfederacijai</w:t>
              </w:r>
            </w:p>
            <w:p>
              <w:pPr>
                <w:rPr>
                  <w:sz w:val="10"/>
                  <w:szCs w:val="10"/>
                </w:rPr>
              </w:pPr>
            </w:p>
            <w:p>
              <w:pPr>
                <w:textAlignment w:val="baseline"/>
                <w:rPr>
                  <w:rFonts w:eastAsia="Andale Sans UI"/>
                  <w:color w:val="000000"/>
                  <w:szCs w:val="24"/>
                  <w:shd w:val="clear" w:color="auto" w:fill="FFFFFF"/>
                  <w:lang w:eastAsia="lt-LT"/>
                </w:rPr>
              </w:pPr>
              <w:r>
                <w:rPr>
                  <w:rFonts w:eastAsia="Andale Sans UI"/>
                  <w:color w:val="000000"/>
                  <w:szCs w:val="24"/>
                  <w:shd w:val="clear" w:color="auto" w:fill="FFFFFF"/>
                  <w:lang w:eastAsia="lt-LT"/>
                </w:rPr>
                <w:t>Pakuotės atliekų perdirbėjų asociacijai</w:t>
              </w:r>
            </w:p>
            <w:p>
              <w:pPr>
                <w:rPr>
                  <w:sz w:val="10"/>
                  <w:szCs w:val="10"/>
                </w:rPr>
              </w:pPr>
            </w:p>
            <w:p>
              <w:pPr>
                <w:textAlignment w:val="baseline"/>
                <w:rPr>
                  <w:rFonts w:eastAsia="Andale Sans UI"/>
                  <w:szCs w:val="24"/>
                  <w:lang w:eastAsia="lt-LT"/>
                </w:rPr>
              </w:pPr>
              <w:r>
                <w:rPr>
                  <w:rFonts w:eastAsia="Andale Sans UI"/>
                  <w:color w:val="000000"/>
                  <w:szCs w:val="24"/>
                  <w:shd w:val="clear" w:color="auto" w:fill="FFFFFF"/>
                  <w:lang w:eastAsia="lt-LT"/>
                </w:rPr>
                <w:t>Lietuvos inžinerijos ir technologijų pramonės asociacijai LINPRA</w:t>
              </w:r>
            </w:p>
            <w:p>
              <w:pPr>
                <w:rPr>
                  <w:sz w:val="10"/>
                  <w:szCs w:val="10"/>
                </w:rPr>
              </w:pPr>
            </w:p>
            <w:p>
              <w:pPr>
                <w:textAlignment w:val="baseline"/>
                <w:rPr>
                  <w:rFonts w:eastAsia="Andale Sans UI"/>
                  <w:color w:val="000000"/>
                  <w:szCs w:val="24"/>
                  <w:shd w:val="clear" w:color="auto" w:fill="FFFFFF"/>
                  <w:lang w:eastAsia="lt-LT"/>
                </w:rPr>
              </w:pPr>
              <w:r>
                <w:rPr>
                  <w:rFonts w:eastAsia="Andale Sans UI"/>
                  <w:color w:val="000000"/>
                  <w:szCs w:val="24"/>
                  <w:shd w:val="clear" w:color="auto" w:fill="FFFFFF"/>
                  <w:lang w:eastAsia="lt-LT"/>
                </w:rPr>
                <w:t>VšĮ „Žiedinė ekonomika“</w:t>
              </w:r>
            </w:p>
            <w:p>
              <w:pPr>
                <w:rPr>
                  <w:sz w:val="10"/>
                  <w:szCs w:val="10"/>
                </w:rPr>
              </w:pPr>
            </w:p>
            <w:p>
              <w:pPr>
                <w:textAlignment w:val="baseline"/>
                <w:rPr>
                  <w:rFonts w:eastAsia="Andale Sans UI"/>
                  <w:color w:val="000000"/>
                  <w:szCs w:val="24"/>
                  <w:shd w:val="clear" w:color="auto" w:fill="FFFFFF"/>
                  <w:lang w:eastAsia="lt-LT"/>
                </w:rPr>
              </w:pPr>
              <w:r>
                <w:rPr>
                  <w:rFonts w:eastAsia="Andale Sans UI"/>
                  <w:color w:val="000000"/>
                  <w:szCs w:val="24"/>
                  <w:shd w:val="clear" w:color="auto" w:fill="FFFFFF"/>
                  <w:lang w:eastAsia="lt-LT"/>
                </w:rPr>
                <w:t xml:space="preserve">Gamintojų ir importuotojų asociacijai „GAMTOS ATEITIS“ </w:t>
              </w:r>
            </w:p>
            <w:p>
              <w:pPr>
                <w:rPr>
                  <w:sz w:val="10"/>
                  <w:szCs w:val="10"/>
                </w:rPr>
              </w:pPr>
            </w:p>
            <w:p>
              <w:pPr>
                <w:textAlignment w:val="baseline"/>
                <w:rPr>
                  <w:rFonts w:eastAsia="Andale Sans UI"/>
                  <w:color w:val="000000"/>
                  <w:szCs w:val="24"/>
                  <w:shd w:val="clear" w:color="auto" w:fill="FFFFFF"/>
                  <w:lang w:eastAsia="lt-LT"/>
                </w:rPr>
              </w:pPr>
              <w:r>
                <w:rPr>
                  <w:rFonts w:eastAsia="Andale Sans UI"/>
                  <w:color w:val="000000"/>
                  <w:szCs w:val="24"/>
                  <w:shd w:val="clear" w:color="auto" w:fill="FFFFFF"/>
                  <w:lang w:eastAsia="lt-LT"/>
                </w:rPr>
                <w:t>Viešajai įstaigai „Žaliasis taškas“</w:t>
              </w:r>
            </w:p>
            <w:p>
              <w:pPr>
                <w:rPr>
                  <w:sz w:val="10"/>
                  <w:szCs w:val="10"/>
                </w:rPr>
              </w:pPr>
            </w:p>
            <w:p>
              <w:pPr>
                <w:textAlignment w:val="baseline"/>
                <w:rPr>
                  <w:rFonts w:ascii="Segoe UI" w:hAnsi="Segoe UI" w:cs="Segoe UI"/>
                  <w:sz w:val="18"/>
                  <w:szCs w:val="18"/>
                  <w:lang w:eastAsia="lt-LT"/>
                </w:rPr>
              </w:pPr>
            </w:p>
          </w:sdtContent>
        </w:sdt>
      </w:sdtContent>
    </w:sdt>
    <w:sectPr>
      <w:footnotePr>
        <w:pos w:val="beneathText"/>
        <w:numRestart w:val="eachPage"/>
      </w:footnotePr>
      <w:endnotePr>
        <w:numFmt w:val="decimal"/>
      </w:endnotePr>
      <w:pgSz w:w="11905" w:h="16837"/>
      <w:pgMar w:top="1021" w:right="567" w:bottom="1021" w:left="1588" w:header="567" w:footer="232"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rFonts w:eastAsia="Andale Sans UI" w:cs="Tahoma"/>
          <w:szCs w:val="24"/>
          <w:lang w:bidi="en-US"/>
        </w:rPr>
      </w:pPr>
      <w:r>
        <w:rPr>
          <w:rFonts w:eastAsia="Andale Sans UI" w:cs="Tahoma"/>
          <w:szCs w:val="24"/>
          <w:lang w:bidi="en-US"/>
        </w:rPr>
        <w:separator/>
      </w:r>
    </w:p>
  </w:endnote>
  <w:endnote w:type="continuationSeparator" w:id="0">
    <w:p>
      <w:pPr>
        <w:jc w:val="both"/>
        <w:rPr>
          <w:rFonts w:eastAsia="Andale Sans UI" w:cs="Tahoma"/>
          <w:szCs w:val="24"/>
          <w:lang w:bidi="en-US"/>
        </w:rPr>
      </w:pPr>
      <w:r>
        <w:rPr>
          <w:rFonts w:eastAsia="Andale Sans UI" w:cs="Tahoma"/>
          <w:szCs w:val="24"/>
          <w:lang w:bidi="en-US"/>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Yu Gothic"/>
    <w:charset w:val="BA"/>
    <w:family w:val="swiss"/>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Andale Sans UI;Times New Roman">
    <w:panose1 w:val="00000000000000000000"/>
    <w:charset w:val="00"/>
    <w:family w:val="roman"/>
    <w:notTrueType/>
    <w:pitch w:val="default"/>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rFonts w:eastAsia="Andale Sans UI" w:cs="Tahoma"/>
          <w:szCs w:val="24"/>
          <w:lang w:bidi="en-US"/>
        </w:rPr>
      </w:pPr>
      <w:r>
        <w:rPr>
          <w:rFonts w:eastAsia="Andale Sans UI" w:cs="Tahoma"/>
          <w:szCs w:val="24"/>
          <w:lang w:bidi="en-US"/>
        </w:rPr>
        <w:separator/>
      </w:r>
    </w:p>
  </w:footnote>
  <w:footnote w:type="continuationSeparator" w:id="0">
    <w:p>
      <w:pPr>
        <w:jc w:val="both"/>
        <w:rPr>
          <w:rFonts w:eastAsia="Andale Sans UI" w:cs="Tahoma"/>
          <w:szCs w:val="24"/>
          <w:lang w:bidi="en-US"/>
        </w:rPr>
      </w:pPr>
      <w:r>
        <w:rPr>
          <w:rFonts w:eastAsia="Andale Sans UI" w:cs="Tahoma"/>
          <w:szCs w:val="24"/>
          <w:lang w:bidi="en-US"/>
        </w:rPr>
        <w:continuationSeparator/>
      </w:r>
    </w:p>
  </w:footnote>
  <w:footnote w:type="continuationNotice" w:id="1">
    <w:p/>
  </w:footnote>
  <w:footnote w:id="2">
    <w:p>
      <w:pPr>
        <w:rPr>
          <w:rFonts w:eastAsia="Andale Sans UI"/>
          <w:sz w:val="20"/>
        </w:rPr>
      </w:pPr>
      <w:r>
        <w:rPr>
          <w:rFonts w:eastAsia="Andale Sans UI"/>
          <w:sz w:val="20"/>
          <w:vertAlign w:val="superscript"/>
        </w:rPr>
        <w:footnoteRef/>
      </w:r>
      <w:r>
        <w:rPr>
          <w:rFonts w:eastAsia="Andale Sans UI"/>
          <w:sz w:val="20"/>
        </w:rPr>
        <w:t xml:space="preserve"> Patvirtinta </w:t>
      </w:r>
      <w:r>
        <w:rPr>
          <w:rFonts w:eastAsia="Andale Sans UI"/>
          <w:iCs/>
          <w:sz w:val="20"/>
          <w:szCs w:val="24"/>
        </w:rPr>
        <w:t xml:space="preserve">Europos Komisijos 2022 m. rugpjūčio 3 d. sprendimu Nr. C(2022) 5742  „2021–2027 metų Europos Sąjungos fondų investicijų programa“ dėl paramos iš Europos regioninės plėtros fondo, Sanglaudos fondo ir „Europos socialinio fondo +“ Lietuvoje siekiant investicijų į darbo vietų kūrimą ir ekonomikos augimą tikslo.</w:t>
      </w:r>
    </w:p>
  </w:footnote>
  <w:footnote w:id="3">
    <w:p>
      <w:pPr>
        <w:jc w:val="both"/>
        <w:rPr>
          <w:rFonts w:eastAsia="Andale Sans UI"/>
          <w:sz w:val="20"/>
        </w:rPr>
      </w:pPr>
      <w:r>
        <w:rPr>
          <w:rFonts w:eastAsia="Andale Sans UI"/>
          <w:sz w:val="20"/>
          <w:vertAlign w:val="superscript"/>
        </w:rPr>
        <w:footnoteRef/>
      </w:r>
      <w:r>
        <w:rPr>
          <w:rFonts w:eastAsia="Andale Sans UI"/>
          <w:sz w:val="20"/>
        </w:rPr>
        <w:t xml:space="preserve"> </w:t>
      </w:r>
      <w:hyperlink r:id="rId1" w:history="1">
        <w:r>
          <w:rPr>
            <w:color w:val="000080"/>
            <w:sz w:val="20"/>
            <w:u w:val="single"/>
            <w:lang w:eastAsia="lt-LT"/>
          </w:rPr>
          <w:t>Numatomo teisinio reguliavimo poveikio vertinimo metodikos</w:t>
        </w:r>
      </w:hyperlink>
      <w:r>
        <w:rPr>
          <w:sz w:val="20"/>
          <w:lang w:eastAsia="lt-LT"/>
        </w:rPr>
        <w:t>, patvirtintos Lietuvos Respublikos Vyriausybės 2003 m. vasario 26 d. nutarimu Nr. 276 „Dėl Numatomo teisinio reguliavimo poveikio vertinimo metodikos patvirtinimo“, 4 punktas.</w:t>
      </w:r>
    </w:p>
  </w:footnote>
  <w:footnote w:id="4">
    <w:p>
      <w:pPr>
        <w:jc w:val="both"/>
        <w:rPr>
          <w:rFonts w:eastAsia="Andale Sans UI"/>
          <w:sz w:val="20"/>
        </w:rPr>
      </w:pPr>
      <w:r>
        <w:rPr>
          <w:rFonts w:eastAsia="Andale Sans UI" w:cs="Tahoma"/>
          <w:sz w:val="20"/>
          <w:vertAlign w:val="superscript"/>
        </w:rPr>
        <w:t xml:space="preserve">2 </w:t>
      </w:r>
      <w:hyperlink r:id="rId2" w:history="1">
        <w:r>
          <w:rPr>
            <w:color w:val="000080"/>
            <w:sz w:val="20"/>
            <w:u w:val="single"/>
            <w:lang w:eastAsia="lt-LT"/>
          </w:rPr>
          <w:t>Numatomo teisinio reguliavimo poveikio vertinimo metodikos</w:t>
        </w:r>
      </w:hyperlink>
      <w:r>
        <w:rPr>
          <w:sz w:val="20"/>
          <w:lang w:eastAsia="lt-LT"/>
        </w:rPr>
        <w:t>, patvirtintos Lietuvos Respublikos Vyriausybės 2003 m. vasario 26 d. nutarimu Nr. 276 „Dėl Numatomo teisinio reguliavimo poveikio vertinimo metodikos patvirtinimo“, 17</w:t>
      </w:r>
      <w:r>
        <w:rPr>
          <w:sz w:val="20"/>
          <w:vertAlign w:val="superscript"/>
          <w:lang w:eastAsia="lt-LT"/>
        </w:rPr>
        <w:t>1</w:t>
      </w:r>
      <w:r>
        <w:rPr>
          <w:sz w:val="20"/>
          <w:lang w:eastAsia="lt-LT"/>
        </w:rPr>
        <w:t xml:space="preserve"> ir 35 punktai. </w:t>
      </w:r>
    </w:p>
  </w:footnote>
  <w:footnote w:id="5">
    <w:p>
      <w:pPr>
        <w:jc w:val="both"/>
        <w:rPr>
          <w:rFonts w:eastAsia="Andale Sans UI"/>
          <w:sz w:val="20"/>
        </w:rPr>
      </w:pPr>
      <w:r>
        <w:rPr>
          <w:rFonts w:eastAsia="Andale Sans UI"/>
          <w:sz w:val="20"/>
          <w:vertAlign w:val="superscript"/>
        </w:rPr>
        <w:footnoteRef/>
      </w:r>
      <w:r>
        <w:rPr>
          <w:rFonts w:eastAsia="Andale Sans UI"/>
          <w:sz w:val="20"/>
        </w:rPr>
        <w:t xml:space="preserve"> </w:t>
      </w:r>
      <w:hyperlink r:id="rId3" w:history="1">
        <w:r>
          <w:rPr>
            <w:rFonts w:eastAsia="Andale Sans UI"/>
            <w:color w:val="000080"/>
            <w:sz w:val="20"/>
            <w:u w:val="single"/>
          </w:rPr>
          <w:t>Teisėkūros poveikio aplinkai ir klimato kaitai (</w:t>
        </w:r>
        <w:r>
          <w:rPr>
            <w:rFonts w:eastAsia="Andale Sans UI"/>
            <w:i/>
            <w:iCs/>
            <w:color w:val="000080"/>
            <w:sz w:val="20"/>
            <w:u w:val="single"/>
          </w:rPr>
          <w:t>ex ante</w:t>
        </w:r>
        <w:r>
          <w:rPr>
            <w:rFonts w:eastAsia="Andale Sans UI"/>
            <w:color w:val="000080"/>
            <w:sz w:val="20"/>
            <w:u w:val="single"/>
          </w:rPr>
          <w:t>) vertinimo tvarkos aprašas</w:t>
        </w:r>
      </w:hyperlink>
      <w:r>
        <w:rPr>
          <w:rFonts w:eastAsia="Andale Sans UI"/>
          <w:sz w:val="20"/>
        </w:rPr>
        <w:t>, patvirtintas Lietuvos Respublikos aplinkos ministro 2024 m. vasario 27 d. įsakymu Nr. D1-57 „Dėl Teisėkūros poveikio aplinkai ir klimato kaitai (</w:t>
      </w:r>
      <w:r>
        <w:rPr>
          <w:rFonts w:eastAsia="Andale Sans UI"/>
          <w:i/>
          <w:iCs/>
          <w:sz w:val="20"/>
        </w:rPr>
        <w:t>ex ante</w:t>
      </w:r>
      <w:r>
        <w:rPr>
          <w:rFonts w:eastAsia="Andale Sans UI"/>
          <w:sz w:val="20"/>
        </w:rPr>
        <w:t>) vertinimo tvarkos aprašo patvirtinimo“.</w:t>
      </w:r>
    </w:p>
  </w:footnote>
  <w:footnote w:id="6">
    <w:p>
      <w:pPr>
        <w:rPr>
          <w:rFonts w:eastAsia="Andale Sans UI" w:cs="Tahoma"/>
          <w:sz w:val="20"/>
        </w:rPr>
      </w:pPr>
      <w:r>
        <w:rPr>
          <w:rFonts w:eastAsia="Andale Sans UI"/>
          <w:sz w:val="20"/>
          <w:vertAlign w:val="superscript"/>
        </w:rPr>
        <w:footnoteRef/>
      </w:r>
      <w:r>
        <w:rPr>
          <w:rFonts w:eastAsia="Andale Sans UI"/>
          <w:sz w:val="20"/>
        </w:rPr>
        <w:t xml:space="preserve"> </w:t>
      </w:r>
      <w:r>
        <w:rPr>
          <w:rFonts w:eastAsia="Andale Sans UI"/>
          <w:color w:val="000080"/>
          <w:sz w:val="20"/>
          <w:u w:val="single"/>
        </w:rPr>
        <w:t>https://aaa.lrv.lt/lt/veiklos-sritys/teisekuros-poveikio-vertinimas/</w:t>
      </w:r>
      <w:r>
        <w:rPr>
          <w:rFonts w:eastAsia="Andale Sans UI"/>
          <w:sz w:val="20"/>
        </w:rPr>
        <w:t xml:space="preserve"> </w:t>
      </w:r>
    </w:p>
  </w:footnote>
  <w:footnote w:id="7">
    <w:p>
      <w:pPr>
        <w:tabs>
          <w:tab w:val="left" w:pos="2127"/>
        </w:tabs>
        <w:jc w:val="both"/>
        <w:rPr>
          <w:color w:val="000000"/>
          <w:sz w:val="20"/>
          <w:lang w:eastAsia="lt-LT" w:bidi="en-US"/>
        </w:rPr>
      </w:pPr>
      <w:r>
        <w:rPr>
          <w:rFonts w:eastAsia="Andale Sans UI"/>
          <w:sz w:val="20"/>
          <w:vertAlign w:val="superscript"/>
          <w:lang w:bidi="en-US"/>
        </w:rPr>
        <w:footnoteRef/>
      </w:r>
      <w:r>
        <w:rPr>
          <w:rFonts w:eastAsia="Andale Sans UI"/>
          <w:sz w:val="20"/>
          <w:lang w:bidi="en-US"/>
        </w:rPr>
        <w:t xml:space="preserve"> </w:t>
      </w:r>
      <w:hyperlink r:id="rId5" w:history="1">
        <w:r>
          <w:rPr>
            <w:rFonts w:eastAsia="Andale Sans UI"/>
            <w:color w:val="000080"/>
            <w:sz w:val="20"/>
            <w:u w:val="single"/>
            <w:lang w:bidi="en-US"/>
          </w:rPr>
          <w:t>Europos Sąjungos reikalų koordinavimo taisyklių</w:t>
        </w:r>
      </w:hyperlink>
      <w:r>
        <w:rPr>
          <w:rFonts w:eastAsia="Andale Sans UI"/>
          <w:sz w:val="20"/>
          <w:lang w:bidi="en-US"/>
        </w:rPr>
        <w:t>, patvirtintų Lietuvos Respublikos Vyriausybės 2004 m. sausio 9 d. nutarimu Nr. 21 „Dėl Europos Sąjungos reikalų koordinavimo“, 7 priedas.</w:t>
      </w:r>
    </w:p>
  </w:footnote>
  <w:footnote w:id="8">
    <w:p>
      <w:pPr>
        <w:jc w:val="both"/>
        <w:rPr>
          <w:rFonts w:eastAsia="Andale Sans UI"/>
          <w:sz w:val="20"/>
        </w:rPr>
      </w:pPr>
      <w:r>
        <w:rPr>
          <w:rFonts w:eastAsia="Andale Sans UI"/>
          <w:sz w:val="20"/>
          <w:vertAlign w:val="superscript"/>
        </w:rPr>
        <w:footnoteRef/>
      </w:r>
      <w:r>
        <w:rPr>
          <w:rFonts w:eastAsia="Andale Sans UI"/>
          <w:sz w:val="20"/>
        </w:rPr>
        <w:t xml:space="preserve"> </w:t>
      </w:r>
      <w:hyperlink r:id="rId6" w:history="1">
        <w:r>
          <w:rPr>
            <w:color w:val="000080"/>
            <w:sz w:val="20"/>
            <w:u w:val="single"/>
            <w:lang w:eastAsia="lt-LT"/>
          </w:rPr>
          <w:t>Informacijos apie techninius reglamentus ir atitikties įvertinimo procedūras teikimo taisyklės</w:t>
        </w:r>
      </w:hyperlink>
      <w:r>
        <w:rPr>
          <w:sz w:val="20"/>
          <w:lang w:eastAsia="lt-LT"/>
        </w:rPr>
        <w:t>, patvirtintos Lietuvos Respublikos Vyriausybės 1999 m. gegužės 20 d. nutarimu Nr. 617 „Dėl Informacijos apie techninius reglamentus ir atitikties įvertinimo procedūras teikimo taisyklių patvirtinimo“.</w:t>
      </w:r>
    </w:p>
  </w:footnote>
  <w:footnote w:id="9">
    <w:p>
      <w:pPr>
        <w:jc w:val="both"/>
        <w:rPr>
          <w:sz w:val="20"/>
          <w:lang w:eastAsia="lt-LT"/>
        </w:rPr>
      </w:pPr>
      <w:r>
        <w:rPr>
          <w:rFonts w:eastAsia="Andale Sans UI"/>
          <w:sz w:val="20"/>
          <w:vertAlign w:val="superscript"/>
        </w:rPr>
        <w:footnoteRef/>
        <w:t xml:space="preserve"> </w:t>
      </w:r>
      <w:hyperlink r:id="rId7" w:history="1">
        <w:r>
          <w:rPr>
            <w:color w:val="000080"/>
            <w:sz w:val="20"/>
            <w:u w:val="single"/>
            <w:lang w:eastAsia="lt-LT"/>
          </w:rPr>
          <w:t>Lietuvos Respublikos paslaugų įstatymo ir Pranešimų ir informacijos apie nustatomus įsisteigimo arba nustatomus ar panaikinamus paslaugų teikimo laisvei taikomus reikalavimus teikimo tvarkos aprašas</w:t>
        </w:r>
      </w:hyperlink>
      <w:r>
        <w:rPr>
          <w:sz w:val="20"/>
          <w:lang w:eastAsia="lt-LT"/>
        </w:rPr>
        <w:t>, patvirtintas Lietuvos Respublikos Vyriausybės 2011 m. lapkričio 30 d. nutarimu Nr. 1389 „Dėl pranešimų ir informacijos apie nustatomus įsisteigimo arba nustatomus ar panaikinamus paslaugų teikimo laisvei taikomus reikalavimus teikimo“.</w:t>
      </w:r>
    </w:p>
  </w:footnote>
  <w:footnote w:id="10">
    <w:p>
      <w:pPr>
        <w:rPr>
          <w:rFonts w:eastAsia="Andale Sans UI"/>
          <w:sz w:val="20"/>
        </w:rPr>
      </w:pPr>
      <w:r>
        <w:rPr>
          <w:rFonts w:eastAsia="Andale Sans UI"/>
          <w:sz w:val="20"/>
          <w:vertAlign w:val="superscript"/>
        </w:rPr>
        <w:footnoteRef/>
      </w:r>
      <w:r>
        <w:rPr>
          <w:rFonts w:eastAsia="Andale Sans UI"/>
          <w:sz w:val="20"/>
        </w:rPr>
        <w:t xml:space="preserve"> </w:t>
      </w:r>
      <w:r>
        <w:rPr>
          <w:rFonts w:eastAsia="Andale Sans UI"/>
          <w:color w:val="000080"/>
          <w:sz w:val="20"/>
          <w:u w:val="single"/>
        </w:rPr>
        <w:t>https://epilietis.lrv.lt/lt/</w:t>
      </w:r>
      <w:r>
        <w:rPr>
          <w:rFonts w:eastAsia="Andale Sans UI"/>
          <w:sz w:val="20"/>
        </w:rPr>
        <w:t>.</w:t>
      </w:r>
    </w:p>
  </w:footnote>
  <w:footnote w:id="11">
    <w:p>
      <w:pPr>
        <w:jc w:val="both"/>
        <w:rPr>
          <w:rFonts w:eastAsia="Andale Sans UI"/>
          <w:sz w:val="20"/>
        </w:rPr>
      </w:pPr>
      <w:r>
        <w:rPr>
          <w:rFonts w:eastAsia="Andale Sans UI"/>
          <w:sz w:val="20"/>
          <w:vertAlign w:val="superscript"/>
        </w:rPr>
        <w:footnoteRef/>
      </w:r>
      <w:r>
        <w:rPr>
          <w:rFonts w:eastAsia="Andale Sans UI"/>
          <w:sz w:val="20"/>
        </w:rPr>
        <w:t xml:space="preserve"> </w:t>
      </w:r>
      <w:r>
        <w:rPr>
          <w:rFonts w:eastAsia="Andale Sans UI"/>
          <w:color w:val="000080"/>
          <w:sz w:val="20"/>
          <w:u w:val="single"/>
          <w:shd w:val="clear" w:color="auto" w:fill="FFFFFF"/>
          <w:lang w:bidi="en-US"/>
        </w:rPr>
        <w:t>Ministrų, Vyriausybės įstaigų, įstaigų prie ministerijų ir kitų Vyriausybei pavaldžių ir atskaitingų viešojo administravimo subjektų norminių teisės aktų projektų rengimo taisyklės</w:t>
      </w:r>
      <w:r>
        <w:rPr>
          <w:rFonts w:eastAsia="Andale Sans UI"/>
          <w:sz w:val="20"/>
        </w:rPr>
        <w:t>, patvirtintos Lietuvos Respublikos Vyriausybės 1994 m. rugpjūčio 11 d. nutarimu Nr. 728 „Dėl Lietuvos Respublikos Vyriausybės darbo reglamento ir Ministrų, Vyriausybės įstaigų, įstaigų prie ministerijų ir kitų Vyriausybei pavaldžių ir atskaitingų viešojo administravimo subjektų norminių teisės aktų projektų rengimo taisyklių</w:t>
      </w:r>
      <w:r>
        <w:rPr>
          <w:rFonts w:eastAsia="Andale Sans UI" w:cs="Tahoma"/>
          <w:sz w:val="20"/>
        </w:rPr>
        <w:t xml:space="preserve"> </w:t>
      </w:r>
      <w:r>
        <w:rPr>
          <w:rFonts w:eastAsia="Andale Sans UI"/>
          <w:sz w:val="20"/>
        </w:rPr>
        <w:t>patvirtinimo“.</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center"/>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PAGE   \* MERGEFORMAT</w:instrText>
    </w:r>
    <w:r>
      <w:rPr>
        <w:rFonts w:eastAsia="Andale Sans UI" w:cs="Tahoma"/>
        <w:szCs w:val="24"/>
        <w:lang w:bidi="en-US"/>
      </w:rPr>
      <w:fldChar w:fldCharType="separate"/>
    </w:r>
    <w:r>
      <w:rPr>
        <w:rFonts w:eastAsia="Andale Sans UI" w:cs="Tahoma"/>
        <w:szCs w:val="24"/>
        <w:lang w:val="en-GB" w:bidi="en-US"/>
      </w:rPr>
      <w:t>4</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pos w:val="beneathText"/>
    <w:numRestart w:val="eachPage"/>
    <w:footnote w:id="-1"/>
    <w:footnote w:id="0"/>
    <w:footnote w:id="1"/>
  </w:footnotePr>
  <w:endnotePr>
    <w:numFmt w:val="decimal"/>
    <w:endnote w:id="-1"/>
    <w:endnote w:id="0"/>
    <w:endnote w:id="1"/>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7D5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0F72DCC6-B00A-4BC0-BC7A-6444AD37305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7945688">
      <w:bodyDiv w:val="1"/>
      <w:marLeft w:val="0"/>
      <w:marRight w:val="0"/>
      <w:marTop w:val="0"/>
      <w:marBottom w:val="0"/>
      <w:divBdr>
        <w:top w:val="none" w:sz="0" w:space="0" w:color="auto"/>
        <w:left w:val="none" w:sz="0" w:space="0" w:color="auto"/>
        <w:bottom w:val="none" w:sz="0" w:space="0" w:color="auto"/>
        <w:right w:val="none" w:sz="0" w:space="0" w:color="auto"/>
      </w:divBdr>
    </w:div>
    <w:div w:id="480274677">
      <w:bodyDiv w:val="1"/>
      <w:marLeft w:val="0"/>
      <w:marRight w:val="0"/>
      <w:marTop w:val="0"/>
      <w:marBottom w:val="0"/>
      <w:divBdr>
        <w:top w:val="none" w:sz="0" w:space="0" w:color="auto"/>
        <w:left w:val="none" w:sz="0" w:space="0" w:color="auto"/>
        <w:bottom w:val="none" w:sz="0" w:space="0" w:color="auto"/>
        <w:right w:val="none" w:sz="0" w:space="0" w:color="auto"/>
      </w:divBdr>
    </w:div>
    <w:div w:id="493882544">
      <w:bodyDiv w:val="1"/>
      <w:marLeft w:val="0"/>
      <w:marRight w:val="0"/>
      <w:marTop w:val="0"/>
      <w:marBottom w:val="0"/>
      <w:divBdr>
        <w:top w:val="none" w:sz="0" w:space="0" w:color="auto"/>
        <w:left w:val="none" w:sz="0" w:space="0" w:color="auto"/>
        <w:bottom w:val="none" w:sz="0" w:space="0" w:color="auto"/>
        <w:right w:val="none" w:sz="0" w:space="0" w:color="auto"/>
      </w:divBdr>
      <w:divsChild>
        <w:div w:id="598099785">
          <w:marLeft w:val="0"/>
          <w:marRight w:val="0"/>
          <w:marTop w:val="0"/>
          <w:marBottom w:val="0"/>
          <w:divBdr>
            <w:top w:val="none" w:sz="0" w:space="0" w:color="auto"/>
            <w:left w:val="none" w:sz="0" w:space="0" w:color="auto"/>
            <w:bottom w:val="none" w:sz="0" w:space="0" w:color="auto"/>
            <w:right w:val="none" w:sz="0" w:space="0" w:color="auto"/>
          </w:divBdr>
        </w:div>
        <w:div w:id="1297907655">
          <w:marLeft w:val="0"/>
          <w:marRight w:val="0"/>
          <w:marTop w:val="0"/>
          <w:marBottom w:val="0"/>
          <w:divBdr>
            <w:top w:val="none" w:sz="0" w:space="0" w:color="auto"/>
            <w:left w:val="none" w:sz="0" w:space="0" w:color="auto"/>
            <w:bottom w:val="none" w:sz="0" w:space="0" w:color="auto"/>
            <w:right w:val="none" w:sz="0" w:space="0" w:color="auto"/>
          </w:divBdr>
        </w:div>
      </w:divsChild>
    </w:div>
    <w:div w:id="552693726">
      <w:bodyDiv w:val="1"/>
      <w:marLeft w:val="0"/>
      <w:marRight w:val="0"/>
      <w:marTop w:val="0"/>
      <w:marBottom w:val="0"/>
      <w:divBdr>
        <w:top w:val="none" w:sz="0" w:space="0" w:color="auto"/>
        <w:left w:val="none" w:sz="0" w:space="0" w:color="auto"/>
        <w:bottom w:val="none" w:sz="0" w:space="0" w:color="auto"/>
        <w:right w:val="none" w:sz="0" w:space="0" w:color="auto"/>
      </w:divBdr>
    </w:div>
    <w:div w:id="782111478">
      <w:bodyDiv w:val="1"/>
      <w:marLeft w:val="0"/>
      <w:marRight w:val="0"/>
      <w:marTop w:val="0"/>
      <w:marBottom w:val="0"/>
      <w:divBdr>
        <w:top w:val="none" w:sz="0" w:space="0" w:color="auto"/>
        <w:left w:val="none" w:sz="0" w:space="0" w:color="auto"/>
        <w:bottom w:val="none" w:sz="0" w:space="0" w:color="auto"/>
        <w:right w:val="none" w:sz="0" w:space="0" w:color="auto"/>
      </w:divBdr>
    </w:div>
    <w:div w:id="916746596">
      <w:bodyDiv w:val="1"/>
      <w:marLeft w:val="0"/>
      <w:marRight w:val="0"/>
      <w:marTop w:val="0"/>
      <w:marBottom w:val="0"/>
      <w:divBdr>
        <w:top w:val="none" w:sz="0" w:space="0" w:color="auto"/>
        <w:left w:val="none" w:sz="0" w:space="0" w:color="auto"/>
        <w:bottom w:val="none" w:sz="0" w:space="0" w:color="auto"/>
        <w:right w:val="none" w:sz="0" w:space="0" w:color="auto"/>
      </w:divBdr>
      <w:divsChild>
        <w:div w:id="822156668">
          <w:marLeft w:val="0"/>
          <w:marRight w:val="0"/>
          <w:marTop w:val="0"/>
          <w:marBottom w:val="0"/>
          <w:divBdr>
            <w:top w:val="none" w:sz="0" w:space="0" w:color="auto"/>
            <w:left w:val="none" w:sz="0" w:space="0" w:color="auto"/>
            <w:bottom w:val="none" w:sz="0" w:space="0" w:color="auto"/>
            <w:right w:val="none" w:sz="0" w:space="0" w:color="auto"/>
          </w:divBdr>
        </w:div>
        <w:div w:id="1060790193">
          <w:marLeft w:val="0"/>
          <w:marRight w:val="0"/>
          <w:marTop w:val="0"/>
          <w:marBottom w:val="0"/>
          <w:divBdr>
            <w:top w:val="none" w:sz="0" w:space="0" w:color="auto"/>
            <w:left w:val="none" w:sz="0" w:space="0" w:color="auto"/>
            <w:bottom w:val="none" w:sz="0" w:space="0" w:color="auto"/>
            <w:right w:val="none" w:sz="0" w:space="0" w:color="auto"/>
          </w:divBdr>
        </w:div>
        <w:div w:id="1093864504">
          <w:marLeft w:val="0"/>
          <w:marRight w:val="0"/>
          <w:marTop w:val="0"/>
          <w:marBottom w:val="0"/>
          <w:divBdr>
            <w:top w:val="none" w:sz="0" w:space="0" w:color="auto"/>
            <w:left w:val="none" w:sz="0" w:space="0" w:color="auto"/>
            <w:bottom w:val="none" w:sz="0" w:space="0" w:color="auto"/>
            <w:right w:val="none" w:sz="0" w:space="0" w:color="auto"/>
          </w:divBdr>
        </w:div>
      </w:divsChild>
    </w:div>
    <w:div w:id="1184318278">
      <w:bodyDiv w:val="1"/>
      <w:marLeft w:val="0"/>
      <w:marRight w:val="0"/>
      <w:marTop w:val="0"/>
      <w:marBottom w:val="0"/>
      <w:divBdr>
        <w:top w:val="none" w:sz="0" w:space="0" w:color="auto"/>
        <w:left w:val="none" w:sz="0" w:space="0" w:color="auto"/>
        <w:bottom w:val="none" w:sz="0" w:space="0" w:color="auto"/>
        <w:right w:val="none" w:sz="0" w:space="0" w:color="auto"/>
      </w:divBdr>
      <w:divsChild>
        <w:div w:id="1058750904">
          <w:marLeft w:val="0"/>
          <w:marRight w:val="0"/>
          <w:marTop w:val="0"/>
          <w:marBottom w:val="0"/>
          <w:divBdr>
            <w:top w:val="none" w:sz="0" w:space="0" w:color="auto"/>
            <w:left w:val="none" w:sz="0" w:space="0" w:color="auto"/>
            <w:bottom w:val="none" w:sz="0" w:space="0" w:color="auto"/>
            <w:right w:val="none" w:sz="0" w:space="0" w:color="auto"/>
          </w:divBdr>
        </w:div>
        <w:div w:id="1167481611">
          <w:marLeft w:val="0"/>
          <w:marRight w:val="0"/>
          <w:marTop w:val="0"/>
          <w:marBottom w:val="0"/>
          <w:divBdr>
            <w:top w:val="none" w:sz="0" w:space="0" w:color="auto"/>
            <w:left w:val="none" w:sz="0" w:space="0" w:color="auto"/>
            <w:bottom w:val="none" w:sz="0" w:space="0" w:color="auto"/>
            <w:right w:val="none" w:sz="0" w:space="0" w:color="auto"/>
          </w:divBdr>
        </w:div>
        <w:div w:id="1336346376">
          <w:marLeft w:val="0"/>
          <w:marRight w:val="0"/>
          <w:marTop w:val="0"/>
          <w:marBottom w:val="0"/>
          <w:divBdr>
            <w:top w:val="none" w:sz="0" w:space="0" w:color="auto"/>
            <w:left w:val="none" w:sz="0" w:space="0" w:color="auto"/>
            <w:bottom w:val="none" w:sz="0" w:space="0" w:color="auto"/>
            <w:right w:val="none" w:sz="0" w:space="0" w:color="auto"/>
          </w:divBdr>
        </w:div>
      </w:divsChild>
    </w:div>
    <w:div w:id="1405878646">
      <w:bodyDiv w:val="1"/>
      <w:marLeft w:val="0"/>
      <w:marRight w:val="0"/>
      <w:marTop w:val="0"/>
      <w:marBottom w:val="0"/>
      <w:divBdr>
        <w:top w:val="none" w:sz="0" w:space="0" w:color="auto"/>
        <w:left w:val="none" w:sz="0" w:space="0" w:color="auto"/>
        <w:bottom w:val="none" w:sz="0" w:space="0" w:color="auto"/>
        <w:right w:val="none" w:sz="0" w:space="0" w:color="auto"/>
      </w:divBdr>
    </w:div>
    <w:div w:id="1411005261">
      <w:bodyDiv w:val="1"/>
      <w:marLeft w:val="0"/>
      <w:marRight w:val="0"/>
      <w:marTop w:val="0"/>
      <w:marBottom w:val="0"/>
      <w:divBdr>
        <w:top w:val="none" w:sz="0" w:space="0" w:color="auto"/>
        <w:left w:val="none" w:sz="0" w:space="0" w:color="auto"/>
        <w:bottom w:val="none" w:sz="0" w:space="0" w:color="auto"/>
        <w:right w:val="none" w:sz="0" w:space="0" w:color="auto"/>
      </w:divBdr>
    </w:div>
    <w:div w:id="1487475409">
      <w:bodyDiv w:val="1"/>
      <w:marLeft w:val="0"/>
      <w:marRight w:val="0"/>
      <w:marTop w:val="0"/>
      <w:marBottom w:val="0"/>
      <w:divBdr>
        <w:top w:val="none" w:sz="0" w:space="0" w:color="auto"/>
        <w:left w:val="none" w:sz="0" w:space="0" w:color="auto"/>
        <w:bottom w:val="none" w:sz="0" w:space="0" w:color="auto"/>
        <w:right w:val="none" w:sz="0" w:space="0" w:color="auto"/>
      </w:divBdr>
    </w:div>
    <w:div w:id="20822191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footer" Target="footer1.xml"/>
  <Relationship Id="rId16" Type="http://schemas.openxmlformats.org/officeDocument/2006/relationships/footer" Target="footer2.xml"/>
  <Relationship Id="rId17" Type="http://schemas.openxmlformats.org/officeDocument/2006/relationships/header" Target="header3.xml"/>
  <Relationship Id="rId18" Type="http://schemas.openxmlformats.org/officeDocument/2006/relationships/footer" Target="footer3.xml"/>
  <Relationship Id="rId19" Type="http://schemas.openxmlformats.org/officeDocument/2006/relationships/fontTable" Target="fontTable.xml"/>
  <Relationship Id="rId2" Type="http://schemas.openxmlformats.org/officeDocument/2006/relationships/customXml" Target="../customXml/item2.xml"/>
  <Relationship Id="rId20" Type="http://schemas.openxmlformats.org/officeDocument/2006/relationships/theme" Target="theme/theme1.xml"/>
  <Relationship Id="rId21"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_rels/footnotes.xml.rels><?xml version="1.0" encoding="UTF-8"?>

<Relationships xmlns="http://schemas.openxmlformats.org/package/2006/relationships">
  <Relationship Id="rId1" Type="http://schemas.openxmlformats.org/officeDocument/2006/relationships/hyperlink" TargetMode="External" Target="https://www.e-tar.lt/portal/lt/legalAct/TAR.814F485EB18B/asr"/>
  <Relationship Id="rId2" Type="http://schemas.openxmlformats.org/officeDocument/2006/relationships/hyperlink" TargetMode="External" Target="https://www.e-tar.lt/portal/lt/legalAct/TAR.814F485EB18B/asr"/>
  <Relationship Id="rId3" Type="http://schemas.openxmlformats.org/officeDocument/2006/relationships/hyperlink" TargetMode="External" Target="https://www.e-tar.lt/portal/lt/legalAct/0635c170d54511eead77e967e3995264"/>
  <Relationship Id="rId5" Type="http://schemas.openxmlformats.org/officeDocument/2006/relationships/hyperlink" TargetMode="External" Target="https://www.e-tar.lt/portal/lt/legalAct/TAR.DB68BCA9E3A0/asr"/>
  <Relationship Id="rId6" Type="http://schemas.openxmlformats.org/officeDocument/2006/relationships/hyperlink" TargetMode="External" Target="https://www.e-tar.lt/portal/lt/legalAct/TAR.EDD5FD371B32/asr"/>
  <Relationship Id="rId7" Type="http://schemas.openxmlformats.org/officeDocument/2006/relationships/hyperlink" TargetMode="External" Target="https://www.e-tar.lt/portal/lt/legalAct/TAR.DCD24028BD0E"/>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0379a545-9986-45d7-9e6d-3845025712a0">
      <UserInfo>
        <DisplayName>Jurgita Užkurnienė</DisplayName>
        <AccountId>118</AccountId>
        <AccountType/>
      </UserInfo>
    </SharedWithUsers>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50164633ED94994D9773E53D567FF5BF" ma:contentTypeVersion="14" ma:contentTypeDescription="Kurkite naują dokumentą." ma:contentTypeScope="" ma:versionID="327b48872ff6932eeb09353cc3bbdb0c">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49bb1461692a08ce2aec186f0540e300"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Vaizdų žymė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Bendrinta su išsamia informacija"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f3b7795d75c34ebf8ef4787d3301d110" PartId="4c903f9eec8c47c284aa27a540096021"/>
  <Part Type="pastraipa" DocPartId="6470eae45e344dfa8f623275a0db38a3" PartId="5561589e0eda4504b9da00c8aeed0161">
    <Part Type="punktas" Nr="1" Abbr="1 p." DocPartId="4b21dd7bd8ee4361af3f748567f2dc8e" PartId="43f9b8b67dfb40f8a565c3efbdc5d2bf"/>
    <Part Type="punktas" Nr="2" Abbr="2 p." DocPartId="b0e2dba1bad24a0b852a2686af59bd96" PartId="f0fd0595df3a4a8aba218606d59f3b37"/>
    <Part Type="punktas" Nr="3" Abbr="3 p." DocPartId="79ed6816316641e59098e7ff56c767ab" PartId="1a839522994e433085c78a401623e8e5"/>
    <Part Type="punktas" Nr="4" Abbr="4 p." DocPartId="2f55d03d691343d3b3daa41774281b23" PartId="7f776e19966042ae80eff7290ebd2038"/>
    <Part Type="punktas" Nr="5" Abbr="5 p." DocPartId="ca4c9327c2ab4588b67fe2d6ba7c39c8" PartId="b699ae680e0d445f856b76001fb976f0"/>
    <Part Type="punktas" Nr="6" Abbr="6 p." DocPartId="d971f3d6c1c54d2d9d2ac06eede0a9ab" PartId="f0a9949a8d524607a8bb44c9526b8705"/>
    <Part Type="punktas" Nr="7" Abbr="7 p." DocPartId="7c9f292c220949d2b4ac9b95d986c1c2" PartId="fa7b9628b0604ad8a98cb08015a11cda"/>
    <Part Type="punktas" Nr="8" Abbr="8 p." DocPartId="71cd81e8052c4194b805f52828f3c54e" PartId="02dde66d06994b20a8eb7f824ce9cc3a"/>
    <Part Type="punktas" Nr="9" Abbr="9 p." DocPartId="c51eac34ea9a46a1b8d28b53e663d308" PartId="5eaca51b1700485090a7478fce08c7b1"/>
    <Part Type="punktas" Nr="10" Abbr="10 p." DocPartId="954b24bdc62b405ca2f8aba09e408a4b" PartId="33b304860e9642d2add5c244e382fcae"/>
    <Part Type="punktas" Nr="11" Abbr="11 p." DocPartId="5d25b2579c58457ea4a388ba979d3c8d" PartId="74a2ee1df23c4278bcc6c53f63d2b811"/>
    <Part Type="punktas" Nr="12" Abbr="12 p." DocPartId="f3662aadf8da4154af8da7fb1efb73c7" PartId="2ed7ae3841824389a577094d6637c84b"/>
    <Part Type="punktas" Nr="13" Abbr="13 p." DocPartId="6da3ac3c16d64f8ca1bd337e69aad202" PartId="6b92d0b95ac84d20a4b74218c91dac3f"/>
    <Part Type="punktas" Nr="1" Abbr="1 p." Notes="Numeris ne iš eilės. Trūksta dalių? [DocDalys]" DocPartId="079689e2d7ff48ebbf79ae1fe38c36bf" PartId="27396b8ec6004f8eb9a8b9246aec8de5"/>
    <Part Type="punktas" Nr="2" Abbr="2 p." DocPartId="b43a05445bfc4c6686ba33fad5aed057" PartId="1e0cbd21798144aa8bd3d172f35683f5"/>
    <Part Type="punktas" Nr="3" Abbr="3 p." DocPartId="ff1cb724d12f4c94b7788ab067384a49" PartId="9786a5509cdc425b846cdf160b79df99"/>
    <Part Type="signatura" DocPartId="ed70ec88635945f19547841f2a46c7da" PartId="c313861307ce46b69d3788b0c52f7ac7"/>
  </Part>
</Parts>
</file>

<file path=customXml/itemProps1.xml><?xml version="1.0" encoding="utf-8"?>
<ds:datastoreItem xmlns:ds="http://schemas.openxmlformats.org/officeDocument/2006/customXml" ds:itemID="{2ECC1323-9F72-4681-9895-5BB6B34E3FBB}">
  <ds:schemaRefs>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purl.org/dc/elements/1.1/"/>
    <ds:schemaRef ds:uri="http://schemas.microsoft.com/office/2006/metadata/properties"/>
    <ds:schemaRef ds:uri="0379a545-9986-45d7-9e6d-3845025712a0"/>
    <ds:schemaRef ds:uri="47c1ea38-b788-4873-88f4-3b1f34597b9a"/>
    <ds:schemaRef ds:uri="http://www.w3.org/XML/1998/namespace"/>
  </ds:schemaRefs>
</ds:datastoreItem>
</file>

<file path=customXml/itemProps2.xml><?xml version="1.0" encoding="utf-8"?>
<ds:datastoreItem xmlns:ds="http://schemas.openxmlformats.org/officeDocument/2006/customXml" ds:itemID="{4DEE301B-E495-4750-B0E8-CBFC8E239BAA}">
  <ds:schemaRefs>
    <ds:schemaRef ds:uri="http://schemas.microsoft.com/sharepoint/v3/contenttype/forms"/>
  </ds:schemaRefs>
</ds:datastoreItem>
</file>

<file path=customXml/itemProps3.xml><?xml version="1.0" encoding="utf-8"?>
<ds:datastoreItem xmlns:ds="http://schemas.openxmlformats.org/officeDocument/2006/customXml" ds:itemID="{D0CAC59E-F7C3-4DCF-A5B3-4E08BF85D5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B30E541-F10B-4131-86EA-7209BD9EC1DF}">
  <ds:schemaRefs>
    <ds:schemaRef ds:uri="http://schemas.openxmlformats.org/officeDocument/2006/bibliography"/>
  </ds:schemaRefs>
</ds:datastoreItem>
</file>

<file path=customXml/itemProps5.xml><?xml version="1.0" encoding="utf-8"?>
<ds:datastoreItem xmlns:ds="http://schemas.openxmlformats.org/officeDocument/2006/customXml" ds:itemID="{1E8F62FB-DCF1-4AD2-8EA0-BB85AABA500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1259</Words>
  <Characters>9457</Characters>
  <Application>Microsoft Office Word</Application>
  <DocSecurity>4</DocSecurity>
  <Lines>201</Lines>
  <Paragraphs>86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10630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2025-09-16T09:57:00Z</dcterms:created>
  <dc:creator>Jurgita Užkurnienė</dc:creator>
  <lastModifiedBy>adlibuser</lastModifiedBy>
  <dcterms:modified xsi:type="dcterms:W3CDTF">2025-09-16T09:57:00Z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ies>
</file>