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r."/>
        <w:tag w:val="part_a12b07611332401f84cc907c470aad9a"/>
        <w:lock w:val="sdtLocked"/>
        <w:richText/>
      </w:sdtPr>
      <w:sdtContent>
        <w:p>
          <w:pPr>
            <w:tabs>
              <w:tab w:val="left" w:pos="5387"/>
            </w:tabs>
            <w:ind w:left="5812" w:firstLine="7920"/>
            <w:rPr>
              <w:rFonts w:eastAsia="Calibri"/>
              <w:szCs w:val="22"/>
            </w:rPr>
          </w:pPr>
        </w:p>
        <w:p>
          <w:pPr>
            <w:tabs>
              <w:tab w:val="left" w:pos="5387"/>
            </w:tabs>
            <w:ind w:left="5812" w:hanging="709"/>
            <w:rPr>
              <w:rFonts w:eastAsia="Calibri"/>
              <w:szCs w:val="22"/>
            </w:rPr>
          </w:pPr>
        </w:p>
        <w:p>
          <w:pPr>
            <w:ind w:right="350" w:firstLine="3600"/>
            <w:jc w:val="right"/>
            <w:rPr>
              <w:color w:val="000000"/>
              <w:lang w:val="ru-RU"/>
            </w:rPr>
          </w:pPr>
          <w:r>
            <w:rPr>
              <w:color w:val="000000"/>
              <w:lang w:val="ru-RU"/>
            </w:rPr>
            <w:t>Vilniaus rajono savivaldybės tarybos</w:t>
          </w:r>
        </w:p>
        <w:p>
          <w:pPr>
            <w:ind w:right="350"/>
            <w:jc w:val="right"/>
            <w:rPr>
              <w:color w:val="000000"/>
            </w:rPr>
          </w:pPr>
          <w:r>
            <w:rPr>
              <w:color w:val="000000"/>
              <w:lang w:val="ru-RU"/>
            </w:rPr>
            <w:t>202</w:t>
          </w:r>
          <w:r>
            <w:rPr>
              <w:color w:val="000000"/>
            </w:rPr>
            <w:t>6</w:t>
          </w:r>
          <w:r>
            <w:rPr>
              <w:color w:val="000000"/>
              <w:lang w:val="ru-RU"/>
            </w:rPr>
            <w:t xml:space="preserve"> m.</w:t>
          </w:r>
          <w:r>
            <w:rPr>
              <w:color w:val="000000"/>
            </w:rPr>
            <w:t xml:space="preserve"> </w:t>
          </w:r>
          <w:r>
            <w:rPr>
              <w:color w:val="000000"/>
              <w:lang w:val="ru-RU"/>
            </w:rPr>
            <w:t xml:space="preserve">d. sprendimo Nr. </w:t>
          </w:r>
          <w:r>
            <w:rPr>
              <w:color w:val="000000"/>
            </w:rPr>
            <w:t xml:space="preserve">..                                   </w:t>
          </w:r>
        </w:p>
        <w:p>
          <w:pPr>
            <w:widowControl w:val="0"/>
            <w:ind w:right="350" w:firstLine="6572"/>
            <w:jc w:val="right"/>
            <w:rPr>
              <w:b/>
              <w:bCs/>
              <w:color w:val="000000"/>
              <w:sz w:val="27"/>
              <w:szCs w:val="27"/>
            </w:rPr>
          </w:pPr>
          <w:r>
            <w:rPr>
              <w:color w:val="000000"/>
            </w:rPr>
            <w:t>p</w:t>
          </w:r>
          <w:r>
            <w:rPr>
              <w:color w:val="000000"/>
              <w:lang w:val="ru-RU"/>
            </w:rPr>
            <w:t>riedas</w:t>
          </w:r>
          <w:r>
            <w:rPr>
              <w:color w:val="000000"/>
            </w:rPr>
            <w:t xml:space="preserve">                                                                 </w:t>
          </w:r>
        </w:p>
        <w:p>
          <w:pPr>
            <w:tabs>
              <w:tab w:val="left" w:pos="5387"/>
            </w:tabs>
            <w:ind w:left="5812" w:right="1058" w:hanging="709"/>
            <w:rPr>
              <w:b/>
              <w:bCs/>
              <w:color w:val="000000"/>
              <w:sz w:val="27"/>
              <w:szCs w:val="27"/>
            </w:rPr>
          </w:pPr>
        </w:p>
        <w:p>
          <w:pPr>
            <w:widowControl w:val="0"/>
            <w:jc w:val="center"/>
            <w:rPr>
              <w:b/>
              <w:bCs/>
              <w:color w:val="000000"/>
              <w:sz w:val="27"/>
              <w:szCs w:val="27"/>
            </w:rPr>
          </w:pPr>
          <w:sdt>
            <w:sdtPr>
              <w:alias w:val="Pavadinimas"/>
              <w:tag w:val="title_a12b07611332401f84cc907c470aad9a"/>
              <w:lock w:val="sdtLocked"/>
              <w:richText/>
            </w:sdtPr>
            <w:sdtContent>
              <w:r>
                <w:rPr>
                  <w:b/>
                  <w:bCs/>
                  <w:color w:val="000000"/>
                  <w:sz w:val="27"/>
                  <w:szCs w:val="27"/>
                </w:rPr>
                <w:t xml:space="preserve">VILNIAUS RAJONO SPORTO CENTRO </w:t>
              </w:r>
              <w:r>
                <w:rPr>
                  <w:rFonts w:ascii="Palemonas" w:eastAsia="SimSun" w:hAnsi="Palemonas" w:cs="Palemonas"/>
                  <w:b/>
                  <w:bCs/>
                  <w:sz w:val="27"/>
                  <w:szCs w:val="27"/>
                  <w:lang w:eastAsia="zh-CN"/>
                </w:rPr>
                <w:t>TEIKIAMŲ PASLAUGŲ SĄRAŠAS IR JŲ ĮKAINIAI</w:t>
              </w:r>
            </w:sdtContent>
          </w:sdt>
        </w:p>
        <w:p/>
        <w:tbl>
          <w:tblPr>
            <w:tblW w:w="49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56"/>
            <w:gridCol w:w="2878"/>
            <w:gridCol w:w="1469"/>
            <w:gridCol w:w="1439"/>
            <w:gridCol w:w="1776"/>
            <w:gridCol w:w="5451"/>
          </w:tblGrid>
          <w:tr>
            <w:trPr>
              <w:trHeight w:val="48"/>
            </w:trPr>
            <w:tc>
              <w:tcPr>
                <w:tcW w:w="240" w:type="pct"/>
                <w:vMerge w:val="restart"/>
                <w:vAlign w:val="center"/>
                <w:hideMark/>
              </w:tcPr>
              <w:p>
                <w:pPr>
                  <w:widowControl w:val="0"/>
                  <w:jc w:val="center"/>
                  <w:rPr>
                    <w:sz w:val="22"/>
                    <w:szCs w:val="22"/>
                  </w:rPr>
                </w:pPr>
                <w:r>
                  <w:rPr>
                    <w:b/>
                    <w:bCs/>
                    <w:sz w:val="22"/>
                    <w:szCs w:val="22"/>
                  </w:rPr>
                  <w:t>Nr.</w:t>
                </w:r>
              </w:p>
            </w:tc>
            <w:tc>
              <w:tcPr>
                <w:tcW w:w="1053" w:type="pct"/>
                <w:vMerge w:val="restart"/>
                <w:vAlign w:val="center"/>
                <w:hideMark/>
              </w:tcPr>
              <w:p>
                <w:pPr>
                  <w:widowControl w:val="0"/>
                  <w:jc w:val="center"/>
                  <w:rPr>
                    <w:sz w:val="22"/>
                    <w:szCs w:val="22"/>
                  </w:rPr>
                </w:pPr>
                <w:r>
                  <w:rPr>
                    <w:b/>
                    <w:bCs/>
                    <w:sz w:val="22"/>
                    <w:szCs w:val="22"/>
                  </w:rPr>
                  <w:t>Paslaugos pavadinimas</w:t>
                </w:r>
              </w:p>
            </w:tc>
            <w:tc>
              <w:tcPr>
                <w:tcW w:w="537" w:type="pct"/>
                <w:vMerge w:val="restart"/>
                <w:vAlign w:val="center"/>
                <w:hideMark/>
              </w:tcPr>
              <w:p>
                <w:pPr>
                  <w:widowControl w:val="0"/>
                  <w:jc w:val="center"/>
                  <w:rPr>
                    <w:strike/>
                    <w:sz w:val="22"/>
                    <w:szCs w:val="22"/>
                  </w:rPr>
                </w:pPr>
                <w:r>
                  <w:rPr>
                    <w:b/>
                    <w:bCs/>
                    <w:sz w:val="22"/>
                    <w:szCs w:val="22"/>
                  </w:rPr>
                  <w:t>Matavimo vienetas</w:t>
                </w:r>
              </w:p>
            </w:tc>
            <w:tc>
              <w:tcPr>
                <w:tcW w:w="1175" w:type="pct"/>
                <w:gridSpan w:val="2"/>
                <w:vAlign w:val="center"/>
                <w:hideMark/>
              </w:tcPr>
              <w:p>
                <w:pPr>
                  <w:widowControl w:val="0"/>
                  <w:jc w:val="center"/>
                  <w:rPr>
                    <w:sz w:val="22"/>
                    <w:szCs w:val="22"/>
                  </w:rPr>
                </w:pPr>
                <w:r>
                  <w:rPr>
                    <w:b/>
                    <w:bCs/>
                    <w:sz w:val="22"/>
                    <w:szCs w:val="22"/>
                  </w:rPr>
                  <w:t>Kaina eurais</w:t>
                </w:r>
              </w:p>
            </w:tc>
            <w:tc>
              <w:tcPr>
                <w:tcW w:w="1994" w:type="pct"/>
                <w:vMerge w:val="restart"/>
                <w:vAlign w:val="center"/>
                <w:hideMark/>
              </w:tcPr>
              <w:p>
                <w:pPr>
                  <w:widowControl w:val="0"/>
                  <w:jc w:val="center"/>
                  <w:rPr>
                    <w:sz w:val="22"/>
                    <w:szCs w:val="22"/>
                  </w:rPr>
                </w:pPr>
                <w:r>
                  <w:rPr>
                    <w:b/>
                    <w:bCs/>
                    <w:sz w:val="22"/>
                    <w:szCs w:val="22"/>
                  </w:rPr>
                  <w:t>Pastabos</w:t>
                </w:r>
              </w:p>
            </w:tc>
          </w:tr>
          <w:tr>
            <w:trPr>
              <w:trHeight w:val="1153"/>
            </w:trPr>
            <w:tc>
              <w:tcPr>
                <w:tcW w:w="0" w:type="auto"/>
                <w:vMerge/>
                <w:vAlign w:val="center"/>
                <w:hideMark/>
              </w:tcPr>
              <w:p>
                <w:pPr>
                  <w:jc w:val="center"/>
                </w:pPr>
              </w:p>
            </w:tc>
            <w:tc>
              <w:tcPr>
                <w:tcW w:w="1053" w:type="pct"/>
                <w:vMerge/>
                <w:vAlign w:val="center"/>
                <w:hideMark/>
              </w:tcPr>
              <w:p>
                <w:pPr>
                  <w:widowControl w:val="0"/>
                  <w:jc w:val="center"/>
                  <w:rPr>
                    <w:sz w:val="22"/>
                    <w:szCs w:val="22"/>
                  </w:rPr>
                </w:pPr>
              </w:p>
            </w:tc>
            <w:tc>
              <w:tcPr>
                <w:tcW w:w="537" w:type="pct"/>
                <w:vMerge/>
                <w:vAlign w:val="center"/>
                <w:hideMark/>
              </w:tcPr>
              <w:p>
                <w:pPr>
                  <w:widowControl w:val="0"/>
                  <w:jc w:val="center"/>
                  <w:rPr>
                    <w:sz w:val="22"/>
                    <w:szCs w:val="22"/>
                  </w:rPr>
                </w:pPr>
              </w:p>
            </w:tc>
            <w:tc>
              <w:tcPr>
                <w:tcW w:w="526" w:type="pct"/>
                <w:vAlign w:val="center"/>
                <w:hideMark/>
              </w:tcPr>
              <w:p>
                <w:pPr>
                  <w:widowControl w:val="0"/>
                  <w:jc w:val="center"/>
                  <w:rPr>
                    <w:sz w:val="22"/>
                    <w:szCs w:val="22"/>
                  </w:rPr>
                </w:pPr>
                <w:r>
                  <w:rPr>
                    <w:b/>
                    <w:bCs/>
                    <w:sz w:val="22"/>
                    <w:szCs w:val="22"/>
                  </w:rPr>
                  <w:t>Suaugusiems</w:t>
                </w:r>
              </w:p>
            </w:tc>
            <w:tc>
              <w:tcPr>
                <w:tcW w:w="649" w:type="pct"/>
                <w:vAlign w:val="center"/>
                <w:hideMark/>
              </w:tcPr>
              <w:p>
                <w:pPr>
                  <w:widowControl w:val="0"/>
                  <w:jc w:val="center"/>
                </w:pPr>
                <w:r>
                  <w:rPr>
                    <w:b/>
                    <w:bCs/>
                    <w:sz w:val="22"/>
                    <w:szCs w:val="22"/>
                  </w:rPr>
                  <w:t>Moksleiviams, studentams, pensininkams ir asmenims su negalia,</w:t>
                </w:r>
                <w:r>
                  <w:rPr>
                    <w:b/>
                    <w:bCs/>
                    <w:color w:val="000000"/>
                    <w:sz w:val="22"/>
                    <w:szCs w:val="22"/>
                  </w:rPr>
                  <w:t xml:space="preserve"> Vilniaus rajono gyventojams, turintiems Arti kortelę / programėlę</w:t>
                </w:r>
              </w:p>
            </w:tc>
            <w:tc>
              <w:tcPr>
                <w:tcW w:w="1994" w:type="pct"/>
                <w:vMerge/>
                <w:hideMark/>
              </w:tcPr>
              <w:p/>
            </w:tc>
          </w:tr>
          <w:tr>
            <w:trPr>
              <w:trHeight w:val="400"/>
            </w:trPr>
            <w:tc>
              <w:tcPr>
                <w:tcW w:w="3006" w:type="pct"/>
                <w:gridSpan w:val="5"/>
              </w:tcPr>
              <w:p>
                <w:pPr>
                  <w:widowControl w:val="0"/>
                  <w:jc w:val="center"/>
                  <w:rPr>
                    <w:b/>
                    <w:bCs/>
                    <w:sz w:val="22"/>
                    <w:szCs w:val="24"/>
                  </w:rPr>
                </w:pPr>
                <w:r>
                  <w:rPr>
                    <w:b/>
                    <w:bCs/>
                    <w:szCs w:val="24"/>
                  </w:rPr>
                  <w:t>1. SPORTO OBJEKTŲ NUOMA</w:t>
                </w:r>
              </w:p>
            </w:tc>
            <w:tc>
              <w:tcPr>
                <w:tcW w:w="1994" w:type="pct"/>
                <w:vMerge w:val="restart"/>
                <w:vAlign w:val="center"/>
              </w:tcPr>
              <w:p>
                <w:pPr>
                  <w:tabs>
                    <w:tab w:val="left" w:pos="993"/>
                  </w:tabs>
                  <w:rPr>
                    <w:rFonts w:eastAsia="Calibri"/>
                    <w:szCs w:val="24"/>
                  </w:rPr>
                </w:pPr>
                <w:r>
                  <w:rPr>
                    <w:szCs w:val="24"/>
                  </w:rPr>
                  <w:t>Vilniaus rajono sporto centras (toliau – VRSC) neatlygintinai suteikia sporto objektų nuomos paslaugas šiems subjektams, kurie organizuoja užsiėmimus ir renginius:</w:t>
                </w:r>
              </w:p>
              <w:p>
                <w:pPr>
                  <w:tabs>
                    <w:tab w:val="left" w:pos="993"/>
                    <w:tab w:val="left" w:pos="1134"/>
                  </w:tabs>
                  <w:ind w:left="720" w:hanging="360"/>
                  <w:rPr>
                    <w:szCs w:val="24"/>
                  </w:rPr>
                </w:pPr>
                <w:r>
                  <w:rPr>
                    <w:rFonts w:ascii="Symbol" w:hAnsi="Symbol"/>
                    <w:szCs w:val="24"/>
                  </w:rPr>
                  <w:t></w:t>
                  <w:tab/>
                </w:r>
                <w:r>
                  <w:rPr>
                    <w:szCs w:val="24"/>
                  </w:rPr>
                  <w:t xml:space="preserve">Vilniaus rajono savivaldybės (toliau – Savivaldybė) biudžetinėms įstaigoms, juridiniams asmenims, kurių </w:t>
                </w:r>
                <w:r>
                  <w:rPr>
                    <w:szCs w:val="24"/>
                    <w:lang w:bidi="he-IL"/>
                  </w:rPr>
                  <w:t xml:space="preserve">savininkė ar </w:t>
                </w:r>
                <w:r>
                  <w:rPr>
                    <w:szCs w:val="24"/>
                  </w:rPr>
                  <w:t>dalininkė yra Savivaldybė;</w:t>
                </w:r>
              </w:p>
              <w:p>
                <w:pPr>
                  <w:tabs>
                    <w:tab w:val="left" w:pos="993"/>
                    <w:tab w:val="left" w:pos="1134"/>
                  </w:tabs>
                  <w:ind w:left="720" w:hanging="360"/>
                  <w:rPr>
                    <w:szCs w:val="24"/>
                  </w:rPr>
                </w:pPr>
                <w:r>
                  <w:rPr>
                    <w:rFonts w:ascii="Symbol" w:hAnsi="Symbol"/>
                    <w:szCs w:val="24"/>
                  </w:rPr>
                  <w:t></w:t>
                </w:r>
                <w:r>
                  <w:rPr>
                    <w:szCs w:val="24"/>
                  </w:rPr>
                  <w:t>Vilniaus rajone registruotoms ir veikiančioms švietimo įstaigoms;</w:t>
                </w:r>
              </w:p>
              <w:p>
                <w:pPr>
                  <w:tabs>
                    <w:tab w:val="left" w:pos="993"/>
                    <w:tab w:val="left" w:pos="1134"/>
                  </w:tabs>
                  <w:ind w:left="720" w:hanging="360"/>
                  <w:rPr>
                    <w:rFonts w:eastAsia="Calibri"/>
                    <w:szCs w:val="24"/>
                  </w:rPr>
                </w:pPr>
                <w:r>
                  <w:rPr>
                    <w:rFonts w:ascii="Symbol" w:eastAsia="Calibri" w:hAnsi="Symbol"/>
                    <w:szCs w:val="24"/>
                  </w:rPr>
                  <w:t></w:t>
                  <w:tab/>
                </w:r>
                <w:r>
                  <w:rPr>
                    <w:szCs w:val="24"/>
                  </w:rPr>
                  <w:t>Vilniaus rajone registruotoms bendruomeninėms organizacijoms, iki 4 kartų per metus.</w:t>
                </w:r>
              </w:p>
              <w:p>
                <w:pPr>
                  <w:widowControl w:val="0"/>
                  <w:rPr>
                    <w:szCs w:val="24"/>
                  </w:rPr>
                </w:pPr>
              </w:p>
              <w:p>
                <w:pPr>
                  <w:widowControl w:val="0"/>
                  <w:rPr>
                    <w:szCs w:val="24"/>
                  </w:rPr>
                </w:pPr>
                <w:r>
                  <w:rPr>
                    <w:szCs w:val="24"/>
                  </w:rPr>
                  <w:t>VRSC objektų nuomos ir teikiamų paslaugų pirmumo teisę turi:</w:t>
                </w:r>
              </w:p>
              <w:p>
                <w:pPr>
                  <w:widowControl w:val="0"/>
                  <w:ind w:left="720" w:hanging="360"/>
                  <w:rPr>
                    <w:szCs w:val="24"/>
                  </w:rPr>
                </w:pPr>
                <w:r>
                  <w:rPr>
                    <w:szCs w:val="24"/>
                  </w:rPr>
                  <w:t>1.</w:t>
                  <w:tab/>
                  <w:t xml:space="preserve">VRSC  ir Vilniaus r. Nemenčinės sporto mokykla  treniruotėms ir varžyboms organizuoti;</w:t>
                </w:r>
              </w:p>
              <w:p>
                <w:pPr>
                  <w:widowControl w:val="0"/>
                  <w:ind w:left="720" w:hanging="360"/>
                  <w:rPr>
                    <w:szCs w:val="24"/>
                  </w:rPr>
                </w:pPr>
                <w:r>
                  <w:rPr>
                    <w:szCs w:val="24"/>
                  </w:rPr>
                  <w:t>2.</w:t>
                  <w:tab/>
                  <w:t>Savivaldybės biudžetinės įstaigos;</w:t>
                </w:r>
              </w:p>
              <w:p>
                <w:pPr>
                  <w:widowControl w:val="0"/>
                  <w:ind w:left="720" w:hanging="360"/>
                  <w:rPr>
                    <w:szCs w:val="24"/>
                  </w:rPr>
                </w:pPr>
                <w:r>
                  <w:rPr>
                    <w:szCs w:val="24"/>
                  </w:rPr>
                  <w:t>3.</w:t>
                  <w:tab/>
                  <w:t>Juridinis asmuo, kurio dalininkė Savivaldybė;</w:t>
                </w:r>
              </w:p>
              <w:p>
                <w:pPr>
                  <w:widowControl w:val="0"/>
                  <w:ind w:left="720" w:hanging="360"/>
                  <w:rPr>
                    <w:szCs w:val="24"/>
                  </w:rPr>
                </w:pPr>
                <w:r>
                  <w:rPr>
                    <w:szCs w:val="24"/>
                  </w:rPr>
                  <w:t>4.</w:t>
                  <w:tab/>
                  <w:t>ŠMIR registruotiems Vilniaus rajono NVŠ teikėjams;</w:t>
                </w:r>
              </w:p>
              <w:p>
                <w:pPr>
                  <w:widowControl w:val="0"/>
                  <w:ind w:left="720" w:hanging="360"/>
                  <w:rPr>
                    <w:szCs w:val="24"/>
                  </w:rPr>
                </w:pPr>
                <w:r>
                  <w:rPr>
                    <w:szCs w:val="24"/>
                  </w:rPr>
                  <w:t>5.</w:t>
                  <w:tab/>
                  <w:t>Vilniaus rajono sporto klubai;</w:t>
                </w:r>
              </w:p>
              <w:p>
                <w:pPr>
                  <w:widowControl w:val="0"/>
                  <w:ind w:left="720" w:hanging="360"/>
                  <w:rPr>
                    <w:szCs w:val="24"/>
                  </w:rPr>
                </w:pPr>
                <w:r>
                  <w:rPr>
                    <w:szCs w:val="24"/>
                  </w:rPr>
                  <w:t>6.</w:t>
                  <w:tab/>
                  <w:t>Bendruomenės.</w:t>
                </w:r>
              </w:p>
              <w:p>
                <w:pPr>
                  <w:widowControl w:val="0"/>
                  <w:rPr>
                    <w:color w:val="FF0000"/>
                    <w:szCs w:val="24"/>
                  </w:rPr>
                </w:pPr>
              </w:p>
              <w:p>
                <w:pPr>
                  <w:widowControl w:val="0"/>
                  <w:rPr>
                    <w:szCs w:val="24"/>
                  </w:rPr>
                </w:pPr>
                <w:r>
                  <w:rPr>
                    <w:szCs w:val="24"/>
                  </w:rPr>
                  <w:t>PASTABOS:</w:t>
                </w:r>
              </w:p>
              <w:p>
                <w:pPr>
                  <w:widowControl w:val="0"/>
                  <w:rPr>
                    <w:szCs w:val="24"/>
                  </w:rPr>
                </w:pPr>
                <w:r>
                  <w:rPr>
                    <w:szCs w:val="24"/>
                    <w:vertAlign w:val="superscript"/>
                  </w:rPr>
                  <w:t>1</w:t>
                </w:r>
                <w:r>
                  <w:rPr>
                    <w:szCs w:val="24"/>
                  </w:rPr>
                  <w:t xml:space="preserve"> Paslauga teikiama tik asmenims, kurie turi Lietuvos policijos leidimą disponuoti šaunamuoju ginklu.</w:t>
                </w:r>
              </w:p>
              <w:p>
                <w:pPr>
                  <w:widowControl w:val="0"/>
                  <w:rPr>
                    <w:szCs w:val="24"/>
                  </w:rPr>
                </w:pPr>
              </w:p>
              <w:p>
                <w:pPr>
                  <w:widowControl w:val="0"/>
                  <w:rPr>
                    <w:szCs w:val="24"/>
                  </w:rPr>
                </w:pPr>
                <w:r>
                  <w:rPr>
                    <w:szCs w:val="24"/>
                    <w:vertAlign w:val="superscript"/>
                  </w:rPr>
                  <w:t>2</w:t>
                </w:r>
                <w:r>
                  <w:rPr>
                    <w:szCs w:val="24"/>
                  </w:rPr>
                  <w:t xml:space="preserve"> 0,30 Eur už 1 val./100 </w:t>
                </w:r>
                <w:r>
                  <w:rPr>
                    <w:szCs w:val="22"/>
                  </w:rPr>
                  <w:t>m</w:t>
                </w:r>
                <w:r>
                  <w:rPr>
                    <w:szCs w:val="22"/>
                    <w:vertAlign w:val="superscript"/>
                  </w:rPr>
                  <w:t>2</w:t>
                </w:r>
                <w:r>
                  <w:rPr>
                    <w:szCs w:val="24"/>
                  </w:rPr>
                  <w:t xml:space="preserve">: </w:t>
                </w:r>
              </w:p>
              <w:p>
                <w:pPr>
                  <w:widowControl w:val="0"/>
                  <w:rPr>
                    <w:szCs w:val="24"/>
                  </w:rPr>
                </w:pPr>
                <w:r>
                  <w:rPr>
                    <w:szCs w:val="24"/>
                  </w:rPr>
                  <w:t xml:space="preserve">• Švietimo ir mokslo institucijų registre registruoti švietimo teikėjai, švietimo įstaigoje vykdantys Neformaliojo švietimo programų registre registruotas ir Lietuvos Respublikos teisės aktų nustatyta tvarka akredituotas neformaliojo vaikų švietimo programas. </w:t>
                </w:r>
              </w:p>
              <w:p>
                <w:pPr>
                  <w:widowControl w:val="0"/>
                  <w:rPr>
                    <w:szCs w:val="24"/>
                  </w:rPr>
                </w:pPr>
                <w:r>
                  <w:rPr>
                    <w:szCs w:val="24"/>
                  </w:rPr>
                  <w:t xml:space="preserve">• Laisvieji mokytojai (fiziniai asmenys, Lietuvos Respublikos įstatymų nustatyta tvarka turintys teisę vykdyti švietimą), pelno nesiekiančios organizacijos, kurių įstatuose yra numatyta sporto, sveikatingumo, kultūros, meno bei švietimo veikla tais atvejais, kai patalpose organizuojami užsiėmimai vaikams ir asmenims, ne vyresniems kaip 21 metų (toliau – kiti neformaliojo švietimo teikėjai), taip pat pelno nesiekiančios visuomeninės asmenims su negalia atstovaujančios organizacijos, kurių įstatuose yra numatyta asmenims su negalia skirta veikla, tais atvejais, kai patalpose organizuojama veikla, skirta asmenų su negalia integracijai, taip pat jaunimo ir ar su jaunimu dirbančios pelno nesiekiančios organizacijos, kurių įstatuose yra numatytas darbas su jaunimu ir ar jaunimo politikos priemonių įgyvendinimas. </w:t>
                </w:r>
              </w:p>
              <w:p>
                <w:pPr>
                  <w:widowControl w:val="0"/>
                  <w:rPr>
                    <w:szCs w:val="24"/>
                  </w:rPr>
                </w:pPr>
                <w:r>
                  <w:rPr>
                    <w:szCs w:val="24"/>
                  </w:rPr>
                  <w:t>• Bendruomeninės organizacijos, reguliariai vykdančios bendruomenines veiklas toje seniūnijoje, kurioje yra stadionas (aikštynas).</w:t>
                </w:r>
              </w:p>
              <w:p>
                <w:pPr>
                  <w:widowControl w:val="0"/>
                  <w:rPr>
                    <w:szCs w:val="24"/>
                  </w:rPr>
                </w:pPr>
              </w:p>
              <w:p>
                <w:pPr>
                  <w:widowControl w:val="0"/>
                  <w:rPr>
                    <w:rFonts w:eastAsia="Calibri"/>
                    <w:color w:val="00B0F0"/>
                    <w:szCs w:val="24"/>
                  </w:rPr>
                </w:pPr>
                <w:r>
                  <w:rPr>
                    <w:szCs w:val="24"/>
                    <w:vertAlign w:val="superscript"/>
                  </w:rPr>
                  <w:t>3</w:t>
                </w:r>
                <w:r>
                  <w:rPr>
                    <w:szCs w:val="24"/>
                  </w:rPr>
                  <w:t xml:space="preserve"> </w:t>
                </w:r>
                <w:r>
                  <w:rPr>
                    <w:rFonts w:eastAsia="Calibri"/>
                    <w:color w:val="000000"/>
                    <w:szCs w:val="24"/>
                  </w:rPr>
                  <w:t>Dviračio ir slidžių komplekto nuoma teikiama nuo 9:00 iki 19:00 val.</w:t>
                </w:r>
              </w:p>
              <w:p>
                <w:pPr>
                  <w:widowControl w:val="0"/>
                  <w:rPr>
                    <w:szCs w:val="24"/>
                  </w:rPr>
                </w:pPr>
              </w:p>
              <w:p>
                <w:pPr>
                  <w:widowControl w:val="0"/>
                  <w:rPr>
                    <w:szCs w:val="24"/>
                  </w:rPr>
                </w:pPr>
                <w:r>
                  <w:rPr>
                    <w:szCs w:val="24"/>
                    <w:vertAlign w:val="superscript"/>
                  </w:rPr>
                  <w:t>4</w:t>
                </w:r>
                <w:r>
                  <w:rPr>
                    <w:szCs w:val="24"/>
                  </w:rPr>
                  <w:t xml:space="preserve"> Nurodyta paslauga teikiama tik iš anksto rezervavus (prieš 5 d. d.)</w:t>
                </w:r>
              </w:p>
              <w:p>
                <w:pPr>
                  <w:widowControl w:val="0"/>
                  <w:rPr>
                    <w:szCs w:val="24"/>
                  </w:rPr>
                </w:pPr>
              </w:p>
              <w:p>
                <w:pPr>
                  <w:widowControl w:val="0"/>
                  <w:rPr>
                    <w:szCs w:val="24"/>
                  </w:rPr>
                </w:pPr>
                <w:r>
                  <w:rPr>
                    <w:szCs w:val="24"/>
                    <w:vertAlign w:val="superscript"/>
                  </w:rPr>
                  <w:t>5</w:t>
                </w:r>
                <w:r>
                  <w:rPr>
                    <w:szCs w:val="24"/>
                  </w:rPr>
                  <w:t xml:space="preserve"> Nurodyta įranga nuomojama varžyboms tik VRSC teritorijoje.</w:t>
                </w:r>
              </w:p>
              <w:p>
                <w:pPr>
                  <w:widowControl w:val="0"/>
                  <w:rPr>
                    <w:szCs w:val="24"/>
                  </w:rPr>
                </w:pPr>
              </w:p>
              <w:p>
                <w:pPr>
                  <w:widowControl w:val="0"/>
                  <w:rPr>
                    <w:color w:val="000000"/>
                    <w:szCs w:val="24"/>
                  </w:rPr>
                </w:pPr>
                <w:r>
                  <w:rPr>
                    <w:color w:val="000000"/>
                    <w:szCs w:val="24"/>
                    <w:vertAlign w:val="superscript"/>
                  </w:rPr>
                  <w:t>6</w:t>
                </w:r>
                <w:r>
                  <w:rPr>
                    <w:color w:val="000000"/>
                    <w:szCs w:val="24"/>
                  </w:rPr>
                  <w:t xml:space="preserve"> Pirmos valandos kaina – 20,00 eurų, kiekvienos kitos valandos  ̶ 10,00 eurų.</w:t>
                </w:r>
              </w:p>
              <w:p>
                <w:pPr>
                  <w:widowControl w:val="0"/>
                  <w:rPr>
                    <w:color w:val="000000"/>
                    <w:szCs w:val="24"/>
                  </w:rPr>
                </w:pPr>
              </w:p>
              <w:p>
                <w:pPr>
                  <w:widowControl w:val="0"/>
                  <w:rPr>
                    <w:szCs w:val="24"/>
                  </w:rPr>
                </w:pPr>
                <w:r>
                  <w:rPr>
                    <w:color w:val="000000"/>
                    <w:szCs w:val="24"/>
                    <w:vertAlign w:val="superscript"/>
                  </w:rPr>
                  <w:t>7</w:t>
                </w:r>
                <w:r>
                  <w:rPr>
                    <w:color w:val="000000"/>
                    <w:szCs w:val="24"/>
                  </w:rPr>
                  <w:t xml:space="preserve"> 0,10 Eur Stadionų (dirbtinės dangos) 1m</w:t>
                </w:r>
                <w:r>
                  <w:rPr>
                    <w:color w:val="000000"/>
                    <w:szCs w:val="24"/>
                    <w:vertAlign w:val="superscript"/>
                  </w:rPr>
                  <w:t xml:space="preserve">2 </w:t>
                </w:r>
                <w:r>
                  <w:rPr>
                    <w:color w:val="000000"/>
                    <w:szCs w:val="24"/>
                  </w:rPr>
                  <w:t>šukavimo kaina be užpildo pildymo (Savivaldybės biudžetinėms įstaigoms, juridiniams asmenims, kurių savininkė ar dalininkė yra Savivaldybė).</w:t>
                </w:r>
              </w:p>
            </w:tc>
          </w:tr>
          <w:tr>
            <w:trPr>
              <w:trHeight w:val="704"/>
            </w:trPr>
            <w:tc>
              <w:tcPr>
                <w:tcW w:w="0" w:type="auto"/>
                <w:vMerge w:val="restart"/>
                <w:vAlign w:val="center"/>
              </w:tcPr>
              <w:p>
                <w:pPr>
                  <w:widowControl w:val="0"/>
                  <w:rPr>
                    <w:sz w:val="22"/>
                    <w:szCs w:val="22"/>
                  </w:rPr>
                </w:pPr>
                <w:r>
                  <w:rPr>
                    <w:sz w:val="22"/>
                    <w:szCs w:val="22"/>
                  </w:rPr>
                  <w:t>1.1.</w:t>
                </w:r>
              </w:p>
            </w:tc>
            <w:tc>
              <w:tcPr>
                <w:tcW w:w="1053" w:type="pct"/>
                <w:vMerge w:val="restart"/>
                <w:vAlign w:val="center"/>
              </w:tcPr>
              <w:p>
                <w:pPr>
                  <w:widowControl w:val="0"/>
                  <w:rPr>
                    <w:sz w:val="22"/>
                    <w:szCs w:val="22"/>
                  </w:rPr>
                </w:pPr>
                <w:r>
                  <w:rPr>
                    <w:color w:val="000000"/>
                    <w:szCs w:val="24"/>
                  </w:rPr>
                  <w:t>Riedslidžių trasa (1500 m)</w:t>
                </w:r>
              </w:p>
            </w:tc>
            <w:tc>
              <w:tcPr>
                <w:tcW w:w="537" w:type="pct"/>
                <w:vAlign w:val="center"/>
              </w:tcPr>
              <w:p>
                <w:pPr>
                  <w:widowControl w:val="0"/>
                  <w:jc w:val="center"/>
                  <w:rPr>
                    <w:sz w:val="22"/>
                    <w:szCs w:val="22"/>
                  </w:rPr>
                </w:pPr>
                <w:r>
                  <w:rPr>
                    <w:sz w:val="22"/>
                    <w:szCs w:val="22"/>
                  </w:rPr>
                  <w:t>1 val.</w:t>
                </w:r>
              </w:p>
            </w:tc>
            <w:tc>
              <w:tcPr>
                <w:tcW w:w="526" w:type="pct"/>
                <w:vAlign w:val="center"/>
              </w:tcPr>
              <w:p>
                <w:pPr>
                  <w:widowControl w:val="0"/>
                  <w:jc w:val="center"/>
                  <w:rPr>
                    <w:sz w:val="22"/>
                    <w:szCs w:val="22"/>
                  </w:rPr>
                </w:pPr>
                <w:r>
                  <w:rPr>
                    <w:spacing w:val="-2"/>
                    <w:szCs w:val="22"/>
                  </w:rPr>
                  <w:t>3,00</w:t>
                </w:r>
              </w:p>
            </w:tc>
            <w:tc>
              <w:tcPr>
                <w:tcW w:w="649" w:type="pct"/>
                <w:vAlign w:val="center"/>
              </w:tcPr>
              <w:p>
                <w:pPr>
                  <w:widowControl w:val="0"/>
                  <w:jc w:val="center"/>
                  <w:rPr>
                    <w:strike/>
                    <w:sz w:val="22"/>
                    <w:szCs w:val="22"/>
                  </w:rPr>
                </w:pPr>
                <w:r>
                  <w:rPr>
                    <w:spacing w:val="-2"/>
                    <w:szCs w:val="22"/>
                  </w:rPr>
                  <w:t>1,00</w:t>
                </w:r>
              </w:p>
            </w:tc>
            <w:tc>
              <w:tcPr>
                <w:tcW w:w="1994" w:type="pct"/>
                <w:vMerge/>
              </w:tcPr>
              <w:p/>
            </w:tc>
          </w:tr>
          <w:tr>
            <w:trPr>
              <w:trHeight w:val="704"/>
            </w:trPr>
            <w:tc>
              <w:tcPr>
                <w:tcW w:w="0" w:type="auto"/>
                <w:vMerge/>
                <w:vAlign w:val="center"/>
              </w:tcPr>
              <w:p>
                <w:pPr>
                  <w:widowControl w:val="0"/>
                  <w:rPr>
                    <w:sz w:val="22"/>
                    <w:szCs w:val="22"/>
                  </w:rPr>
                </w:pPr>
              </w:p>
            </w:tc>
            <w:tc>
              <w:tcPr>
                <w:tcW w:w="1053" w:type="pct"/>
                <w:vMerge/>
                <w:vAlign w:val="center"/>
              </w:tcPr>
              <w:p>
                <w:pPr>
                  <w:widowControl w:val="0"/>
                  <w:rPr>
                    <w:color w:val="000000"/>
                    <w:sz w:val="22"/>
                    <w:szCs w:val="24"/>
                  </w:rPr>
                </w:pPr>
              </w:p>
            </w:tc>
            <w:tc>
              <w:tcPr>
                <w:tcW w:w="537" w:type="pct"/>
                <w:vAlign w:val="center"/>
              </w:tcPr>
              <w:p>
                <w:pPr>
                  <w:widowControl w:val="0"/>
                  <w:jc w:val="center"/>
                  <w:rPr>
                    <w:sz w:val="22"/>
                    <w:szCs w:val="22"/>
                  </w:rPr>
                </w:pPr>
                <w:r>
                  <w:rPr>
                    <w:color w:val="000000"/>
                    <w:szCs w:val="24"/>
                  </w:rPr>
                  <w:t>1 mėn. abonementas</w:t>
                </w:r>
              </w:p>
            </w:tc>
            <w:tc>
              <w:tcPr>
                <w:tcW w:w="526" w:type="pct"/>
                <w:vAlign w:val="center"/>
              </w:tcPr>
              <w:p>
                <w:pPr>
                  <w:widowControl w:val="0"/>
                  <w:jc w:val="center"/>
                  <w:rPr>
                    <w:strike/>
                    <w:spacing w:val="-2"/>
                    <w:szCs w:val="22"/>
                  </w:rPr>
                </w:pPr>
                <w:r>
                  <w:rPr>
                    <w:spacing w:val="-2"/>
                    <w:szCs w:val="22"/>
                  </w:rPr>
                  <w:t>25,00</w:t>
                </w:r>
              </w:p>
            </w:tc>
            <w:tc>
              <w:tcPr>
                <w:tcW w:w="649" w:type="pct"/>
                <w:vAlign w:val="center"/>
              </w:tcPr>
              <w:p>
                <w:pPr>
                  <w:widowControl w:val="0"/>
                  <w:jc w:val="center"/>
                  <w:rPr>
                    <w:spacing w:val="-2"/>
                    <w:szCs w:val="22"/>
                  </w:rPr>
                </w:pPr>
                <w:r>
                  <w:rPr>
                    <w:spacing w:val="-2"/>
                    <w:szCs w:val="22"/>
                  </w:rPr>
                  <w:t>10,00</w:t>
                </w:r>
              </w:p>
            </w:tc>
            <w:tc>
              <w:tcPr>
                <w:tcW w:w="1994" w:type="pct"/>
                <w:vMerge/>
              </w:tcPr>
              <w:p/>
            </w:tc>
          </w:tr>
          <w:tr>
            <w:trPr>
              <w:trHeight w:val="700"/>
            </w:trPr>
            <w:tc>
              <w:tcPr>
                <w:tcW w:w="0" w:type="auto"/>
                <w:vMerge w:val="restart"/>
                <w:vAlign w:val="center"/>
              </w:tcPr>
              <w:p>
                <w:pPr>
                  <w:widowControl w:val="0"/>
                  <w:rPr>
                    <w:sz w:val="22"/>
                    <w:szCs w:val="22"/>
                  </w:rPr>
                </w:pPr>
                <w:r>
                  <w:rPr>
                    <w:sz w:val="22"/>
                    <w:szCs w:val="22"/>
                  </w:rPr>
                  <w:t>1.2.</w:t>
                </w:r>
              </w:p>
            </w:tc>
            <w:tc>
              <w:tcPr>
                <w:tcW w:w="1053" w:type="pct"/>
                <w:vMerge w:val="restart"/>
                <w:vAlign w:val="center"/>
              </w:tcPr>
              <w:p>
                <w:pPr>
                  <w:widowControl w:val="0"/>
                  <w:rPr>
                    <w:sz w:val="22"/>
                    <w:szCs w:val="22"/>
                  </w:rPr>
                </w:pPr>
                <w:r>
                  <w:rPr>
                    <w:color w:val="000000"/>
                    <w:szCs w:val="24"/>
                  </w:rPr>
                  <w:t>Slidinėjimo trasa (žiemą) (2500 m)</w:t>
                </w:r>
              </w:p>
              <w:p/>
            </w:tc>
            <w:tc>
              <w:tcPr>
                <w:tcW w:w="537" w:type="pct"/>
                <w:vAlign w:val="center"/>
              </w:tcPr>
              <w:p>
                <w:pPr>
                  <w:widowControl w:val="0"/>
                  <w:jc w:val="center"/>
                  <w:rPr>
                    <w:sz w:val="22"/>
                    <w:szCs w:val="22"/>
                  </w:rPr>
                </w:pPr>
                <w:r>
                  <w:rPr>
                    <w:sz w:val="22"/>
                    <w:szCs w:val="22"/>
                  </w:rPr>
                  <w:t>1 val.</w:t>
                </w:r>
              </w:p>
            </w:tc>
            <w:tc>
              <w:tcPr>
                <w:tcW w:w="526" w:type="pct"/>
                <w:vAlign w:val="center"/>
              </w:tcPr>
              <w:p>
                <w:pPr>
                  <w:widowControl w:val="0"/>
                  <w:jc w:val="center"/>
                  <w:rPr>
                    <w:strike/>
                    <w:sz w:val="22"/>
                    <w:szCs w:val="22"/>
                  </w:rPr>
                </w:pPr>
                <w:r>
                  <w:rPr>
                    <w:szCs w:val="22"/>
                  </w:rPr>
                  <w:t>5,00</w:t>
                </w:r>
              </w:p>
            </w:tc>
            <w:tc>
              <w:tcPr>
                <w:tcW w:w="649" w:type="pct"/>
                <w:vAlign w:val="center"/>
              </w:tcPr>
              <w:p>
                <w:pPr>
                  <w:widowControl w:val="0"/>
                  <w:jc w:val="center"/>
                  <w:rPr>
                    <w:strike/>
                    <w:sz w:val="22"/>
                    <w:szCs w:val="22"/>
                  </w:rPr>
                </w:pPr>
                <w:r>
                  <w:rPr>
                    <w:szCs w:val="24"/>
                  </w:rPr>
                  <w:t>2,00</w:t>
                </w:r>
              </w:p>
            </w:tc>
            <w:tc>
              <w:tcPr>
                <w:tcW w:w="1994" w:type="pct"/>
                <w:vMerge/>
              </w:tcPr>
              <w:p/>
            </w:tc>
          </w:tr>
          <w:tr>
            <w:trPr>
              <w:trHeight w:val="700"/>
            </w:trPr>
            <w:tc>
              <w:tcPr>
                <w:tcW w:w="0" w:type="auto"/>
                <w:vMerge/>
                <w:vAlign w:val="center"/>
              </w:tcPr>
              <w:p>
                <w:pPr>
                  <w:widowControl w:val="0"/>
                  <w:rPr>
                    <w:sz w:val="22"/>
                    <w:szCs w:val="22"/>
                  </w:rPr>
                </w:pPr>
              </w:p>
            </w:tc>
            <w:tc>
              <w:tcPr>
                <w:tcW w:w="1053" w:type="pct"/>
                <w:vMerge/>
                <w:vAlign w:val="center"/>
              </w:tcPr>
              <w:p>
                <w:pPr>
                  <w:widowControl w:val="0"/>
                  <w:rPr>
                    <w:color w:val="000000"/>
                    <w:sz w:val="22"/>
                    <w:szCs w:val="24"/>
                  </w:rPr>
                </w:pPr>
              </w:p>
            </w:tc>
            <w:tc>
              <w:tcPr>
                <w:tcW w:w="537" w:type="pct"/>
                <w:vAlign w:val="center"/>
              </w:tcPr>
              <w:p>
                <w:pPr>
                  <w:widowControl w:val="0"/>
                  <w:jc w:val="center"/>
                  <w:rPr>
                    <w:sz w:val="22"/>
                    <w:szCs w:val="22"/>
                  </w:rPr>
                </w:pPr>
                <w:r>
                  <w:rPr>
                    <w:color w:val="000000"/>
                    <w:szCs w:val="24"/>
                  </w:rPr>
                  <w:t>1 mėn. abonementas</w:t>
                </w:r>
              </w:p>
            </w:tc>
            <w:tc>
              <w:tcPr>
                <w:tcW w:w="526" w:type="pct"/>
                <w:vAlign w:val="center"/>
              </w:tcPr>
              <w:p>
                <w:pPr>
                  <w:widowControl w:val="0"/>
                  <w:jc w:val="center"/>
                  <w:rPr>
                    <w:strike/>
                    <w:sz w:val="22"/>
                    <w:szCs w:val="22"/>
                  </w:rPr>
                </w:pPr>
                <w:r>
                  <w:rPr>
                    <w:spacing w:val="-2"/>
                    <w:szCs w:val="22"/>
                  </w:rPr>
                  <w:t>35,00</w:t>
                </w:r>
              </w:p>
            </w:tc>
            <w:tc>
              <w:tcPr>
                <w:tcW w:w="649" w:type="pct"/>
                <w:vAlign w:val="center"/>
              </w:tcPr>
              <w:p>
                <w:pPr>
                  <w:widowControl w:val="0"/>
                  <w:jc w:val="center"/>
                  <w:rPr>
                    <w:strike/>
                    <w:sz w:val="22"/>
                    <w:szCs w:val="22"/>
                  </w:rPr>
                </w:pPr>
                <w:r>
                  <w:rPr>
                    <w:spacing w:val="-2"/>
                    <w:szCs w:val="22"/>
                  </w:rPr>
                  <w:t>13,00</w:t>
                </w:r>
              </w:p>
            </w:tc>
            <w:tc>
              <w:tcPr>
                <w:tcW w:w="1994" w:type="pct"/>
                <w:vMerge/>
              </w:tcPr>
              <w:p/>
            </w:tc>
          </w:tr>
          <w:tr>
            <w:trPr>
              <w:trHeight w:val="413"/>
            </w:trPr>
            <w:tc>
              <w:tcPr>
                <w:tcW w:w="0" w:type="auto"/>
                <w:vMerge w:val="restart"/>
                <w:vAlign w:val="center"/>
              </w:tcPr>
              <w:p>
                <w:pPr>
                  <w:widowControl w:val="0"/>
                  <w:rPr>
                    <w:sz w:val="22"/>
                    <w:szCs w:val="22"/>
                  </w:rPr>
                </w:pPr>
                <w:r>
                  <w:rPr>
                    <w:sz w:val="22"/>
                    <w:szCs w:val="22"/>
                  </w:rPr>
                  <w:t>1.3.</w:t>
                </w:r>
              </w:p>
            </w:tc>
            <w:tc>
              <w:tcPr>
                <w:tcW w:w="1053" w:type="pct"/>
                <w:vMerge w:val="restart"/>
                <w:vAlign w:val="center"/>
              </w:tcPr>
              <w:p>
                <w:pPr>
                  <w:widowControl w:val="0"/>
                  <w:rPr>
                    <w:color w:val="000000"/>
                    <w:szCs w:val="24"/>
                  </w:rPr>
                </w:pPr>
                <w:r>
                  <w:rPr>
                    <w:color w:val="000000"/>
                    <w:szCs w:val="24"/>
                  </w:rPr>
                  <w:t>Šaudykla, 1 skydas</w:t>
                </w:r>
              </w:p>
              <w:p>
                <w:pPr>
                  <w:widowControl w:val="0"/>
                  <w:rPr>
                    <w:color w:val="000000"/>
                    <w:szCs w:val="24"/>
                  </w:rPr>
                </w:pPr>
              </w:p>
            </w:tc>
            <w:tc>
              <w:tcPr>
                <w:tcW w:w="537" w:type="pct"/>
                <w:vAlign w:val="center"/>
              </w:tcPr>
              <w:p>
                <w:pPr>
                  <w:widowControl w:val="0"/>
                  <w:jc w:val="center"/>
                  <w:rPr>
                    <w:sz w:val="22"/>
                    <w:szCs w:val="22"/>
                  </w:rPr>
                </w:pPr>
                <w:r>
                  <w:rPr>
                    <w:color w:val="000000"/>
                    <w:szCs w:val="24"/>
                  </w:rPr>
                  <w:t>2 valandos</w:t>
                </w:r>
              </w:p>
            </w:tc>
            <w:tc>
              <w:tcPr>
                <w:tcW w:w="526" w:type="pct"/>
                <w:vAlign w:val="center"/>
              </w:tcPr>
              <w:p>
                <w:pPr>
                  <w:widowControl w:val="0"/>
                  <w:jc w:val="center"/>
                  <w:rPr>
                    <w:sz w:val="22"/>
                    <w:szCs w:val="22"/>
                  </w:rPr>
                </w:pPr>
                <w:r>
                  <w:rPr>
                    <w:szCs w:val="24"/>
                  </w:rPr>
                  <w:t>3,00</w:t>
                </w:r>
              </w:p>
            </w:tc>
            <w:tc>
              <w:tcPr>
                <w:tcW w:w="649" w:type="pct"/>
                <w:vAlign w:val="center"/>
              </w:tcPr>
              <w:p>
                <w:pPr>
                  <w:widowControl w:val="0"/>
                  <w:jc w:val="center"/>
                  <w:rPr>
                    <w:sz w:val="22"/>
                    <w:szCs w:val="22"/>
                  </w:rPr>
                </w:pPr>
                <w:r>
                  <w:rPr>
                    <w:szCs w:val="24"/>
                  </w:rPr>
                  <w:t>2,00</w:t>
                </w:r>
              </w:p>
            </w:tc>
            <w:tc>
              <w:tcPr>
                <w:tcW w:w="1994" w:type="pct"/>
                <w:vMerge/>
              </w:tcPr>
              <w:p/>
            </w:tc>
          </w:tr>
          <w:tr>
            <w:trPr>
              <w:trHeight w:val="413"/>
            </w:trPr>
            <w:tc>
              <w:tcPr>
                <w:tcW w:w="0" w:type="auto"/>
                <w:vMerge/>
                <w:vAlign w:val="center"/>
              </w:tcPr>
              <w:p>
                <w:pPr>
                  <w:widowControl w:val="0"/>
                  <w:rPr>
                    <w:sz w:val="22"/>
                    <w:szCs w:val="22"/>
                  </w:rPr>
                </w:pPr>
              </w:p>
            </w:tc>
            <w:tc>
              <w:tcPr>
                <w:tcW w:w="1053" w:type="pct"/>
                <w:vMerge/>
                <w:vAlign w:val="center"/>
              </w:tcPr>
              <w:p>
                <w:pPr>
                  <w:widowControl w:val="0"/>
                  <w:rPr>
                    <w:color w:val="000000"/>
                    <w:sz w:val="22"/>
                    <w:szCs w:val="24"/>
                  </w:rPr>
                </w:pPr>
              </w:p>
            </w:tc>
            <w:tc>
              <w:tcPr>
                <w:tcW w:w="537" w:type="pct"/>
                <w:vAlign w:val="center"/>
              </w:tcPr>
              <w:p>
                <w:pPr>
                  <w:widowControl w:val="0"/>
                  <w:jc w:val="center"/>
                  <w:rPr>
                    <w:sz w:val="22"/>
                    <w:szCs w:val="22"/>
                  </w:rPr>
                </w:pPr>
                <w:r>
                  <w:rPr>
                    <w:color w:val="000000"/>
                    <w:szCs w:val="24"/>
                  </w:rPr>
                  <w:t>1 diena</w:t>
                </w:r>
              </w:p>
            </w:tc>
            <w:tc>
              <w:tcPr>
                <w:tcW w:w="526" w:type="pct"/>
                <w:vAlign w:val="center"/>
              </w:tcPr>
              <w:p>
                <w:pPr>
                  <w:widowControl w:val="0"/>
                  <w:jc w:val="center"/>
                  <w:rPr>
                    <w:sz w:val="22"/>
                    <w:szCs w:val="22"/>
                  </w:rPr>
                </w:pPr>
                <w:r>
                  <w:rPr>
                    <w:szCs w:val="24"/>
                  </w:rPr>
                  <w:t>5,00</w:t>
                </w:r>
              </w:p>
            </w:tc>
            <w:tc>
              <w:tcPr>
                <w:tcW w:w="649" w:type="pct"/>
                <w:vAlign w:val="center"/>
              </w:tcPr>
              <w:p>
                <w:pPr>
                  <w:widowControl w:val="0"/>
                  <w:jc w:val="center"/>
                  <w:rPr>
                    <w:sz w:val="22"/>
                    <w:szCs w:val="22"/>
                  </w:rPr>
                </w:pPr>
                <w:r>
                  <w:rPr>
                    <w:spacing w:val="-2"/>
                    <w:szCs w:val="22"/>
                  </w:rPr>
                  <w:t>3,00</w:t>
                </w:r>
              </w:p>
            </w:tc>
            <w:tc>
              <w:tcPr>
                <w:tcW w:w="1994" w:type="pct"/>
                <w:vMerge/>
              </w:tcPr>
              <w:p/>
            </w:tc>
          </w:tr>
          <w:tr>
            <w:trPr>
              <w:trHeight w:val="830"/>
            </w:trPr>
            <w:tc>
              <w:tcPr>
                <w:tcW w:w="0" w:type="auto"/>
                <w:vMerge w:val="restart"/>
                <w:vAlign w:val="center"/>
              </w:tcPr>
              <w:p>
                <w:pPr>
                  <w:widowControl w:val="0"/>
                  <w:rPr>
                    <w:sz w:val="22"/>
                    <w:szCs w:val="22"/>
                  </w:rPr>
                </w:pPr>
                <w:r>
                  <w:rPr>
                    <w:sz w:val="22"/>
                    <w:szCs w:val="22"/>
                  </w:rPr>
                  <w:t>1.4.</w:t>
                </w:r>
              </w:p>
            </w:tc>
            <w:tc>
              <w:tcPr>
                <w:tcW w:w="1053" w:type="pct"/>
                <w:vMerge w:val="restart"/>
                <w:vAlign w:val="center"/>
              </w:tcPr>
              <w:p>
                <w:pPr>
                  <w:rPr>
                    <w:color w:val="000000"/>
                    <w:szCs w:val="24"/>
                  </w:rPr>
                </w:pPr>
                <w:r>
                  <w:rPr>
                    <w:color w:val="000000"/>
                    <w:szCs w:val="24"/>
                  </w:rPr>
                  <w:t>Šaudykla, 1 skydas su apšvietimu*</w:t>
                </w:r>
              </w:p>
              <w:p>
                <w:pPr>
                  <w:widowControl w:val="0"/>
                  <w:rPr>
                    <w:color w:val="000000"/>
                    <w:szCs w:val="24"/>
                  </w:rPr>
                </w:pPr>
              </w:p>
            </w:tc>
            <w:tc>
              <w:tcPr>
                <w:tcW w:w="537" w:type="pct"/>
                <w:vAlign w:val="center"/>
              </w:tcPr>
              <w:p>
                <w:pPr>
                  <w:widowControl w:val="0"/>
                  <w:jc w:val="center"/>
                  <w:rPr>
                    <w:color w:val="000000"/>
                    <w:szCs w:val="24"/>
                  </w:rPr>
                </w:pPr>
                <w:r>
                  <w:rPr>
                    <w:color w:val="000000"/>
                    <w:szCs w:val="24"/>
                  </w:rPr>
                  <w:t>2 valandos</w:t>
                </w:r>
              </w:p>
            </w:tc>
            <w:tc>
              <w:tcPr>
                <w:tcW w:w="526" w:type="pct"/>
                <w:vAlign w:val="center"/>
              </w:tcPr>
              <w:p>
                <w:pPr>
                  <w:widowControl w:val="0"/>
                  <w:jc w:val="center"/>
                  <w:rPr>
                    <w:spacing w:val="-2"/>
                    <w:szCs w:val="22"/>
                  </w:rPr>
                </w:pPr>
                <w:r>
                  <w:rPr>
                    <w:color w:val="000000"/>
                    <w:szCs w:val="24"/>
                  </w:rPr>
                  <w:t>4,00</w:t>
                </w:r>
              </w:p>
            </w:tc>
            <w:tc>
              <w:tcPr>
                <w:tcW w:w="649" w:type="pct"/>
                <w:vAlign w:val="center"/>
              </w:tcPr>
              <w:p>
                <w:pPr>
                  <w:widowControl w:val="0"/>
                  <w:jc w:val="center"/>
                  <w:rPr>
                    <w:spacing w:val="-2"/>
                    <w:szCs w:val="22"/>
                  </w:rPr>
                </w:pPr>
                <w:r>
                  <w:rPr>
                    <w:spacing w:val="-2"/>
                    <w:szCs w:val="22"/>
                  </w:rPr>
                  <w:t>2,50</w:t>
                </w:r>
              </w:p>
            </w:tc>
            <w:tc>
              <w:tcPr>
                <w:tcW w:w="1994" w:type="pct"/>
                <w:vMerge/>
              </w:tcPr>
              <w:p/>
            </w:tc>
          </w:tr>
          <w:tr>
            <w:trPr>
              <w:trHeight w:val="830"/>
            </w:trPr>
            <w:tc>
              <w:tcPr>
                <w:tcW w:w="0" w:type="auto"/>
                <w:vMerge/>
                <w:vAlign w:val="center"/>
              </w:tcPr>
              <w:p>
                <w:pPr>
                  <w:widowControl w:val="0"/>
                  <w:rPr>
                    <w:sz w:val="22"/>
                    <w:szCs w:val="22"/>
                  </w:rPr>
                </w:pPr>
              </w:p>
            </w:tc>
            <w:tc>
              <w:tcPr>
                <w:tcW w:w="1053" w:type="pct"/>
                <w:vMerge/>
                <w:vAlign w:val="center"/>
              </w:tcPr>
              <w:p>
                <w:pPr>
                  <w:widowControl w:val="0"/>
                  <w:rPr>
                    <w:color w:val="000000"/>
                    <w:szCs w:val="24"/>
                  </w:rPr>
                </w:pPr>
              </w:p>
            </w:tc>
            <w:tc>
              <w:tcPr>
                <w:tcW w:w="537" w:type="pct"/>
                <w:vAlign w:val="center"/>
              </w:tcPr>
              <w:p>
                <w:pPr>
                  <w:widowControl w:val="0"/>
                  <w:jc w:val="center"/>
                  <w:rPr>
                    <w:color w:val="000000"/>
                    <w:szCs w:val="24"/>
                  </w:rPr>
                </w:pPr>
                <w:r>
                  <w:rPr>
                    <w:color w:val="000000"/>
                    <w:szCs w:val="24"/>
                  </w:rPr>
                  <w:t>1 diena</w:t>
                </w:r>
              </w:p>
            </w:tc>
            <w:tc>
              <w:tcPr>
                <w:tcW w:w="526" w:type="pct"/>
                <w:vAlign w:val="center"/>
              </w:tcPr>
              <w:p>
                <w:pPr>
                  <w:widowControl w:val="0"/>
                  <w:jc w:val="center"/>
                  <w:rPr>
                    <w:spacing w:val="-2"/>
                    <w:szCs w:val="22"/>
                  </w:rPr>
                </w:pPr>
                <w:r>
                  <w:rPr>
                    <w:color w:val="000000"/>
                    <w:szCs w:val="24"/>
                  </w:rPr>
                  <w:t>6,00</w:t>
                </w:r>
              </w:p>
            </w:tc>
            <w:tc>
              <w:tcPr>
                <w:tcW w:w="649" w:type="pct"/>
                <w:vAlign w:val="center"/>
              </w:tcPr>
              <w:p>
                <w:pPr>
                  <w:widowControl w:val="0"/>
                  <w:jc w:val="center"/>
                  <w:rPr>
                    <w:spacing w:val="-2"/>
                    <w:szCs w:val="22"/>
                  </w:rPr>
                </w:pPr>
                <w:r>
                  <w:rPr>
                    <w:spacing w:val="-2"/>
                    <w:szCs w:val="22"/>
                  </w:rPr>
                  <w:t>4,00</w:t>
                </w:r>
              </w:p>
            </w:tc>
            <w:tc>
              <w:tcPr>
                <w:tcW w:w="1994" w:type="pct"/>
                <w:vMerge/>
              </w:tcPr>
              <w:p/>
            </w:tc>
          </w:tr>
          <w:tr>
            <w:trPr>
              <w:trHeight w:val="830"/>
            </w:trPr>
            <w:tc>
              <w:tcPr>
                <w:tcW w:w="0" w:type="auto"/>
                <w:vAlign w:val="center"/>
              </w:tcPr>
              <w:p>
                <w:pPr>
                  <w:widowControl w:val="0"/>
                  <w:rPr>
                    <w:strike/>
                    <w:sz w:val="22"/>
                    <w:szCs w:val="22"/>
                  </w:rPr>
                </w:pPr>
                <w:r>
                  <w:rPr>
                    <w:sz w:val="22"/>
                    <w:szCs w:val="22"/>
                  </w:rPr>
                  <w:t>1.5.</w:t>
                </w:r>
              </w:p>
            </w:tc>
            <w:tc>
              <w:tcPr>
                <w:tcW w:w="1053" w:type="pct"/>
                <w:vAlign w:val="center"/>
              </w:tcPr>
              <w:p>
                <w:pPr>
                  <w:widowControl w:val="0"/>
                  <w:rPr>
                    <w:color w:val="000000"/>
                    <w:szCs w:val="24"/>
                    <w:vertAlign w:val="superscript"/>
                  </w:rPr>
                </w:pPr>
                <w:r>
                  <w:rPr>
                    <w:color w:val="000000"/>
                    <w:szCs w:val="24"/>
                  </w:rPr>
                  <w:t>Riedslidžių trasa + šaudykla</w:t>
                </w:r>
                <w:r>
                  <w:rPr>
                    <w:color w:val="000000"/>
                    <w:szCs w:val="24"/>
                    <w:vertAlign w:val="superscript"/>
                  </w:rPr>
                  <w:t>1</w:t>
                </w:r>
              </w:p>
            </w:tc>
            <w:tc>
              <w:tcPr>
                <w:tcW w:w="537" w:type="pct"/>
                <w:vAlign w:val="center"/>
              </w:tcPr>
              <w:p>
                <w:pPr>
                  <w:widowControl w:val="0"/>
                  <w:jc w:val="center"/>
                  <w:rPr>
                    <w:sz w:val="22"/>
                    <w:szCs w:val="22"/>
                  </w:rPr>
                </w:pPr>
                <w:r>
                  <w:rPr>
                    <w:color w:val="000000"/>
                    <w:szCs w:val="24"/>
                  </w:rPr>
                  <w:t>1 mėn. abonementas</w:t>
                </w:r>
              </w:p>
            </w:tc>
            <w:tc>
              <w:tcPr>
                <w:tcW w:w="526" w:type="pct"/>
                <w:vAlign w:val="center"/>
              </w:tcPr>
              <w:p>
                <w:pPr>
                  <w:widowControl w:val="0"/>
                  <w:jc w:val="center"/>
                  <w:rPr>
                    <w:sz w:val="22"/>
                    <w:szCs w:val="22"/>
                  </w:rPr>
                </w:pPr>
                <w:r>
                  <w:rPr>
                    <w:spacing w:val="-2"/>
                    <w:szCs w:val="22"/>
                  </w:rPr>
                  <w:t>30,00</w:t>
                </w:r>
              </w:p>
              <w:p>
                <w:pPr>
                  <w:widowControl w:val="0"/>
                  <w:jc w:val="center"/>
                  <w:rPr>
                    <w:sz w:val="22"/>
                    <w:szCs w:val="22"/>
                  </w:rPr>
                </w:pPr>
              </w:p>
            </w:tc>
            <w:tc>
              <w:tcPr>
                <w:tcW w:w="649" w:type="pct"/>
                <w:vAlign w:val="center"/>
              </w:tcPr>
              <w:p>
                <w:pPr>
                  <w:widowControl w:val="0"/>
                  <w:jc w:val="center"/>
                  <w:rPr>
                    <w:sz w:val="22"/>
                    <w:szCs w:val="22"/>
                  </w:rPr>
                </w:pPr>
                <w:r>
                  <w:rPr>
                    <w:spacing w:val="-2"/>
                    <w:szCs w:val="22"/>
                  </w:rPr>
                  <w:t>15,00</w:t>
                </w:r>
              </w:p>
            </w:tc>
            <w:tc>
              <w:tcPr>
                <w:tcW w:w="1994" w:type="pct"/>
                <w:vMerge/>
              </w:tcPr>
              <w:p/>
            </w:tc>
          </w:tr>
          <w:tr>
            <w:trPr>
              <w:trHeight w:val="830"/>
            </w:trPr>
            <w:tc>
              <w:tcPr>
                <w:tcW w:w="0" w:type="auto"/>
                <w:vAlign w:val="center"/>
              </w:tcPr>
              <w:p>
                <w:pPr>
                  <w:widowControl w:val="0"/>
                  <w:rPr>
                    <w:sz w:val="22"/>
                    <w:szCs w:val="22"/>
                  </w:rPr>
                </w:pPr>
                <w:r>
                  <w:rPr>
                    <w:sz w:val="22"/>
                    <w:szCs w:val="22"/>
                  </w:rPr>
                  <w:t>1.6.</w:t>
                </w:r>
              </w:p>
            </w:tc>
            <w:tc>
              <w:tcPr>
                <w:tcW w:w="1053" w:type="pct"/>
                <w:vAlign w:val="center"/>
              </w:tcPr>
              <w:p>
                <w:pPr>
                  <w:widowControl w:val="0"/>
                  <w:rPr>
                    <w:color w:val="000000"/>
                    <w:szCs w:val="24"/>
                    <w:vertAlign w:val="superscript"/>
                  </w:rPr>
                </w:pPr>
                <w:r>
                  <w:rPr>
                    <w:color w:val="000000"/>
                    <w:szCs w:val="24"/>
                  </w:rPr>
                  <w:t>Riedslidžių trasa + šaudykla su apšvietimu</w:t>
                </w:r>
                <w:r>
                  <w:rPr>
                    <w:color w:val="000000"/>
                    <w:szCs w:val="24"/>
                    <w:vertAlign w:val="superscript"/>
                  </w:rPr>
                  <w:t>1</w:t>
                </w:r>
              </w:p>
            </w:tc>
            <w:tc>
              <w:tcPr>
                <w:tcW w:w="537" w:type="pct"/>
                <w:vAlign w:val="center"/>
              </w:tcPr>
              <w:p>
                <w:pPr>
                  <w:widowControl w:val="0"/>
                  <w:jc w:val="center"/>
                  <w:rPr>
                    <w:color w:val="000000"/>
                    <w:szCs w:val="24"/>
                  </w:rPr>
                </w:pPr>
                <w:r>
                  <w:rPr>
                    <w:color w:val="000000"/>
                    <w:szCs w:val="24"/>
                  </w:rPr>
                  <w:t>1 mėn. abonementas</w:t>
                </w:r>
              </w:p>
            </w:tc>
            <w:tc>
              <w:tcPr>
                <w:tcW w:w="526" w:type="pct"/>
                <w:vAlign w:val="center"/>
              </w:tcPr>
              <w:p>
                <w:pPr>
                  <w:widowControl w:val="0"/>
                  <w:jc w:val="center"/>
                  <w:rPr>
                    <w:strike/>
                    <w:spacing w:val="-2"/>
                    <w:szCs w:val="22"/>
                  </w:rPr>
                </w:pPr>
                <w:r>
                  <w:rPr>
                    <w:spacing w:val="-2"/>
                  </w:rPr>
                  <w:t>40,00</w:t>
                </w:r>
              </w:p>
            </w:tc>
            <w:tc>
              <w:tcPr>
                <w:tcW w:w="649" w:type="pct"/>
                <w:vAlign w:val="center"/>
              </w:tcPr>
              <w:p>
                <w:pPr>
                  <w:widowControl w:val="0"/>
                  <w:jc w:val="center"/>
                  <w:rPr>
                    <w:strike/>
                    <w:spacing w:val="-2"/>
                    <w:szCs w:val="22"/>
                  </w:rPr>
                </w:pPr>
                <w:r>
                  <w:rPr>
                    <w:spacing w:val="-2"/>
                  </w:rPr>
                  <w:t>20,00</w:t>
                </w:r>
              </w:p>
            </w:tc>
            <w:tc>
              <w:tcPr>
                <w:tcW w:w="1994" w:type="pct"/>
                <w:vMerge/>
              </w:tcPr>
              <w:p/>
            </w:tc>
          </w:tr>
          <w:tr>
            <w:trPr>
              <w:trHeight w:val="700"/>
            </w:trPr>
            <w:tc>
              <w:tcPr>
                <w:tcW w:w="0" w:type="auto"/>
                <w:vAlign w:val="center"/>
              </w:tcPr>
              <w:p>
                <w:pPr>
                  <w:widowControl w:val="0"/>
                  <w:rPr>
                    <w:strike/>
                    <w:sz w:val="22"/>
                    <w:szCs w:val="22"/>
                  </w:rPr>
                </w:pPr>
                <w:r>
                  <w:rPr>
                    <w:sz w:val="22"/>
                    <w:szCs w:val="22"/>
                  </w:rPr>
                  <w:t>1.7.</w:t>
                </w:r>
              </w:p>
            </w:tc>
            <w:tc>
              <w:tcPr>
                <w:tcW w:w="1053" w:type="pct"/>
                <w:vAlign w:val="center"/>
              </w:tcPr>
              <w:p>
                <w:pPr>
                  <w:widowControl w:val="0"/>
                  <w:rPr>
                    <w:color w:val="000000"/>
                    <w:szCs w:val="24"/>
                    <w:vertAlign w:val="superscript"/>
                  </w:rPr>
                </w:pPr>
                <w:r>
                  <w:rPr>
                    <w:color w:val="000000"/>
                    <w:szCs w:val="24"/>
                  </w:rPr>
                  <w:t>Slidinėjimo trasa (žiemą) + šaudykla</w:t>
                </w:r>
                <w:r>
                  <w:rPr>
                    <w:color w:val="000000"/>
                    <w:szCs w:val="24"/>
                    <w:vertAlign w:val="superscript"/>
                  </w:rPr>
                  <w:t>1</w:t>
                </w:r>
              </w:p>
            </w:tc>
            <w:tc>
              <w:tcPr>
                <w:tcW w:w="537" w:type="pct"/>
                <w:vAlign w:val="center"/>
              </w:tcPr>
              <w:p>
                <w:pPr>
                  <w:widowControl w:val="0"/>
                  <w:jc w:val="center"/>
                  <w:rPr>
                    <w:sz w:val="22"/>
                    <w:szCs w:val="22"/>
                  </w:rPr>
                </w:pPr>
                <w:r>
                  <w:rPr>
                    <w:color w:val="000000"/>
                    <w:szCs w:val="24"/>
                  </w:rPr>
                  <w:t>1 mėn. abonementas</w:t>
                </w:r>
              </w:p>
            </w:tc>
            <w:tc>
              <w:tcPr>
                <w:tcW w:w="526" w:type="pct"/>
                <w:vAlign w:val="center"/>
              </w:tcPr>
              <w:p>
                <w:pPr>
                  <w:widowControl w:val="0"/>
                  <w:jc w:val="center"/>
                  <w:rPr>
                    <w:spacing w:val="-2"/>
                    <w:szCs w:val="22"/>
                  </w:rPr>
                </w:pPr>
                <w:r>
                  <w:rPr>
                    <w:spacing w:val="-2"/>
                    <w:szCs w:val="22"/>
                  </w:rPr>
                  <w:t>40,00</w:t>
                </w:r>
              </w:p>
            </w:tc>
            <w:tc>
              <w:tcPr>
                <w:tcW w:w="649" w:type="pct"/>
                <w:vAlign w:val="center"/>
              </w:tcPr>
              <w:p>
                <w:pPr>
                  <w:widowControl w:val="0"/>
                  <w:jc w:val="center"/>
                  <w:rPr>
                    <w:spacing w:val="-2"/>
                    <w:szCs w:val="22"/>
                  </w:rPr>
                </w:pPr>
                <w:r>
                  <w:rPr>
                    <w:spacing w:val="-2"/>
                    <w:szCs w:val="22"/>
                  </w:rPr>
                  <w:t>20,00</w:t>
                </w:r>
              </w:p>
            </w:tc>
            <w:tc>
              <w:tcPr>
                <w:tcW w:w="1994" w:type="pct"/>
                <w:vMerge/>
              </w:tcPr>
              <w:p/>
            </w:tc>
          </w:tr>
          <w:tr>
            <w:trPr>
              <w:trHeight w:val="700"/>
            </w:trPr>
            <w:tc>
              <w:tcPr>
                <w:tcW w:w="0" w:type="auto"/>
                <w:vAlign w:val="center"/>
              </w:tcPr>
              <w:p>
                <w:pPr>
                  <w:widowControl w:val="0"/>
                  <w:rPr>
                    <w:sz w:val="22"/>
                    <w:szCs w:val="22"/>
                  </w:rPr>
                </w:pPr>
                <w:r>
                  <w:rPr>
                    <w:sz w:val="22"/>
                    <w:szCs w:val="22"/>
                  </w:rPr>
                  <w:t>1.8.</w:t>
                </w:r>
              </w:p>
            </w:tc>
            <w:tc>
              <w:tcPr>
                <w:tcW w:w="1053" w:type="pct"/>
                <w:vAlign w:val="center"/>
              </w:tcPr>
              <w:p>
                <w:pPr>
                  <w:widowControl w:val="0"/>
                  <w:rPr>
                    <w:color w:val="000000"/>
                    <w:szCs w:val="24"/>
                    <w:vertAlign w:val="superscript"/>
                  </w:rPr>
                </w:pPr>
                <w:r>
                  <w:rPr>
                    <w:color w:val="000000"/>
                    <w:szCs w:val="24"/>
                  </w:rPr>
                  <w:t>Slidinėjimo trasa (žiemą) + šaudykla su apšvietimu</w:t>
                </w:r>
                <w:r>
                  <w:rPr>
                    <w:color w:val="000000"/>
                    <w:szCs w:val="24"/>
                    <w:vertAlign w:val="superscript"/>
                  </w:rPr>
                  <w:t>1</w:t>
                </w:r>
              </w:p>
            </w:tc>
            <w:tc>
              <w:tcPr>
                <w:tcW w:w="537" w:type="pct"/>
                <w:vAlign w:val="center"/>
              </w:tcPr>
              <w:p>
                <w:pPr>
                  <w:widowControl w:val="0"/>
                  <w:jc w:val="center"/>
                  <w:rPr>
                    <w:color w:val="000000"/>
                    <w:szCs w:val="24"/>
                  </w:rPr>
                </w:pPr>
                <w:r>
                  <w:rPr>
                    <w:color w:val="000000"/>
                    <w:szCs w:val="24"/>
                  </w:rPr>
                  <w:t>1 mėn. abonementas</w:t>
                </w:r>
              </w:p>
            </w:tc>
            <w:tc>
              <w:tcPr>
                <w:tcW w:w="526" w:type="pct"/>
                <w:vAlign w:val="center"/>
              </w:tcPr>
              <w:p>
                <w:pPr>
                  <w:widowControl w:val="0"/>
                  <w:jc w:val="center"/>
                  <w:rPr>
                    <w:strike/>
                    <w:spacing w:val="-2"/>
                    <w:szCs w:val="22"/>
                  </w:rPr>
                </w:pPr>
                <w:r>
                  <w:rPr>
                    <w:spacing w:val="-2"/>
                  </w:rPr>
                  <w:t>50,00</w:t>
                </w:r>
              </w:p>
            </w:tc>
            <w:tc>
              <w:tcPr>
                <w:tcW w:w="649" w:type="pct"/>
                <w:vAlign w:val="center"/>
              </w:tcPr>
              <w:p>
                <w:pPr>
                  <w:widowControl w:val="0"/>
                  <w:jc w:val="center"/>
                  <w:rPr>
                    <w:strike/>
                    <w:spacing w:val="-2"/>
                    <w:szCs w:val="22"/>
                  </w:rPr>
                </w:pPr>
                <w:r>
                  <w:rPr>
                    <w:spacing w:val="-2"/>
                  </w:rPr>
                  <w:t>25,00</w:t>
                </w:r>
              </w:p>
            </w:tc>
            <w:tc>
              <w:tcPr>
                <w:tcW w:w="1994" w:type="pct"/>
                <w:vMerge/>
              </w:tcPr>
              <w:p/>
            </w:tc>
          </w:tr>
          <w:tr>
            <w:trPr>
              <w:trHeight w:val="710"/>
            </w:trPr>
            <w:tc>
              <w:tcPr>
                <w:tcW w:w="0" w:type="auto"/>
                <w:vAlign w:val="center"/>
              </w:tcPr>
              <w:p>
                <w:pPr>
                  <w:widowControl w:val="0"/>
                  <w:rPr>
                    <w:strike/>
                    <w:sz w:val="22"/>
                    <w:szCs w:val="22"/>
                  </w:rPr>
                </w:pPr>
                <w:r>
                  <w:rPr>
                    <w:sz w:val="22"/>
                    <w:szCs w:val="22"/>
                  </w:rPr>
                  <w:t>1.9.</w:t>
                </w:r>
              </w:p>
            </w:tc>
            <w:tc>
              <w:tcPr>
                <w:tcW w:w="1053" w:type="pct"/>
                <w:vAlign w:val="center"/>
              </w:tcPr>
              <w:p>
                <w:pPr>
                  <w:widowControl w:val="0"/>
                  <w:rPr>
                    <w:color w:val="000000"/>
                    <w:szCs w:val="24"/>
                  </w:rPr>
                </w:pPr>
                <w:r>
                  <w:rPr>
                    <w:color w:val="000000"/>
                    <w:szCs w:val="24"/>
                  </w:rPr>
                  <w:t>Riedslidžių trasa varžyboms</w:t>
                </w:r>
              </w:p>
            </w:tc>
            <w:tc>
              <w:tcPr>
                <w:tcW w:w="537" w:type="pct"/>
                <w:vAlign w:val="center"/>
              </w:tcPr>
              <w:p>
                <w:pPr>
                  <w:widowControl w:val="0"/>
                  <w:jc w:val="center"/>
                  <w:rPr>
                    <w:sz w:val="22"/>
                    <w:szCs w:val="22"/>
                  </w:rPr>
                </w:pPr>
                <w:r>
                  <w:rPr>
                    <w:color w:val="000000"/>
                    <w:szCs w:val="24"/>
                  </w:rPr>
                  <w:t>1 diena</w:t>
                </w:r>
              </w:p>
            </w:tc>
            <w:tc>
              <w:tcPr>
                <w:tcW w:w="526" w:type="pct"/>
                <w:vAlign w:val="center"/>
              </w:tcPr>
              <w:p>
                <w:pPr>
                  <w:widowControl w:val="0"/>
                  <w:jc w:val="center"/>
                  <w:rPr>
                    <w:strike/>
                    <w:sz w:val="22"/>
                    <w:szCs w:val="22"/>
                  </w:rPr>
                </w:pPr>
                <w:r>
                  <w:rPr>
                    <w:szCs w:val="22"/>
                  </w:rPr>
                  <w:t>80,00</w:t>
                </w:r>
              </w:p>
            </w:tc>
            <w:tc>
              <w:tcPr>
                <w:tcW w:w="649" w:type="pct"/>
                <w:vAlign w:val="center"/>
              </w:tcPr>
              <w:p>
                <w:pPr>
                  <w:widowControl w:val="0"/>
                  <w:jc w:val="center"/>
                  <w:rPr>
                    <w:sz w:val="22"/>
                    <w:szCs w:val="22"/>
                  </w:rPr>
                </w:pPr>
              </w:p>
            </w:tc>
            <w:tc>
              <w:tcPr>
                <w:tcW w:w="1994" w:type="pct"/>
                <w:vMerge/>
              </w:tcPr>
              <w:p/>
            </w:tc>
          </w:tr>
          <w:tr>
            <w:trPr>
              <w:trHeight w:val="692"/>
            </w:trPr>
            <w:tc>
              <w:tcPr>
                <w:tcW w:w="0" w:type="auto"/>
                <w:vAlign w:val="center"/>
              </w:tcPr>
              <w:p>
                <w:pPr>
                  <w:widowControl w:val="0"/>
                  <w:rPr>
                    <w:strike/>
                    <w:sz w:val="22"/>
                    <w:szCs w:val="22"/>
                  </w:rPr>
                </w:pPr>
                <w:r>
                  <w:rPr>
                    <w:sz w:val="22"/>
                    <w:szCs w:val="22"/>
                  </w:rPr>
                  <w:t>1.10.</w:t>
                </w:r>
              </w:p>
            </w:tc>
            <w:tc>
              <w:tcPr>
                <w:tcW w:w="1053" w:type="pct"/>
                <w:vAlign w:val="center"/>
              </w:tcPr>
              <w:p>
                <w:pPr>
                  <w:widowControl w:val="0"/>
                  <w:rPr>
                    <w:color w:val="000000"/>
                    <w:szCs w:val="24"/>
                  </w:rPr>
                </w:pPr>
                <w:r>
                  <w:rPr>
                    <w:color w:val="000000"/>
                    <w:szCs w:val="24"/>
                  </w:rPr>
                  <w:t>Slidinėjimo trasa varžyboms</w:t>
                </w:r>
              </w:p>
            </w:tc>
            <w:tc>
              <w:tcPr>
                <w:tcW w:w="537" w:type="pct"/>
                <w:vAlign w:val="center"/>
              </w:tcPr>
              <w:p>
                <w:pPr>
                  <w:widowControl w:val="0"/>
                  <w:jc w:val="center"/>
                  <w:rPr>
                    <w:sz w:val="22"/>
                    <w:szCs w:val="22"/>
                  </w:rPr>
                </w:pPr>
                <w:r>
                  <w:rPr>
                    <w:color w:val="000000"/>
                    <w:szCs w:val="24"/>
                  </w:rPr>
                  <w:t>1 diena</w:t>
                </w:r>
              </w:p>
            </w:tc>
            <w:tc>
              <w:tcPr>
                <w:tcW w:w="526" w:type="pct"/>
                <w:vAlign w:val="center"/>
              </w:tcPr>
              <w:p>
                <w:pPr>
                  <w:widowControl w:val="0"/>
                  <w:jc w:val="center"/>
                  <w:rPr>
                    <w:strike/>
                    <w:sz w:val="22"/>
                    <w:szCs w:val="22"/>
                  </w:rPr>
                </w:pPr>
                <w:r>
                  <w:rPr>
                    <w:szCs w:val="22"/>
                  </w:rPr>
                  <w:t>100,00</w:t>
                </w:r>
              </w:p>
            </w:tc>
            <w:tc>
              <w:tcPr>
                <w:tcW w:w="649" w:type="pct"/>
                <w:vAlign w:val="center"/>
              </w:tcPr>
              <w:p>
                <w:pPr>
                  <w:widowControl w:val="0"/>
                  <w:jc w:val="center"/>
                  <w:rPr>
                    <w:sz w:val="22"/>
                    <w:szCs w:val="22"/>
                  </w:rPr>
                </w:pPr>
              </w:p>
            </w:tc>
            <w:tc>
              <w:tcPr>
                <w:tcW w:w="1994" w:type="pct"/>
                <w:vMerge/>
              </w:tcPr>
              <w:p/>
            </w:tc>
          </w:tr>
          <w:tr>
            <w:trPr>
              <w:trHeight w:val="561"/>
            </w:trPr>
            <w:tc>
              <w:tcPr>
                <w:tcW w:w="0" w:type="auto"/>
                <w:vAlign w:val="center"/>
              </w:tcPr>
              <w:p>
                <w:pPr>
                  <w:widowControl w:val="0"/>
                  <w:rPr>
                    <w:strike/>
                    <w:sz w:val="22"/>
                    <w:szCs w:val="22"/>
                  </w:rPr>
                </w:pPr>
                <w:r>
                  <w:rPr>
                    <w:sz w:val="22"/>
                    <w:szCs w:val="22"/>
                  </w:rPr>
                  <w:t>1.11.</w:t>
                </w:r>
              </w:p>
            </w:tc>
            <w:tc>
              <w:tcPr>
                <w:tcW w:w="1053" w:type="pct"/>
                <w:vAlign w:val="center"/>
              </w:tcPr>
              <w:p>
                <w:pPr>
                  <w:widowControl w:val="0"/>
                  <w:rPr>
                    <w:color w:val="000000"/>
                    <w:szCs w:val="24"/>
                  </w:rPr>
                </w:pPr>
                <w:r>
                  <w:rPr>
                    <w:color w:val="000000"/>
                    <w:szCs w:val="24"/>
                  </w:rPr>
                  <w:t>Šaudykla varžyboms</w:t>
                </w:r>
              </w:p>
            </w:tc>
            <w:tc>
              <w:tcPr>
                <w:tcW w:w="537" w:type="pct"/>
                <w:vAlign w:val="center"/>
              </w:tcPr>
              <w:p>
                <w:pPr>
                  <w:widowControl w:val="0"/>
                  <w:jc w:val="center"/>
                  <w:rPr>
                    <w:sz w:val="22"/>
                    <w:szCs w:val="22"/>
                  </w:rPr>
                </w:pPr>
                <w:r>
                  <w:rPr>
                    <w:color w:val="000000"/>
                    <w:szCs w:val="24"/>
                  </w:rPr>
                  <w:t>1 diena</w:t>
                </w:r>
              </w:p>
            </w:tc>
            <w:tc>
              <w:tcPr>
                <w:tcW w:w="526" w:type="pct"/>
                <w:vAlign w:val="center"/>
              </w:tcPr>
              <w:p>
                <w:pPr>
                  <w:widowControl w:val="0"/>
                  <w:jc w:val="center"/>
                  <w:rPr>
                    <w:strike/>
                    <w:sz w:val="22"/>
                    <w:szCs w:val="22"/>
                  </w:rPr>
                </w:pPr>
                <w:r>
                  <w:rPr>
                    <w:szCs w:val="22"/>
                  </w:rPr>
                  <w:t>50,00</w:t>
                </w:r>
              </w:p>
            </w:tc>
            <w:tc>
              <w:tcPr>
                <w:tcW w:w="649" w:type="pct"/>
                <w:vAlign w:val="center"/>
              </w:tcPr>
              <w:p>
                <w:pPr>
                  <w:widowControl w:val="0"/>
                  <w:jc w:val="center"/>
                  <w:rPr>
                    <w:sz w:val="22"/>
                    <w:szCs w:val="22"/>
                  </w:rPr>
                </w:pPr>
              </w:p>
            </w:tc>
            <w:tc>
              <w:tcPr>
                <w:tcW w:w="1994" w:type="pct"/>
                <w:vMerge/>
              </w:tcPr>
              <w:p/>
            </w:tc>
          </w:tr>
          <w:tr>
            <w:trPr>
              <w:trHeight w:val="557"/>
            </w:trPr>
            <w:tc>
              <w:tcPr>
                <w:tcW w:w="0" w:type="auto"/>
                <w:vAlign w:val="center"/>
              </w:tcPr>
              <w:p>
                <w:pPr>
                  <w:widowControl w:val="0"/>
                  <w:rPr>
                    <w:strike/>
                    <w:sz w:val="22"/>
                    <w:szCs w:val="22"/>
                  </w:rPr>
                </w:pPr>
                <w:r>
                  <w:rPr>
                    <w:sz w:val="22"/>
                    <w:szCs w:val="22"/>
                  </w:rPr>
                  <w:t>1.12.</w:t>
                </w:r>
              </w:p>
            </w:tc>
            <w:tc>
              <w:tcPr>
                <w:tcW w:w="1053" w:type="pct"/>
                <w:vAlign w:val="center"/>
              </w:tcPr>
              <w:p>
                <w:pPr>
                  <w:widowControl w:val="0"/>
                  <w:rPr>
                    <w:color w:val="000000"/>
                    <w:szCs w:val="24"/>
                  </w:rPr>
                </w:pPr>
                <w:r>
                  <w:rPr>
                    <w:color w:val="000000"/>
                    <w:szCs w:val="24"/>
                  </w:rPr>
                  <w:t>Riedslidžių trasa + šaudykla varžyboms</w:t>
                </w:r>
              </w:p>
            </w:tc>
            <w:tc>
              <w:tcPr>
                <w:tcW w:w="537" w:type="pct"/>
                <w:vAlign w:val="center"/>
              </w:tcPr>
              <w:p>
                <w:pPr>
                  <w:widowControl w:val="0"/>
                  <w:jc w:val="center"/>
                  <w:rPr>
                    <w:sz w:val="22"/>
                    <w:szCs w:val="22"/>
                  </w:rPr>
                </w:pPr>
                <w:r>
                  <w:rPr>
                    <w:color w:val="000000"/>
                    <w:szCs w:val="24"/>
                  </w:rPr>
                  <w:t>1 diena</w:t>
                </w:r>
              </w:p>
            </w:tc>
            <w:tc>
              <w:tcPr>
                <w:tcW w:w="526" w:type="pct"/>
                <w:vAlign w:val="center"/>
              </w:tcPr>
              <w:p>
                <w:pPr>
                  <w:widowControl w:val="0"/>
                  <w:jc w:val="center"/>
                  <w:rPr>
                    <w:strike/>
                    <w:sz w:val="22"/>
                    <w:szCs w:val="22"/>
                  </w:rPr>
                </w:pPr>
                <w:r>
                  <w:rPr>
                    <w:szCs w:val="22"/>
                  </w:rPr>
                  <w:t>110,00</w:t>
                </w:r>
              </w:p>
            </w:tc>
            <w:tc>
              <w:tcPr>
                <w:tcW w:w="649" w:type="pct"/>
                <w:vAlign w:val="center"/>
              </w:tcPr>
              <w:p>
                <w:pPr>
                  <w:widowControl w:val="0"/>
                  <w:jc w:val="center"/>
                  <w:rPr>
                    <w:sz w:val="22"/>
                    <w:szCs w:val="22"/>
                  </w:rPr>
                </w:pPr>
              </w:p>
            </w:tc>
            <w:tc>
              <w:tcPr>
                <w:tcW w:w="1994" w:type="pct"/>
                <w:vMerge/>
              </w:tcPr>
              <w:p/>
            </w:tc>
          </w:tr>
          <w:tr>
            <w:trPr>
              <w:trHeight w:val="841"/>
            </w:trPr>
            <w:tc>
              <w:tcPr>
                <w:tcW w:w="0" w:type="auto"/>
                <w:vAlign w:val="center"/>
              </w:tcPr>
              <w:p>
                <w:pPr>
                  <w:widowControl w:val="0"/>
                  <w:rPr>
                    <w:strike/>
                    <w:sz w:val="22"/>
                    <w:szCs w:val="22"/>
                  </w:rPr>
                </w:pPr>
                <w:r>
                  <w:rPr>
                    <w:sz w:val="22"/>
                    <w:szCs w:val="22"/>
                  </w:rPr>
                  <w:t>1.13.</w:t>
                </w:r>
              </w:p>
            </w:tc>
            <w:tc>
              <w:tcPr>
                <w:tcW w:w="1053" w:type="pct"/>
                <w:vAlign w:val="center"/>
              </w:tcPr>
              <w:p>
                <w:pPr>
                  <w:widowControl w:val="0"/>
                  <w:rPr>
                    <w:color w:val="000000"/>
                    <w:szCs w:val="24"/>
                  </w:rPr>
                </w:pPr>
                <w:r>
                  <w:rPr>
                    <w:color w:val="000000"/>
                    <w:szCs w:val="24"/>
                  </w:rPr>
                  <w:t>Slidinėjimo trasa (žiemą) + šaudykla varžyboms</w:t>
                </w:r>
              </w:p>
            </w:tc>
            <w:tc>
              <w:tcPr>
                <w:tcW w:w="537" w:type="pct"/>
                <w:vAlign w:val="center"/>
              </w:tcPr>
              <w:p>
                <w:pPr>
                  <w:widowControl w:val="0"/>
                  <w:jc w:val="center"/>
                  <w:rPr>
                    <w:sz w:val="22"/>
                    <w:szCs w:val="22"/>
                  </w:rPr>
                </w:pPr>
                <w:r>
                  <w:rPr>
                    <w:color w:val="000000"/>
                    <w:szCs w:val="24"/>
                  </w:rPr>
                  <w:t>1 diena</w:t>
                </w:r>
              </w:p>
            </w:tc>
            <w:tc>
              <w:tcPr>
                <w:tcW w:w="526" w:type="pct"/>
                <w:vAlign w:val="center"/>
              </w:tcPr>
              <w:p>
                <w:pPr>
                  <w:widowControl w:val="0"/>
                  <w:jc w:val="center"/>
                  <w:rPr>
                    <w:strike/>
                    <w:sz w:val="22"/>
                    <w:szCs w:val="22"/>
                  </w:rPr>
                </w:pPr>
                <w:r>
                  <w:rPr>
                    <w:szCs w:val="22"/>
                  </w:rPr>
                  <w:t>130,00</w:t>
                </w:r>
              </w:p>
            </w:tc>
            <w:tc>
              <w:tcPr>
                <w:tcW w:w="649" w:type="pct"/>
                <w:vAlign w:val="center"/>
              </w:tcPr>
              <w:p>
                <w:pPr>
                  <w:widowControl w:val="0"/>
                  <w:jc w:val="center"/>
                  <w:rPr>
                    <w:sz w:val="22"/>
                    <w:szCs w:val="22"/>
                  </w:rPr>
                </w:pPr>
              </w:p>
            </w:tc>
            <w:tc>
              <w:tcPr>
                <w:tcW w:w="1994" w:type="pct"/>
                <w:vMerge/>
              </w:tcPr>
              <w:p/>
            </w:tc>
          </w:tr>
          <w:tr>
            <w:trPr>
              <w:trHeight w:val="841"/>
            </w:trPr>
            <w:tc>
              <w:tcPr>
                <w:tcW w:w="0" w:type="auto"/>
                <w:vAlign w:val="center"/>
              </w:tcPr>
              <w:p>
                <w:pPr>
                  <w:widowControl w:val="0"/>
                  <w:rPr>
                    <w:b/>
                    <w:bCs/>
                    <w:sz w:val="22"/>
                    <w:szCs w:val="22"/>
                  </w:rPr>
                </w:pPr>
                <w:r>
                  <w:rPr>
                    <w:b/>
                    <w:bCs/>
                    <w:sz w:val="22"/>
                    <w:szCs w:val="22"/>
                  </w:rPr>
                  <w:t>1.14.</w:t>
                </w:r>
              </w:p>
            </w:tc>
            <w:tc>
              <w:tcPr>
                <w:tcW w:w="1053" w:type="pct"/>
                <w:vAlign w:val="center"/>
              </w:tcPr>
              <w:p>
                <w:pPr>
                  <w:widowControl w:val="0"/>
                  <w:rPr>
                    <w:color w:val="000000"/>
                    <w:szCs w:val="24"/>
                  </w:rPr>
                </w:pPr>
                <w:r>
                  <w:rPr>
                    <w:color w:val="000000"/>
                    <w:szCs w:val="24"/>
                  </w:rPr>
                  <w:t>Sporto aikštynų (stadionų) nuoma</w:t>
                </w:r>
              </w:p>
            </w:tc>
            <w:tc>
              <w:tcPr>
                <w:tcW w:w="537" w:type="pct"/>
                <w:vAlign w:val="center"/>
              </w:tcPr>
              <w:p>
                <w:pPr>
                  <w:widowControl w:val="0"/>
                  <w:jc w:val="center"/>
                  <w:rPr>
                    <w:color w:val="000000"/>
                    <w:szCs w:val="24"/>
                  </w:rPr>
                </w:pPr>
                <w:r>
                  <w:rPr>
                    <w:color w:val="000000"/>
                    <w:szCs w:val="24"/>
                  </w:rPr>
                  <w:t>1 val./100</w:t>
                </w:r>
                <w:r>
                  <w:rPr>
                    <w:szCs w:val="22"/>
                  </w:rPr>
                  <w:t xml:space="preserve"> m</w:t>
                </w:r>
                <w:r>
                  <w:rPr>
                    <w:szCs w:val="22"/>
                    <w:vertAlign w:val="superscript"/>
                  </w:rPr>
                  <w:t>2</w:t>
                </w:r>
              </w:p>
            </w:tc>
            <w:tc>
              <w:tcPr>
                <w:tcW w:w="526" w:type="pct"/>
                <w:vAlign w:val="center"/>
              </w:tcPr>
              <w:p>
                <w:pPr>
                  <w:widowControl w:val="0"/>
                  <w:jc w:val="center"/>
                  <w:rPr>
                    <w:szCs w:val="22"/>
                    <w:vertAlign w:val="superscript"/>
                  </w:rPr>
                </w:pPr>
                <w:r>
                  <w:rPr>
                    <w:szCs w:val="22"/>
                  </w:rPr>
                  <w:t>0,35</w:t>
                </w:r>
                <w:r>
                  <w:rPr>
                    <w:szCs w:val="22"/>
                    <w:vertAlign w:val="superscript"/>
                  </w:rPr>
                  <w:t>2</w:t>
                </w:r>
              </w:p>
            </w:tc>
            <w:tc>
              <w:tcPr>
                <w:tcW w:w="649" w:type="pct"/>
                <w:vAlign w:val="center"/>
              </w:tcPr>
              <w:p>
                <w:pPr>
                  <w:widowControl w:val="0"/>
                  <w:jc w:val="center"/>
                  <w:rPr>
                    <w:sz w:val="22"/>
                    <w:szCs w:val="22"/>
                  </w:rPr>
                </w:pPr>
              </w:p>
            </w:tc>
            <w:tc>
              <w:tcPr>
                <w:tcW w:w="1994" w:type="pct"/>
                <w:vMerge/>
              </w:tcPr>
              <w:p/>
            </w:tc>
          </w:tr>
          <w:tr>
            <w:trPr>
              <w:trHeight w:val="841"/>
            </w:trPr>
            <w:tc>
              <w:tcPr>
                <w:tcW w:w="3006" w:type="pct"/>
                <w:gridSpan w:val="5"/>
                <w:vAlign w:val="center"/>
              </w:tcPr>
              <w:p>
                <w:pPr>
                  <w:widowControl w:val="0"/>
                  <w:jc w:val="center"/>
                  <w:rPr>
                    <w:b/>
                    <w:bCs/>
                    <w:sz w:val="22"/>
                    <w:szCs w:val="22"/>
                  </w:rPr>
                </w:pPr>
                <w:r>
                  <w:rPr>
                    <w:b/>
                    <w:bCs/>
                    <w:color w:val="000000"/>
                    <w:szCs w:val="24"/>
                  </w:rPr>
                  <w:t>2. SPORTO ĮRANGOS NUOMA</w:t>
                </w:r>
              </w:p>
            </w:tc>
            <w:tc>
              <w:tcPr>
                <w:tcW w:w="1994" w:type="pct"/>
                <w:vMerge/>
              </w:tcPr>
              <w:p/>
            </w:tc>
          </w:tr>
          <w:tr>
            <w:trPr>
              <w:trHeight w:val="841"/>
            </w:trPr>
            <w:tc>
              <w:tcPr>
                <w:tcW w:w="0" w:type="auto"/>
                <w:vAlign w:val="center"/>
              </w:tcPr>
              <w:p>
                <w:pPr>
                  <w:widowControl w:val="0"/>
                  <w:rPr>
                    <w:b/>
                    <w:bCs/>
                    <w:sz w:val="22"/>
                    <w:szCs w:val="22"/>
                  </w:rPr>
                </w:pPr>
                <w:r>
                  <w:rPr>
                    <w:b/>
                    <w:bCs/>
                    <w:color w:val="000000"/>
                    <w:sz w:val="22"/>
                    <w:szCs w:val="22"/>
                  </w:rPr>
                  <w:t>2.1.</w:t>
                </w:r>
              </w:p>
            </w:tc>
            <w:tc>
              <w:tcPr>
                <w:tcW w:w="1053" w:type="pct"/>
                <w:vAlign w:val="center"/>
              </w:tcPr>
              <w:p>
                <w:pPr>
                  <w:widowControl w:val="0"/>
                  <w:rPr>
                    <w:color w:val="000000"/>
                    <w:szCs w:val="24"/>
                  </w:rPr>
                </w:pPr>
                <w:r>
                  <w:rPr>
                    <w:color w:val="000000"/>
                    <w:szCs w:val="24"/>
                  </w:rPr>
                  <w:t>Kalnų dviračio nuoma</w:t>
                </w:r>
                <w:r>
                  <w:rPr>
                    <w:color w:val="000000"/>
                    <w:szCs w:val="24"/>
                    <w:vertAlign w:val="superscript"/>
                  </w:rPr>
                  <w:t>3</w:t>
                </w:r>
              </w:p>
            </w:tc>
            <w:tc>
              <w:tcPr>
                <w:tcW w:w="537" w:type="pct"/>
                <w:vAlign w:val="center"/>
              </w:tcPr>
              <w:p>
                <w:pPr>
                  <w:widowControl w:val="0"/>
                  <w:jc w:val="center"/>
                  <w:rPr>
                    <w:color w:val="000000"/>
                    <w:szCs w:val="24"/>
                  </w:rPr>
                </w:pPr>
              </w:p>
              <w:p>
                <w:pPr>
                  <w:widowControl w:val="0"/>
                  <w:jc w:val="center"/>
                  <w:rPr>
                    <w:color w:val="000000"/>
                    <w:szCs w:val="24"/>
                  </w:rPr>
                </w:pPr>
                <w:r>
                  <w:rPr>
                    <w:color w:val="000000"/>
                    <w:szCs w:val="24"/>
                  </w:rPr>
                  <w:t>1 diena</w:t>
                </w:r>
              </w:p>
            </w:tc>
            <w:tc>
              <w:tcPr>
                <w:tcW w:w="526" w:type="pct"/>
                <w:vAlign w:val="center"/>
              </w:tcPr>
              <w:p>
                <w:pPr>
                  <w:widowControl w:val="0"/>
                  <w:jc w:val="center"/>
                  <w:rPr>
                    <w:color w:val="000000"/>
                    <w:szCs w:val="22"/>
                  </w:rPr>
                </w:pPr>
              </w:p>
              <w:p>
                <w:pPr>
                  <w:widowControl w:val="0"/>
                  <w:jc w:val="center"/>
                  <w:rPr>
                    <w:strike/>
                    <w:szCs w:val="22"/>
                  </w:rPr>
                </w:pPr>
                <w:r>
                  <w:rPr>
                    <w:color w:val="000000"/>
                    <w:szCs w:val="22"/>
                  </w:rPr>
                  <w:t>12,00</w:t>
                </w:r>
              </w:p>
            </w:tc>
            <w:tc>
              <w:tcPr>
                <w:tcW w:w="649" w:type="pct"/>
                <w:vAlign w:val="center"/>
              </w:tcPr>
              <w:p>
                <w:pPr>
                  <w:widowControl w:val="0"/>
                  <w:jc w:val="center"/>
                  <w:rPr>
                    <w:color w:val="000000"/>
                    <w:sz w:val="22"/>
                    <w:szCs w:val="22"/>
                  </w:rPr>
                </w:pPr>
              </w:p>
              <w:p>
                <w:pPr>
                  <w:widowControl w:val="0"/>
                  <w:jc w:val="center"/>
                  <w:rPr>
                    <w:sz w:val="22"/>
                    <w:szCs w:val="22"/>
                  </w:rPr>
                </w:pPr>
                <w:r>
                  <w:rPr>
                    <w:color w:val="000000"/>
                    <w:szCs w:val="24"/>
                  </w:rPr>
                  <w:t>6,00</w:t>
                </w:r>
              </w:p>
            </w:tc>
            <w:tc>
              <w:tcPr>
                <w:tcW w:w="1994" w:type="pct"/>
                <w:vMerge/>
              </w:tcPr>
              <w:p/>
            </w:tc>
          </w:tr>
          <w:tr>
            <w:trPr>
              <w:trHeight w:val="841"/>
            </w:trPr>
            <w:tc>
              <w:tcPr>
                <w:tcW w:w="0" w:type="auto"/>
                <w:vAlign w:val="center"/>
              </w:tcPr>
              <w:p>
                <w:pPr>
                  <w:widowControl w:val="0"/>
                  <w:rPr>
                    <w:b/>
                    <w:bCs/>
                    <w:sz w:val="22"/>
                    <w:szCs w:val="22"/>
                  </w:rPr>
                </w:pPr>
                <w:r>
                  <w:rPr>
                    <w:b/>
                    <w:bCs/>
                    <w:color w:val="000000"/>
                    <w:sz w:val="22"/>
                    <w:szCs w:val="22"/>
                  </w:rPr>
                  <w:t>2.2.</w:t>
                </w:r>
              </w:p>
            </w:tc>
            <w:tc>
              <w:tcPr>
                <w:tcW w:w="1053" w:type="pct"/>
                <w:vAlign w:val="center"/>
              </w:tcPr>
              <w:p>
                <w:pPr>
                  <w:widowControl w:val="0"/>
                  <w:rPr>
                    <w:color w:val="000000"/>
                    <w:szCs w:val="24"/>
                  </w:rPr>
                </w:pPr>
                <w:r>
                  <w:rPr>
                    <w:color w:val="000000"/>
                    <w:szCs w:val="24"/>
                  </w:rPr>
                  <w:t>Lygumų slidžių komplektas su trasa (slidės, batai, lazdos)</w:t>
                </w:r>
                <w:r>
                  <w:rPr>
                    <w:color w:val="000000"/>
                    <w:szCs w:val="24"/>
                    <w:vertAlign w:val="superscript"/>
                  </w:rPr>
                  <w:t>3</w:t>
                </w:r>
              </w:p>
            </w:tc>
            <w:tc>
              <w:tcPr>
                <w:tcW w:w="537" w:type="pct"/>
                <w:vAlign w:val="center"/>
              </w:tcPr>
              <w:p>
                <w:pPr>
                  <w:widowControl w:val="0"/>
                  <w:jc w:val="center"/>
                  <w:rPr>
                    <w:color w:val="000000"/>
                    <w:szCs w:val="24"/>
                  </w:rPr>
                </w:pPr>
              </w:p>
              <w:p>
                <w:pPr>
                  <w:widowControl w:val="0"/>
                  <w:jc w:val="center"/>
                  <w:rPr>
                    <w:color w:val="000000"/>
                    <w:szCs w:val="24"/>
                  </w:rPr>
                </w:pPr>
                <w:r>
                  <w:rPr>
                    <w:color w:val="000000"/>
                    <w:szCs w:val="24"/>
                  </w:rPr>
                  <w:t>1 diena</w:t>
                </w:r>
              </w:p>
            </w:tc>
            <w:tc>
              <w:tcPr>
                <w:tcW w:w="526" w:type="pct"/>
                <w:vAlign w:val="center"/>
              </w:tcPr>
              <w:p>
                <w:pPr>
                  <w:widowControl w:val="0"/>
                  <w:jc w:val="center"/>
                  <w:rPr>
                    <w:color w:val="000000"/>
                    <w:szCs w:val="22"/>
                  </w:rPr>
                </w:pPr>
              </w:p>
              <w:p>
                <w:pPr>
                  <w:widowControl w:val="0"/>
                  <w:jc w:val="center"/>
                  <w:rPr>
                    <w:strike/>
                    <w:szCs w:val="22"/>
                  </w:rPr>
                </w:pPr>
                <w:r>
                  <w:rPr>
                    <w:color w:val="000000"/>
                    <w:szCs w:val="22"/>
                  </w:rPr>
                  <w:t>12,00</w:t>
                </w:r>
              </w:p>
            </w:tc>
            <w:tc>
              <w:tcPr>
                <w:tcW w:w="649" w:type="pct"/>
                <w:vAlign w:val="center"/>
              </w:tcPr>
              <w:p>
                <w:pPr>
                  <w:widowControl w:val="0"/>
                  <w:jc w:val="center"/>
                  <w:rPr>
                    <w:color w:val="000000"/>
                    <w:sz w:val="22"/>
                    <w:szCs w:val="22"/>
                  </w:rPr>
                </w:pPr>
              </w:p>
              <w:p>
                <w:pPr>
                  <w:widowControl w:val="0"/>
                  <w:jc w:val="center"/>
                  <w:rPr>
                    <w:sz w:val="22"/>
                    <w:szCs w:val="22"/>
                  </w:rPr>
                </w:pPr>
                <w:r>
                  <w:rPr>
                    <w:color w:val="000000"/>
                    <w:szCs w:val="24"/>
                  </w:rPr>
                  <w:t>6,00</w:t>
                </w:r>
              </w:p>
            </w:tc>
            <w:tc>
              <w:tcPr>
                <w:tcW w:w="1994" w:type="pct"/>
                <w:vMerge/>
              </w:tcPr>
              <w:p/>
            </w:tc>
          </w:tr>
          <w:tr>
            <w:trPr>
              <w:trHeight w:val="413"/>
            </w:trPr>
            <w:tc>
              <w:tcPr>
                <w:tcW w:w="3006" w:type="pct"/>
                <w:gridSpan w:val="5"/>
              </w:tcPr>
              <w:p>
                <w:pPr>
                  <w:widowControl w:val="0"/>
                  <w:jc w:val="center"/>
                  <w:rPr>
                    <w:sz w:val="22"/>
                    <w:szCs w:val="22"/>
                  </w:rPr>
                </w:pPr>
                <w:r>
                  <w:rPr>
                    <w:b/>
                    <w:spacing w:val="-4"/>
                    <w:szCs w:val="22"/>
                  </w:rPr>
                  <w:t>3. KITOS PASLAUGOS</w:t>
                </w:r>
              </w:p>
            </w:tc>
            <w:tc>
              <w:tcPr>
                <w:tcW w:w="1994" w:type="pct"/>
                <w:vMerge/>
              </w:tcPr>
              <w:p>
                <w:pPr>
                  <w:widowControl w:val="0"/>
                  <w:jc w:val="center"/>
                  <w:rPr>
                    <w:sz w:val="22"/>
                    <w:szCs w:val="22"/>
                  </w:rPr>
                </w:pPr>
              </w:p>
            </w:tc>
          </w:tr>
          <w:tr>
            <w:trPr>
              <w:trHeight w:val="705"/>
            </w:trPr>
            <w:tc>
              <w:tcPr>
                <w:tcW w:w="0" w:type="auto"/>
                <w:vAlign w:val="center"/>
              </w:tcPr>
              <w:p>
                <w:pPr>
                  <w:widowControl w:val="0"/>
                  <w:rPr>
                    <w:sz w:val="22"/>
                    <w:szCs w:val="22"/>
                  </w:rPr>
                </w:pPr>
                <w:r>
                  <w:rPr>
                    <w:b/>
                    <w:bCs/>
                    <w:sz w:val="22"/>
                    <w:szCs w:val="22"/>
                  </w:rPr>
                  <w:t>3.</w:t>
                </w:r>
                <w:r>
                  <w:rPr>
                    <w:sz w:val="22"/>
                    <w:szCs w:val="22"/>
                  </w:rPr>
                  <w:t>1.</w:t>
                </w:r>
              </w:p>
            </w:tc>
            <w:tc>
              <w:tcPr>
                <w:tcW w:w="1053" w:type="pct"/>
                <w:vAlign w:val="center"/>
              </w:tcPr>
              <w:p>
                <w:pPr>
                  <w:widowControl w:val="0"/>
                  <w:rPr>
                    <w:color w:val="000000"/>
                    <w:szCs w:val="24"/>
                  </w:rPr>
                </w:pPr>
                <w:r>
                  <w:rPr>
                    <w:color w:val="000000"/>
                    <w:szCs w:val="24"/>
                  </w:rPr>
                  <w:t>Šaudymo instruktoriaus paslaugos</w:t>
                </w:r>
                <w:r>
                  <w:rPr>
                    <w:color w:val="000000"/>
                    <w:szCs w:val="24"/>
                    <w:vertAlign w:val="superscript"/>
                  </w:rPr>
                  <w:t>4</w:t>
                </w:r>
              </w:p>
            </w:tc>
            <w:tc>
              <w:tcPr>
                <w:tcW w:w="537" w:type="pct"/>
                <w:vAlign w:val="center"/>
              </w:tcPr>
              <w:p>
                <w:pPr>
                  <w:widowControl w:val="0"/>
                  <w:jc w:val="center"/>
                  <w:rPr>
                    <w:sz w:val="22"/>
                    <w:szCs w:val="22"/>
                  </w:rPr>
                </w:pPr>
                <w:r>
                  <w:rPr>
                    <w:szCs w:val="22"/>
                  </w:rPr>
                  <w:t>1 val.</w:t>
                </w:r>
              </w:p>
            </w:tc>
            <w:tc>
              <w:tcPr>
                <w:tcW w:w="526" w:type="pct"/>
                <w:vAlign w:val="center"/>
              </w:tcPr>
              <w:p>
                <w:pPr>
                  <w:widowControl w:val="0"/>
                  <w:jc w:val="center"/>
                  <w:rPr>
                    <w:sz w:val="22"/>
                    <w:szCs w:val="22"/>
                  </w:rPr>
                </w:pPr>
                <w:r>
                  <w:rPr>
                    <w:sz w:val="22"/>
                    <w:szCs w:val="22"/>
                  </w:rPr>
                  <w:t>10,00</w:t>
                </w:r>
              </w:p>
            </w:tc>
            <w:tc>
              <w:tcPr>
                <w:tcW w:w="649" w:type="pct"/>
                <w:vAlign w:val="center"/>
              </w:tcPr>
              <w:p>
                <w:pPr>
                  <w:widowControl w:val="0"/>
                  <w:jc w:val="center"/>
                  <w:rPr>
                    <w:sz w:val="22"/>
                    <w:szCs w:val="22"/>
                  </w:rPr>
                </w:pPr>
              </w:p>
            </w:tc>
            <w:tc>
              <w:tcPr>
                <w:tcW w:w="1994" w:type="pct"/>
                <w:vMerge/>
              </w:tcPr>
              <w:p/>
            </w:tc>
          </w:tr>
          <w:tr>
            <w:trPr>
              <w:trHeight w:val="559"/>
            </w:trPr>
            <w:tc>
              <w:tcPr>
                <w:tcW w:w="0" w:type="auto"/>
                <w:vAlign w:val="center"/>
              </w:tcPr>
              <w:p>
                <w:pPr>
                  <w:widowControl w:val="0"/>
                  <w:rPr>
                    <w:sz w:val="22"/>
                    <w:szCs w:val="22"/>
                  </w:rPr>
                </w:pPr>
                <w:r>
                  <w:rPr>
                    <w:b/>
                    <w:bCs/>
                    <w:sz w:val="22"/>
                    <w:szCs w:val="22"/>
                  </w:rPr>
                  <w:t>3.</w:t>
                </w:r>
                <w:r>
                  <w:rPr>
                    <w:sz w:val="22"/>
                    <w:szCs w:val="22"/>
                  </w:rPr>
                  <w:t>2.</w:t>
                </w:r>
              </w:p>
            </w:tc>
            <w:tc>
              <w:tcPr>
                <w:tcW w:w="1053" w:type="pct"/>
                <w:vAlign w:val="center"/>
              </w:tcPr>
              <w:p>
                <w:pPr>
                  <w:widowControl w:val="0"/>
                  <w:rPr>
                    <w:color w:val="000000"/>
                    <w:szCs w:val="24"/>
                  </w:rPr>
                </w:pPr>
                <w:r>
                  <w:rPr>
                    <w:color w:val="000000"/>
                    <w:szCs w:val="24"/>
                  </w:rPr>
                  <w:t xml:space="preserve">Garso įrangos su mikrofonu  (iki 1 kW) nuoma</w:t>
                </w:r>
                <w:r>
                  <w:rPr>
                    <w:szCs w:val="24"/>
                    <w:vertAlign w:val="superscript"/>
                  </w:rPr>
                  <w:t>5</w:t>
                </w:r>
              </w:p>
            </w:tc>
            <w:tc>
              <w:tcPr>
                <w:tcW w:w="537" w:type="pct"/>
                <w:vAlign w:val="center"/>
              </w:tcPr>
              <w:p>
                <w:pPr>
                  <w:widowControl w:val="0"/>
                  <w:jc w:val="center"/>
                  <w:rPr>
                    <w:sz w:val="22"/>
                    <w:szCs w:val="22"/>
                  </w:rPr>
                </w:pPr>
                <w:r>
                  <w:rPr>
                    <w:szCs w:val="22"/>
                  </w:rPr>
                  <w:t>1 diena</w:t>
                </w:r>
              </w:p>
            </w:tc>
            <w:tc>
              <w:tcPr>
                <w:tcW w:w="526" w:type="pct"/>
                <w:vAlign w:val="center"/>
              </w:tcPr>
              <w:p>
                <w:pPr>
                  <w:widowControl w:val="0"/>
                  <w:jc w:val="center"/>
                  <w:rPr>
                    <w:sz w:val="22"/>
                    <w:szCs w:val="22"/>
                  </w:rPr>
                </w:pPr>
                <w:r>
                  <w:rPr>
                    <w:szCs w:val="22"/>
                  </w:rPr>
                  <w:t>20,00</w:t>
                </w:r>
              </w:p>
            </w:tc>
            <w:tc>
              <w:tcPr>
                <w:tcW w:w="649" w:type="pct"/>
                <w:vAlign w:val="center"/>
              </w:tcPr>
              <w:p>
                <w:pPr>
                  <w:widowControl w:val="0"/>
                  <w:jc w:val="center"/>
                  <w:rPr>
                    <w:sz w:val="22"/>
                    <w:szCs w:val="22"/>
                  </w:rPr>
                </w:pPr>
              </w:p>
            </w:tc>
            <w:tc>
              <w:tcPr>
                <w:tcW w:w="1994" w:type="pct"/>
                <w:vMerge/>
              </w:tcPr>
              <w:p/>
            </w:tc>
          </w:tr>
          <w:tr>
            <w:trPr>
              <w:trHeight w:val="559"/>
            </w:trPr>
            <w:tc>
              <w:tcPr>
                <w:tcW w:w="0" w:type="auto"/>
                <w:vAlign w:val="center"/>
              </w:tcPr>
              <w:p>
                <w:pPr>
                  <w:widowControl w:val="0"/>
                  <w:rPr>
                    <w:b/>
                    <w:bCs/>
                    <w:sz w:val="22"/>
                    <w:szCs w:val="22"/>
                  </w:rPr>
                </w:pPr>
                <w:r>
                  <w:rPr>
                    <w:b/>
                    <w:bCs/>
                    <w:sz w:val="22"/>
                    <w:szCs w:val="22"/>
                  </w:rPr>
                  <w:t>3.3.</w:t>
                </w:r>
              </w:p>
            </w:tc>
            <w:tc>
              <w:tcPr>
                <w:tcW w:w="1053" w:type="pct"/>
                <w:vAlign w:val="center"/>
              </w:tcPr>
              <w:p>
                <w:pPr>
                  <w:widowControl w:val="0"/>
                  <w:rPr>
                    <w:color w:val="000000"/>
                    <w:szCs w:val="24"/>
                  </w:rPr>
                </w:pPr>
                <w:r>
                  <w:rPr>
                    <w:color w:val="000000"/>
                    <w:szCs w:val="24"/>
                  </w:rPr>
                  <w:t>Pasitarimų salė</w:t>
                </w:r>
                <w:r>
                  <w:rPr>
                    <w:szCs w:val="24"/>
                    <w:vertAlign w:val="superscript"/>
                  </w:rPr>
                  <w:t>6</w:t>
                </w:r>
              </w:p>
            </w:tc>
            <w:tc>
              <w:tcPr>
                <w:tcW w:w="537" w:type="pct"/>
                <w:vAlign w:val="center"/>
              </w:tcPr>
              <w:p>
                <w:pPr>
                  <w:widowControl w:val="0"/>
                  <w:jc w:val="center"/>
                  <w:rPr>
                    <w:szCs w:val="22"/>
                  </w:rPr>
                </w:pPr>
                <w:r>
                  <w:rPr>
                    <w:szCs w:val="22"/>
                  </w:rPr>
                  <w:t>1 val.</w:t>
                </w:r>
              </w:p>
            </w:tc>
            <w:tc>
              <w:tcPr>
                <w:tcW w:w="526" w:type="pct"/>
                <w:vAlign w:val="center"/>
              </w:tcPr>
              <w:p>
                <w:pPr>
                  <w:widowControl w:val="0"/>
                  <w:jc w:val="center"/>
                  <w:rPr>
                    <w:szCs w:val="22"/>
                  </w:rPr>
                </w:pPr>
                <w:r>
                  <w:rPr>
                    <w:szCs w:val="22"/>
                  </w:rPr>
                  <w:t>20,00</w:t>
                </w:r>
              </w:p>
            </w:tc>
            <w:tc>
              <w:tcPr>
                <w:tcW w:w="649" w:type="pct"/>
                <w:vAlign w:val="center"/>
              </w:tcPr>
              <w:p>
                <w:pPr>
                  <w:widowControl w:val="0"/>
                  <w:jc w:val="center"/>
                  <w:rPr>
                    <w:sz w:val="22"/>
                    <w:szCs w:val="22"/>
                  </w:rPr>
                </w:pPr>
              </w:p>
            </w:tc>
            <w:tc>
              <w:tcPr>
                <w:tcW w:w="1994" w:type="pct"/>
                <w:vMerge/>
              </w:tcPr>
              <w:p/>
            </w:tc>
          </w:tr>
          <w:tr>
            <w:trPr>
              <w:trHeight w:val="559"/>
            </w:trPr>
            <w:tc>
              <w:tcPr>
                <w:tcW w:w="0" w:type="auto"/>
                <w:vAlign w:val="center"/>
              </w:tcPr>
              <w:p>
                <w:pPr>
                  <w:widowControl w:val="0"/>
                  <w:rPr>
                    <w:sz w:val="22"/>
                    <w:szCs w:val="22"/>
                  </w:rPr>
                </w:pPr>
                <w:r>
                  <w:rPr>
                    <w:b/>
                    <w:bCs/>
                    <w:sz w:val="22"/>
                    <w:szCs w:val="22"/>
                  </w:rPr>
                  <w:t>3.4.</w:t>
                </w:r>
              </w:p>
            </w:tc>
            <w:tc>
              <w:tcPr>
                <w:tcW w:w="1053" w:type="pct"/>
                <w:vAlign w:val="center"/>
              </w:tcPr>
              <w:p>
                <w:pPr>
                  <w:widowControl w:val="0"/>
                  <w:rPr>
                    <w:color w:val="000000"/>
                    <w:szCs w:val="24"/>
                  </w:rPr>
                </w:pPr>
                <w:r>
                  <w:rPr>
                    <w:color w:val="000000"/>
                    <w:szCs w:val="24"/>
                  </w:rPr>
                  <w:t>Slidinėjimo trasos paruošimas varžyboms</w:t>
                </w:r>
              </w:p>
            </w:tc>
            <w:tc>
              <w:tcPr>
                <w:tcW w:w="537" w:type="pct"/>
                <w:vAlign w:val="center"/>
              </w:tcPr>
              <w:p>
                <w:pPr>
                  <w:widowControl w:val="0"/>
                  <w:jc w:val="center"/>
                  <w:rPr>
                    <w:szCs w:val="22"/>
                  </w:rPr>
                </w:pPr>
                <w:r>
                  <w:rPr>
                    <w:szCs w:val="22"/>
                  </w:rPr>
                  <w:t>1 diena</w:t>
                </w:r>
              </w:p>
            </w:tc>
            <w:tc>
              <w:tcPr>
                <w:tcW w:w="526" w:type="pct"/>
                <w:vAlign w:val="center"/>
              </w:tcPr>
              <w:p>
                <w:pPr>
                  <w:widowControl w:val="0"/>
                  <w:jc w:val="center"/>
                  <w:rPr>
                    <w:szCs w:val="22"/>
                  </w:rPr>
                </w:pPr>
                <w:r>
                  <w:rPr>
                    <w:szCs w:val="22"/>
                  </w:rPr>
                  <w:t>30,00</w:t>
                </w:r>
              </w:p>
            </w:tc>
            <w:tc>
              <w:tcPr>
                <w:tcW w:w="649" w:type="pct"/>
                <w:vAlign w:val="center"/>
              </w:tcPr>
              <w:p>
                <w:pPr>
                  <w:widowControl w:val="0"/>
                  <w:jc w:val="center"/>
                  <w:rPr>
                    <w:sz w:val="22"/>
                    <w:szCs w:val="22"/>
                  </w:rPr>
                </w:pPr>
              </w:p>
            </w:tc>
            <w:tc>
              <w:tcPr>
                <w:tcW w:w="1994" w:type="pct"/>
                <w:vMerge/>
              </w:tcPr>
              <w:p/>
            </w:tc>
          </w:tr>
          <w:tr>
            <w:trPr>
              <w:trHeight w:val="559"/>
            </w:trPr>
            <w:tc>
              <w:tcPr>
                <w:tcW w:w="0" w:type="auto"/>
                <w:vAlign w:val="center"/>
              </w:tcPr>
              <w:p>
                <w:pPr>
                  <w:widowControl w:val="0"/>
                  <w:rPr>
                    <w:sz w:val="22"/>
                    <w:szCs w:val="22"/>
                  </w:rPr>
                </w:pPr>
                <w:r>
                  <w:rPr>
                    <w:b/>
                    <w:bCs/>
                    <w:sz w:val="22"/>
                    <w:szCs w:val="22"/>
                  </w:rPr>
                  <w:t>3.5.</w:t>
                </w:r>
              </w:p>
            </w:tc>
            <w:tc>
              <w:tcPr>
                <w:tcW w:w="1053" w:type="pct"/>
                <w:vAlign w:val="center"/>
              </w:tcPr>
              <w:p>
                <w:pPr>
                  <w:widowControl w:val="0"/>
                  <w:rPr>
                    <w:color w:val="000000"/>
                    <w:szCs w:val="24"/>
                  </w:rPr>
                </w:pPr>
                <w:r>
                  <w:rPr>
                    <w:color w:val="000000"/>
                    <w:szCs w:val="24"/>
                  </w:rPr>
                  <w:t>Slidinėjimo trasos ir šaudyklos paruošimas varžyboms</w:t>
                </w:r>
              </w:p>
            </w:tc>
            <w:tc>
              <w:tcPr>
                <w:tcW w:w="537" w:type="pct"/>
                <w:vAlign w:val="center"/>
              </w:tcPr>
              <w:p>
                <w:pPr>
                  <w:widowControl w:val="0"/>
                  <w:jc w:val="center"/>
                  <w:rPr>
                    <w:szCs w:val="22"/>
                  </w:rPr>
                </w:pPr>
                <w:r>
                  <w:rPr>
                    <w:szCs w:val="22"/>
                  </w:rPr>
                  <w:t>1 diena</w:t>
                </w:r>
              </w:p>
            </w:tc>
            <w:tc>
              <w:tcPr>
                <w:tcW w:w="526" w:type="pct"/>
                <w:vAlign w:val="center"/>
              </w:tcPr>
              <w:p>
                <w:pPr>
                  <w:widowControl w:val="0"/>
                  <w:jc w:val="center"/>
                  <w:rPr>
                    <w:szCs w:val="22"/>
                  </w:rPr>
                </w:pPr>
                <w:r>
                  <w:rPr>
                    <w:szCs w:val="22"/>
                  </w:rPr>
                  <w:t>40,00</w:t>
                </w:r>
              </w:p>
            </w:tc>
            <w:tc>
              <w:tcPr>
                <w:tcW w:w="649" w:type="pct"/>
                <w:vAlign w:val="center"/>
              </w:tcPr>
              <w:p>
                <w:pPr>
                  <w:widowControl w:val="0"/>
                  <w:jc w:val="center"/>
                  <w:rPr>
                    <w:sz w:val="22"/>
                    <w:szCs w:val="22"/>
                  </w:rPr>
                </w:pPr>
              </w:p>
            </w:tc>
            <w:tc>
              <w:tcPr>
                <w:tcW w:w="1994" w:type="pct"/>
                <w:vMerge/>
              </w:tcPr>
              <w:p/>
            </w:tc>
          </w:tr>
          <w:tr>
            <w:trPr>
              <w:trHeight w:val="559"/>
            </w:trPr>
            <w:tc>
              <w:tcPr>
                <w:tcW w:w="0" w:type="auto"/>
                <w:vAlign w:val="center"/>
              </w:tcPr>
              <w:p>
                <w:pPr>
                  <w:widowControl w:val="0"/>
                  <w:rPr>
                    <w:sz w:val="22"/>
                    <w:szCs w:val="22"/>
                  </w:rPr>
                </w:pPr>
                <w:r>
                  <w:rPr>
                    <w:b/>
                    <w:bCs/>
                    <w:sz w:val="22"/>
                    <w:szCs w:val="22"/>
                  </w:rPr>
                  <w:t>3.6.</w:t>
                </w:r>
              </w:p>
            </w:tc>
            <w:tc>
              <w:tcPr>
                <w:tcW w:w="1053" w:type="pct"/>
                <w:vAlign w:val="center"/>
              </w:tcPr>
              <w:p>
                <w:pPr>
                  <w:widowControl w:val="0"/>
                  <w:rPr>
                    <w:color w:val="000000"/>
                    <w:szCs w:val="24"/>
                  </w:rPr>
                </w:pPr>
                <w:r>
                  <w:rPr>
                    <w:color w:val="000000"/>
                    <w:szCs w:val="24"/>
                  </w:rPr>
                  <w:t>Stadionų (dirbtinės dangos) 1m</w:t>
                </w:r>
                <w:r>
                  <w:rPr>
                    <w:color w:val="000000"/>
                    <w:szCs w:val="24"/>
                    <w:vertAlign w:val="superscript"/>
                  </w:rPr>
                  <w:t xml:space="preserve">2 </w:t>
                </w:r>
                <w:r>
                  <w:rPr>
                    <w:color w:val="000000"/>
                    <w:szCs w:val="24"/>
                  </w:rPr>
                  <w:t>šukavimo kaina be užpildo pildymo</w:t>
                </w:r>
              </w:p>
            </w:tc>
            <w:tc>
              <w:tcPr>
                <w:tcW w:w="537" w:type="pct"/>
                <w:vAlign w:val="center"/>
              </w:tcPr>
              <w:p>
                <w:pPr>
                  <w:widowControl w:val="0"/>
                  <w:jc w:val="center"/>
                  <w:rPr>
                    <w:szCs w:val="22"/>
                  </w:rPr>
                </w:pPr>
                <w:r>
                  <w:rPr>
                    <w:szCs w:val="22"/>
                  </w:rPr>
                  <w:t>1m</w:t>
                </w:r>
                <w:r>
                  <w:rPr>
                    <w:szCs w:val="22"/>
                    <w:vertAlign w:val="superscript"/>
                  </w:rPr>
                  <w:t>2</w:t>
                </w:r>
              </w:p>
            </w:tc>
            <w:tc>
              <w:tcPr>
                <w:tcW w:w="526" w:type="pct"/>
                <w:vAlign w:val="center"/>
              </w:tcPr>
              <w:p>
                <w:pPr>
                  <w:widowControl w:val="0"/>
                  <w:jc w:val="center"/>
                  <w:rPr>
                    <w:szCs w:val="22"/>
                  </w:rPr>
                </w:pPr>
                <w:r>
                  <w:rPr>
                    <w:szCs w:val="22"/>
                  </w:rPr>
                  <w:t>0,20</w:t>
                </w:r>
                <w:r>
                  <w:rPr>
                    <w:color w:val="000000"/>
                    <w:szCs w:val="24"/>
                    <w:vertAlign w:val="superscript"/>
                  </w:rPr>
                  <w:t>7</w:t>
                </w:r>
              </w:p>
            </w:tc>
            <w:tc>
              <w:tcPr>
                <w:tcW w:w="649" w:type="pct"/>
                <w:vAlign w:val="center"/>
              </w:tcPr>
              <w:p>
                <w:pPr>
                  <w:widowControl w:val="0"/>
                  <w:jc w:val="center"/>
                  <w:rPr>
                    <w:sz w:val="22"/>
                    <w:szCs w:val="22"/>
                  </w:rPr>
                </w:pPr>
              </w:p>
            </w:tc>
            <w:tc>
              <w:tcPr>
                <w:tcW w:w="1994" w:type="pct"/>
                <w:vMerge/>
              </w:tcPr>
              <w:p/>
            </w:tc>
          </w:tr>
        </w:tbl>
        <w:p>
          <w:pPr>
            <w:tabs>
              <w:tab w:val="left" w:pos="993"/>
              <w:tab w:val="left" w:pos="1134"/>
            </w:tabs>
            <w:jc w:val="both"/>
            <w:rPr>
              <w:sz w:val="22"/>
              <w:szCs w:val="22"/>
            </w:rPr>
          </w:pPr>
        </w:p>
      </w:sdtContent>
    </w:sdt>
    <w:sectPr>
      <w:pgSz w:w="16838" w:h="11906" w:orient="landscape"/>
      <w:pgMar w:top="1440" w:right="1440" w:bottom="1440" w:left="1440" w:header="567" w:footer="567" w:gutter="0"/>
      <w:cols w:space="1296"/>
      <w:docGrid w:linePitch="360"/>
    </w:sectPr>
  </w:body>
</w:document>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Palemonas">
    <w:altName w:val="Times New Roman"/>
    <w:charset w:val="BA"/>
    <w:family w:val="roman"/>
    <w:pitch w:val="variable"/>
    <w:sig w:usb0="E00002FF" w:usb1="500028EF" w:usb2="00000024" w:usb3="00000000" w:csb0="0000009F" w:csb1="00000000"/>
  </w:font>
  <w:font w:name="SimSun">
    <w:altName w:val="宋体"/>
    <w:panose1 w:val="02010600030101010101"/>
    <w:charset w:val="86"/>
    <w:family w:val="auto"/>
    <w:pitch w:val="variable"/>
    <w:sig w:usb0="00000003" w:usb1="288F0000" w:usb2="00000016" w:usb3="00000000" w:csb0="00040001" w:csb1="00000000"/>
  </w:font>
  <w:font w:name="Symbol">
    <w:panose1 w:val="05050102010706020507"/>
    <w:charset w:val="02"/>
    <w:family w:val="roman"/>
    <w:pitch w:val="variable"/>
    <w:sig w:usb0="00000000" w:usb1="10000000" w:usb2="00000000" w:usb3="00000000" w:csb0="80000000" w:csb1="00000000"/>
  </w:font>
  <w:font w:name="Aptos Display">
    <w:charset w:val="00"/>
    <w:family w:val="swiss"/>
    <w:pitch w:val="variable"/>
    <w:sig w:usb0="20000287" w:usb1="00000003" w:usb2="00000000" w:usb3="00000000" w:csb0="0000019F" w:csb1="00000000"/>
  </w:font>
  <w:font w:name="Aptos">
    <w:charset w:val="00"/>
    <w:family w:val="swiss"/>
    <w:pitch w:val="variable"/>
    <w:sig w:usb0="20000287" w:usb1="00000003" w:usb2="00000000" w:usb3="00000000" w:csb0="0000019F" w:csb1="00000000"/>
  </w:font>
</w:font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D6DD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98D5047E-E155-4D50-B040-6B7B63A8DA3C}"/>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843517380">
      <w:bodyDiv w:val="1"/>
      <w:marLeft w:val="0"/>
      <w:marRight w:val="0"/>
      <w:marTop w:val="0"/>
      <w:marBottom w:val="0"/>
      <w:divBdr>
        <w:top w:val="none" w:sz="0" w:space="0" w:color="auto"/>
        <w:left w:val="none" w:sz="0" w:space="0" w:color="auto"/>
        <w:bottom w:val="none" w:sz="0" w:space="0" w:color="auto"/>
        <w:right w:val="none" w:sz="0" w:space="0" w:color="auto"/>
      </w:divBdr>
    </w:div>
    <w:div w:id="1460300969">
      <w:bodyDiv w:val="1"/>
      <w:marLeft w:val="0"/>
      <w:marRight w:val="0"/>
      <w:marTop w:val="0"/>
      <w:marBottom w:val="0"/>
      <w:divBdr>
        <w:top w:val="none" w:sz="0" w:space="0" w:color="auto"/>
        <w:left w:val="none" w:sz="0" w:space="0" w:color="auto"/>
        <w:bottom w:val="none" w:sz="0" w:space="0" w:color="auto"/>
        <w:right w:val="none" w:sz="0" w:space="0" w:color="auto"/>
      </w:divBdr>
    </w:div>
    <w:div w:id="1663270488">
      <w:bodyDiv w:val="1"/>
      <w:marLeft w:val="0"/>
      <w:marRight w:val="0"/>
      <w:marTop w:val="0"/>
      <w:marBottom w:val="0"/>
      <w:divBdr>
        <w:top w:val="none" w:sz="0" w:space="0" w:color="auto"/>
        <w:left w:val="none" w:sz="0" w:space="0" w:color="auto"/>
        <w:bottom w:val="none" w:sz="0" w:space="0" w:color="auto"/>
        <w:right w:val="none" w:sz="0" w:space="0" w:color="auto"/>
      </w:divBdr>
    </w:div>
    <w:div w:id="20067370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ntTable" Target="fontTable.xml"/>
  <Relationship Id="rId5" Type="http://schemas.openxmlformats.org/officeDocument/2006/relationships/theme" Target="theme/theme1.xml"/>
  <Relationship Id="rId6" Type="http://schemas.openxmlformats.org/officeDocument/2006/relationships/customXml" Target="../customXml/item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riedas" Abbr="pr." Title="VILNIAUS RAJONO SPORTO CENTRO TEIKIAMŲ PASLAUGŲ SĄRAŠAS IR JŲ ĮKAINIAI" DocPartId="477ee1a948504d7c9f2005c476133e11" PartId="a12b07611332401f84cc907c470aad9a"/>
</Parts>
</file>

<file path=customXml/itemProps1.xml><?xml version="1.0" encoding="utf-8"?>
<ds:datastoreItem xmlns:ds="http://schemas.openxmlformats.org/officeDocument/2006/customXml" ds:itemID="{0011FE50-3CD1-4B85-B400-B8527AC3EACC}">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635</Words>
  <Characters>4051</Characters>
  <Application>Microsoft Office Word</Application>
  <DocSecurity>4</DocSecurity>
  <Lines>337</Lines>
  <Paragraphs>173</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4513</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2026-05-07T12:30:00Z</dcterms:created>
  <dc:creator>Krystyna Malyško</dc:creator>
  <lastModifiedBy>adlibuser</lastModifiedBy>
  <dcterms:modified xsi:type="dcterms:W3CDTF">2026-05-07T12:30:00Z</dcterms:modified>
  <revision>2</revision>
</coreProperties>
</file>