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13e60cbde104147a48b6d31fe7a3650"/>
        <w:lock w:val="sdtLocked"/>
        <w:richText/>
      </w:sdtPr>
      <w:sdtContent>
        <w:p>
          <w:pPr>
            <w:rPr>
              <w:sz w:val="8"/>
              <w:szCs w:val="8"/>
            </w:rPr>
          </w:pPr>
        </w:p>
        <w:p>
          <w:pPr>
            <w:jc w:val="center"/>
            <w:rPr>
              <w:b/>
              <w:bCs/>
              <w:szCs w:val="24"/>
              <w:lang w:eastAsia="lt-LT"/>
            </w:rPr>
          </w:pPr>
          <w:r>
            <w:rPr>
              <w:b/>
              <w:bCs/>
              <w:szCs w:val="24"/>
              <w:lang w:eastAsia="lt-LT"/>
            </w:rPr>
            <w:t xml:space="preserve">AIŠKINAMASIS RAŠTAS </w:t>
          </w:r>
        </w:p>
        <w:p>
          <w:pPr>
            <w:rPr>
              <w:sz w:val="8"/>
              <w:szCs w:val="8"/>
            </w:rPr>
          </w:pPr>
        </w:p>
        <w:p>
          <w:pPr>
            <w:jc w:val="center"/>
            <w:rPr>
              <w:b/>
              <w:bCs/>
              <w:caps/>
              <w:szCs w:val="24"/>
              <w:lang w:eastAsia="lt-LT"/>
            </w:rPr>
          </w:pPr>
          <w:r>
            <w:rPr>
              <w:b/>
              <w:bCs/>
              <w:caps/>
              <w:szCs w:val="24"/>
              <w:lang w:eastAsia="lt-LT"/>
            </w:rPr>
            <w:t xml:space="preserve">DĖL VILNIAUS RAJONO SAVIVALDYBĖS SPORTO CENTRO TEIKIAMŲ PASLAUGŲ SĄRAŠO  IR JŲ ĮKAINIŲ PATVIRTINIMO</w:t>
          </w:r>
        </w:p>
        <w:p>
          <w:pPr>
            <w:jc w:val="center"/>
            <w:rPr>
              <w:b/>
              <w:bCs/>
              <w:caps/>
              <w:szCs w:val="24"/>
              <w:lang w:eastAsia="lt-LT"/>
            </w:rPr>
          </w:pPr>
        </w:p>
        <w:p>
          <w:pPr>
            <w:jc w:val="center"/>
            <w:rPr>
              <w:szCs w:val="24"/>
            </w:rPr>
          </w:pPr>
          <w:r>
            <w:rPr>
              <w:szCs w:val="24"/>
            </w:rPr>
            <w:t xml:space="preserve">2026 m.                          d.</w:t>
          </w:r>
        </w:p>
        <w:p>
          <w:pPr>
            <w:jc w:val="center"/>
            <w:rPr>
              <w:szCs w:val="24"/>
            </w:rPr>
          </w:pPr>
          <w:r>
            <w:rPr>
              <w:szCs w:val="24"/>
            </w:rPr>
            <w:t>Vilnius</w:t>
          </w:r>
        </w:p>
        <w:p>
          <w:pPr>
            <w:tabs>
              <w:tab w:val="left" w:pos="1296"/>
              <w:tab w:val="center" w:pos="4153"/>
              <w:tab w:val="right" w:pos="8306"/>
            </w:tabs>
            <w:ind w:right="-44"/>
            <w:jc w:val="center"/>
            <w:rPr>
              <w:szCs w:val="24"/>
            </w:rPr>
          </w:pPr>
        </w:p>
        <w:sdt>
          <w:sdtPr>
            <w:alias w:val="1 p."/>
            <w:tag w:val="part_5251ee81b9fd40b1b4ef0366474ba148"/>
            <w:lock w:val="sdtLocked"/>
            <w:richText/>
          </w:sdtPr>
          <w:sdtContent>
            <w:p>
              <w:pPr>
                <w:ind w:firstLine="567"/>
                <w:jc w:val="both"/>
                <w:rPr>
                  <w:rFonts w:eastAsia="Calibri"/>
                  <w:szCs w:val="24"/>
                </w:rPr>
              </w:pPr>
              <w:sdt>
                <w:sdtPr>
                  <w:alias w:val="Numeris"/>
                  <w:tag w:val="nr_5251ee81b9fd40b1b4ef0366474ba148"/>
                  <w:lock w:val="sdtLocked"/>
                  <w:richText/>
                </w:sdtPr>
                <w:sdtContent>
                  <w:r>
                    <w:rPr>
                      <w:rFonts w:eastAsia="Calibri"/>
                      <w:b/>
                      <w:bCs/>
                      <w:szCs w:val="24"/>
                    </w:rPr>
                    <w:t>1</w:t>
                  </w:r>
                </w:sdtContent>
              </w:sdt>
              <w:r>
                <w:rPr>
                  <w:rFonts w:eastAsia="Calibri"/>
                  <w:b/>
                  <w:bCs/>
                  <w:szCs w:val="24"/>
                </w:rPr>
                <w:t xml:space="preserve">. Projekto rengimą paskatinusios priežastys, parengto projekto tikslai ir uždaviniai: </w:t>
              </w:r>
            </w:p>
            <w:p>
              <w:pPr>
                <w:ind w:firstLine="567"/>
                <w:jc w:val="both"/>
                <w:rPr>
                  <w:iCs/>
                  <w:color w:val="000000"/>
                  <w:szCs w:val="24"/>
                </w:rPr>
              </w:pPr>
              <w:r>
                <w:rPr>
                  <w:iCs/>
                  <w:color w:val="000000"/>
                  <w:szCs w:val="24"/>
                </w:rPr>
                <w:t xml:space="preserve">Sprendimo projekto tikslas  ̶  pateikti Vilniaus rajono savivaldybės sporto centro (toliau – VRSC) teikiamų paslaugų sąrašą ir jų įkainius, kurie prisidėtų prie sklandžios VRSC veiklos ir iškeltų tikslų bei funkcijų įgyvendinimo.</w:t>
              </w:r>
            </w:p>
            <w:p>
              <w:pPr>
                <w:ind w:firstLine="567"/>
                <w:jc w:val="both"/>
                <w:rPr>
                  <w:iCs/>
                  <w:color w:val="000000"/>
                  <w:szCs w:val="24"/>
                </w:rPr>
              </w:pPr>
            </w:p>
          </w:sdtContent>
        </w:sdt>
        <w:sdt>
          <w:sdtPr>
            <w:alias w:val="2 p."/>
            <w:tag w:val="part_cca2d27968254c408a8af6ee8aeebfe0"/>
            <w:lock w:val="sdtLocked"/>
            <w:richText/>
          </w:sdtPr>
          <w:sdtContent>
            <w:p>
              <w:pPr>
                <w:shd w:val="clear" w:color="auto" w:fill="FFFFFF"/>
                <w:tabs>
                  <w:tab w:val="left" w:pos="993"/>
                </w:tabs>
                <w:ind w:firstLine="567"/>
                <w:jc w:val="both"/>
                <w:rPr>
                  <w:rFonts w:eastAsia="Calibri"/>
                  <w:b/>
                  <w:bCs/>
                  <w:szCs w:val="24"/>
                </w:rPr>
              </w:pPr>
              <w:sdt>
                <w:sdtPr>
                  <w:alias w:val="Numeris"/>
                  <w:tag w:val="nr_cca2d27968254c408a8af6ee8aeebfe0"/>
                  <w:lock w:val="sdtLocked"/>
                  <w:richText/>
                </w:sdtPr>
                <w:sdtContent>
                  <w:r>
                    <w:rPr>
                      <w:rFonts w:eastAsia="Calibri"/>
                      <w:b/>
                      <w:bCs/>
                      <w:szCs w:val="24"/>
                    </w:rPr>
                    <w:t>2</w:t>
                  </w:r>
                </w:sdtContent>
              </w:sdt>
              <w:r>
                <w:rPr>
                  <w:rFonts w:eastAsia="Calibri"/>
                  <w:b/>
                  <w:bCs/>
                  <w:szCs w:val="24"/>
                </w:rPr>
                <w:t>.</w:t>
                <w:tab/>
                <w:t>Kaip šiuo metu yra reguliuojami projekte aptarti teisiniai santykiai:</w:t>
              </w:r>
            </w:p>
            <w:p>
              <w:pPr>
                <w:ind w:firstLine="567"/>
                <w:jc w:val="both"/>
                <w:rPr>
                  <w:iCs/>
                  <w:color w:val="000000"/>
                  <w:szCs w:val="24"/>
                </w:rPr>
              </w:pPr>
              <w:r>
                <w:rPr>
                  <w:iCs/>
                  <w:color w:val="000000"/>
                  <w:szCs w:val="24"/>
                </w:rPr>
                <w:t>Nėra reglamentuojami.</w:t>
              </w:r>
            </w:p>
            <w:p>
              <w:pPr>
                <w:ind w:firstLine="567"/>
                <w:jc w:val="both"/>
                <w:rPr>
                  <w:bCs/>
                  <w:szCs w:val="24"/>
                  <w:lang w:eastAsia="lt-LT"/>
                </w:rPr>
              </w:pPr>
            </w:p>
          </w:sdtContent>
        </w:sdt>
        <w:sdt>
          <w:sdtPr>
            <w:alias w:val="3 p."/>
            <w:tag w:val="part_5f642f00e49a4cf19cfe53a19824e6a8"/>
            <w:lock w:val="sdtLocked"/>
            <w:richText/>
          </w:sdtPr>
          <w:sdtContent>
            <w:p>
              <w:pPr>
                <w:tabs>
                  <w:tab w:val="left" w:pos="851"/>
                  <w:tab w:val="left" w:pos="993"/>
                </w:tabs>
                <w:ind w:firstLine="558"/>
                <w:jc w:val="both"/>
                <w:rPr>
                  <w:rFonts w:eastAsia="Calibri"/>
                  <w:b/>
                  <w:bCs/>
                  <w:szCs w:val="24"/>
                </w:rPr>
              </w:pPr>
              <w:sdt>
                <w:sdtPr>
                  <w:alias w:val="Numeris"/>
                  <w:tag w:val="nr_5f642f00e49a4cf19cfe53a19824e6a8"/>
                  <w:lock w:val="sdtLocked"/>
                  <w:richText/>
                </w:sdtPr>
                <w:sdtContent>
                  <w:r>
                    <w:rPr>
                      <w:rFonts w:eastAsia="Calibri"/>
                      <w:b/>
                      <w:bCs/>
                      <w:szCs w:val="24"/>
                    </w:rPr>
                    <w:t>3</w:t>
                  </w:r>
                </w:sdtContent>
              </w:sdt>
              <w:r>
                <w:rPr>
                  <w:rFonts w:eastAsia="Calibri"/>
                  <w:b/>
                  <w:bCs/>
                  <w:szCs w:val="24"/>
                </w:rPr>
                <w:t xml:space="preserve">. Siūlomos naujos teisinio reguliavimo nuostatos ir kokių teigiamų rezultatų laukiama: </w:t>
                <w:tab/>
              </w:r>
              <w:r>
                <w:rPr>
                  <w:szCs w:val="24"/>
                </w:rPr>
                <w:t>VRSC šiuo metu prižiūri 1500 metrų ilgio riedslidžių trasą ir 2500 metrų ilgio slidinėjimo trasą žiemos metu, taip pat teikia kalnų dviračių ir lygumų slidžių nuomos paslaugas. Turimi žmogiškieji ištekliai ir moderni įranga leidžia Centrui profesionaliai prižiūrėti ne tik esamas trasas, bet ir kitą sporto infrastruktūrą, įskaitant stadionus su dirbtine danga. Tai užtikrina aukštos kokybės nuoseklią priežiūrą, kuri yra būtina siekiant ilgalaikio infrastruktūros tarnavimo ir saugaus jos naudojimo.</w:t>
                <w:tab/>
              </w:r>
            </w:p>
            <w:p>
              <w:pPr>
                <w:tabs>
                  <w:tab w:val="left" w:pos="851"/>
                  <w:tab w:val="left" w:pos="993"/>
                </w:tabs>
                <w:ind w:firstLine="851"/>
                <w:jc w:val="both"/>
                <w:rPr>
                  <w:szCs w:val="24"/>
                </w:rPr>
              </w:pPr>
              <w:r>
                <w:rPr>
                  <w:szCs w:val="24"/>
                </w:rPr>
                <w:t>Sprendimo projektu siūloma patvirtinti VRSC teikiamas paslaugas bei jų įkainius, taip užtikrinant aiškumą ir vienodą informaciją visiems, norintiems naudotis Centro infrastruktūra. Aiškiai nustatyti įkainiai ir patvirtintas paslaugų sąrašas padidins VRSC paslaugų prieinamumą, sustiprins vartotojų pasitikėjimą ir sudarys sąlygas efektyvesnei paslaugų organizacijai.</w:t>
              </w:r>
            </w:p>
            <w:p>
              <w:pPr>
                <w:tabs>
                  <w:tab w:val="left" w:pos="851"/>
                  <w:tab w:val="left" w:pos="993"/>
                </w:tabs>
                <w:ind w:firstLine="851"/>
                <w:jc w:val="both"/>
                <w:rPr>
                  <w:rFonts w:eastAsia="Calibri"/>
                  <w:b/>
                  <w:bCs/>
                  <w:szCs w:val="24"/>
                </w:rPr>
              </w:pPr>
              <w:r>
                <w:rPr>
                  <w:szCs w:val="24"/>
                </w:rPr>
                <w:t>Priėmus šį sprendimą, tikėtina, kad padidės gyventojų ir svečių, norinčių pasinaudoti esamomis paslaugomis, skaičius. Tai leis generuoti papildomas pajamas, kurios bus tikslingai panaudojamos VRSC infrastruktūrai išlaikyti, atnaujinti ir plėtoti. Tokiu būdu sprendimas ne tik pagerins paslaugų kokybę, bet ir prisidės prie tvaresnio sporto objektų valdymo bei ilgalaikės rajono sporto sistemos stiprinimo.</w:t>
              </w:r>
            </w:p>
            <w:p>
              <w:pPr>
                <w:tabs>
                  <w:tab w:val="left" w:pos="709"/>
                  <w:tab w:val="center" w:pos="993"/>
                  <w:tab w:val="left" w:pos="6096"/>
                  <w:tab w:val="center" w:pos="7655"/>
                  <w:tab w:val="right" w:pos="9638"/>
                </w:tabs>
                <w:ind w:left="927"/>
                <w:jc w:val="both"/>
                <w:rPr>
                  <w:iCs/>
                  <w:color w:val="000000"/>
                  <w:szCs w:val="24"/>
                </w:rPr>
              </w:pPr>
            </w:p>
          </w:sdtContent>
        </w:sdt>
        <w:sdt>
          <w:sdtPr>
            <w:alias w:val="4 p."/>
            <w:tag w:val="part_bbcb3dad98624674af436b4242b66330"/>
            <w:lock w:val="sdtLocked"/>
            <w:richText/>
          </w:sdtPr>
          <w:sdtContent>
            <w:p>
              <w:pPr>
                <w:tabs>
                  <w:tab w:val="left" w:pos="709"/>
                  <w:tab w:val="center" w:pos="993"/>
                  <w:tab w:val="left" w:pos="6096"/>
                  <w:tab w:val="center" w:pos="7655"/>
                  <w:tab w:val="right" w:pos="9638"/>
                </w:tabs>
                <w:ind w:firstLine="567"/>
                <w:jc w:val="both"/>
                <w:rPr>
                  <w:rFonts w:eastAsia="Calibri"/>
                  <w:b/>
                  <w:bCs/>
                  <w:szCs w:val="24"/>
                </w:rPr>
              </w:pPr>
              <w:sdt>
                <w:sdtPr>
                  <w:alias w:val="Numeris"/>
                  <w:tag w:val="nr_bbcb3dad98624674af436b4242b66330"/>
                  <w:lock w:val="sdtLocked"/>
                  <w:richText/>
                </w:sdtPr>
                <w:sdtContent>
                  <w:r>
                    <w:rPr>
                      <w:rFonts w:eastAsia="Calibri"/>
                      <w:b/>
                      <w:bCs/>
                      <w:szCs w:val="24"/>
                    </w:rPr>
                    <w:t>4</w:t>
                  </w:r>
                </w:sdtContent>
              </w:sdt>
              <w:r>
                <w:rPr>
                  <w:rFonts w:eastAsia="Calibri"/>
                  <w:b/>
                  <w:bCs/>
                  <w:szCs w:val="24"/>
                </w:rPr>
                <w:t>. Galimos neigiamos priimto sprendimo pasekmės ir kokių priemonių reikėtų imtis, kad tokių pasekmių būtų išvengta:</w:t>
              </w:r>
            </w:p>
            <w:p>
              <w:pPr>
                <w:tabs>
                  <w:tab w:val="left" w:pos="709"/>
                  <w:tab w:val="center" w:pos="993"/>
                  <w:tab w:val="left" w:pos="6096"/>
                  <w:tab w:val="center" w:pos="7655"/>
                  <w:tab w:val="right" w:pos="9638"/>
                </w:tabs>
                <w:ind w:firstLine="709"/>
                <w:jc w:val="both"/>
                <w:rPr>
                  <w:rFonts w:eastAsia="Calibri"/>
                  <w:b/>
                  <w:bCs/>
                  <w:szCs w:val="24"/>
                </w:rPr>
              </w:pPr>
              <w:r>
                <w:rPr>
                  <w:rFonts w:eastAsia="Calibri"/>
                  <w:bCs/>
                  <w:szCs w:val="24"/>
                  <w:lang w:eastAsia="lt-LT"/>
                </w:rPr>
                <w:t>Priėmus sprendimą, neigiamų pasekmių nenumatoma.</w:t>
              </w:r>
            </w:p>
            <w:p>
              <w:pPr>
                <w:ind w:firstLine="567"/>
                <w:jc w:val="both"/>
                <w:rPr>
                  <w:rFonts w:eastAsia="Calibri"/>
                  <w:bCs/>
                  <w:szCs w:val="24"/>
                  <w:lang w:eastAsia="lt-LT"/>
                </w:rPr>
              </w:pPr>
            </w:p>
          </w:sdtContent>
        </w:sdt>
        <w:sdt>
          <w:sdtPr>
            <w:alias w:val="5 p."/>
            <w:tag w:val="part_ee33aad3a7e14d8486d17a9f861c70b4"/>
            <w:lock w:val="sdtLocked"/>
            <w:richText/>
          </w:sdtPr>
          <w:sdtContent>
            <w:p>
              <w:pPr>
                <w:spacing w:line="259" w:lineRule="auto"/>
                <w:ind w:left="720" w:hanging="360"/>
                <w:jc w:val="both"/>
                <w:rPr>
                  <w:rFonts w:eastAsia="Calibri"/>
                  <w:b/>
                  <w:szCs w:val="22"/>
                  <w:lang w:eastAsia="lt-LT"/>
                </w:rPr>
              </w:pPr>
              <w:sdt>
                <w:sdtPr>
                  <w:alias w:val="Numeris"/>
                  <w:tag w:val="nr_ee33aad3a7e14d8486d17a9f861c70b4"/>
                  <w:lock w:val="sdtLocked"/>
                  <w:richText/>
                </w:sdtPr>
                <w:sdtContent>
                  <w:r>
                    <w:rPr>
                      <w:rFonts w:eastAsia="Calibri"/>
                      <w:b/>
                      <w:szCs w:val="24"/>
                      <w:lang w:eastAsia="lt-LT"/>
                    </w:rPr>
                    <w:t>5</w:t>
                  </w:r>
                </w:sdtContent>
              </w:sdt>
              <w:r>
                <w:rPr>
                  <w:rFonts w:eastAsia="Calibri"/>
                  <w:b/>
                  <w:szCs w:val="24"/>
                  <w:lang w:eastAsia="lt-LT"/>
                </w:rPr>
                <w:t>.</w:t>
                <w:tab/>
              </w:r>
              <w:r>
                <w:rPr>
                  <w:rFonts w:eastAsia="Calibri"/>
                  <w:b/>
                  <w:bCs/>
                  <w:szCs w:val="22"/>
                </w:rPr>
                <w:t>Lėšų poreikis ir</w:t>
              </w:r>
              <w:r>
                <w:rPr>
                  <w:rFonts w:eastAsia="Calibri"/>
                  <w:b/>
                  <w:szCs w:val="22"/>
                  <w:lang w:eastAsia="lt-LT"/>
                </w:rPr>
                <w:t xml:space="preserve"> šaltinis (-iai): </w:t>
              </w:r>
            </w:p>
            <w:p>
              <w:pPr>
                <w:rPr>
                  <w:sz w:val="14"/>
                  <w:szCs w:val="14"/>
                </w:rPr>
              </w:pPr>
            </w:p>
            <w:p>
              <w:pPr>
                <w:ind w:firstLine="720"/>
                <w:jc w:val="both"/>
                <w:rPr>
                  <w:rFonts w:eastAsia="Calibri"/>
                  <w:b/>
                  <w:szCs w:val="24"/>
                  <w:lang w:eastAsia="lt-LT"/>
                </w:rPr>
              </w:pPr>
              <w:r>
                <w:rPr>
                  <w:rFonts w:eastAsia="Calibri"/>
                  <w:bCs/>
                  <w:szCs w:val="24"/>
                  <w:lang w:eastAsia="lt-LT"/>
                </w:rPr>
                <w:t>Sprendimo projektui įgyvendinti papildomų valstybės, Savivaldybės biudžetų ar kitų valstybės įsteigtų fondų lėšų nereikės.</w:t>
              </w:r>
            </w:p>
            <w:p>
              <w:pPr>
                <w:ind w:firstLine="567"/>
                <w:jc w:val="both"/>
                <w:rPr>
                  <w:rFonts w:eastAsia="Calibri"/>
                  <w:bCs/>
                  <w:szCs w:val="24"/>
                  <w:lang w:eastAsia="lt-LT"/>
                </w:rPr>
              </w:pPr>
            </w:p>
          </w:sdtContent>
        </w:sdt>
        <w:sdt>
          <w:sdtPr>
            <w:alias w:val="6 p."/>
            <w:tag w:val="part_99ac2a5a93724c7cb397254c1b745cb5"/>
            <w:lock w:val="sdtLocked"/>
            <w:richText/>
          </w:sdtPr>
          <w:sdtContent>
            <w:p>
              <w:pPr>
                <w:ind w:firstLine="567"/>
                <w:jc w:val="both"/>
                <w:rPr>
                  <w:rFonts w:eastAsia="Calibri"/>
                  <w:b/>
                  <w:bCs/>
                  <w:szCs w:val="24"/>
                </w:rPr>
              </w:pPr>
              <w:sdt>
                <w:sdtPr>
                  <w:alias w:val="Numeris"/>
                  <w:tag w:val="nr_99ac2a5a93724c7cb397254c1b745cb5"/>
                  <w:lock w:val="sdtLocked"/>
                  <w:richText/>
                </w:sdtPr>
                <w:sdtContent>
                  <w:r>
                    <w:rPr>
                      <w:rFonts w:eastAsia="Calibri"/>
                      <w:b/>
                      <w:bCs/>
                      <w:szCs w:val="24"/>
                    </w:rPr>
                    <w:t>6</w:t>
                  </w:r>
                </w:sdtContent>
              </w:sdt>
              <w:r>
                <w:rPr>
                  <w:rFonts w:eastAsia="Calibri"/>
                  <w:b/>
                  <w:bCs/>
                  <w:szCs w:val="24"/>
                </w:rPr>
                <w:t>. Projekto rengimo metu gauti specialistų vertinimai ir išvados:</w:t>
              </w:r>
            </w:p>
            <w:p>
              <w:pPr>
                <w:ind w:firstLine="567"/>
                <w:jc w:val="both"/>
                <w:rPr>
                  <w:rFonts w:eastAsia="Calibri"/>
                  <w:szCs w:val="24"/>
                </w:rPr>
              </w:pPr>
              <w:r>
                <w:rPr>
                  <w:rFonts w:eastAsia="Calibri"/>
                  <w:szCs w:val="24"/>
                </w:rPr>
                <w:t>Teisės akto projekto antikorupcinis vertinimas atliktas suderinus teisės akto projektą viešojo administravimo subjekte. Antikorupcinį vertinimą atliko korupcijos prevencijos vyr. specialistas.</w:t>
              </w:r>
            </w:p>
            <w:p>
              <w:pPr>
                <w:ind w:firstLine="629"/>
                <w:jc w:val="both"/>
                <w:rPr>
                  <w:rFonts w:eastAsia="Calibri"/>
                  <w:color w:val="EE0000"/>
                  <w:szCs w:val="24"/>
                </w:rPr>
              </w:pPr>
            </w:p>
          </w:sdtContent>
        </w:sdt>
        <w:sdt>
          <w:sdtPr>
            <w:alias w:val="7 p."/>
            <w:tag w:val="part_194320789bd94473b734a41e5fffdf57"/>
            <w:lock w:val="sdtLocked"/>
            <w:richText/>
          </w:sdtPr>
          <w:sdtContent>
            <w:p>
              <w:pPr>
                <w:tabs>
                  <w:tab w:val="left" w:pos="993"/>
                </w:tabs>
                <w:ind w:firstLine="567"/>
                <w:jc w:val="both"/>
                <w:rPr>
                  <w:rFonts w:eastAsia="Calibri"/>
                  <w:b/>
                  <w:bCs/>
                  <w:szCs w:val="24"/>
                </w:rPr>
              </w:pPr>
              <w:sdt>
                <w:sdtPr>
                  <w:alias w:val="Numeris"/>
                  <w:tag w:val="nr_194320789bd94473b734a41e5fffdf57"/>
                  <w:lock w:val="sdtLocked"/>
                  <w:richText/>
                </w:sdtPr>
                <w:sdtContent>
                  <w:r>
                    <w:rPr>
                      <w:rFonts w:eastAsia="Calibri"/>
                      <w:b/>
                      <w:bCs/>
                      <w:szCs w:val="24"/>
                    </w:rPr>
                    <w:t>7</w:t>
                  </w:r>
                </w:sdtContent>
              </w:sdt>
              <w:r>
                <w:rPr>
                  <w:rFonts w:eastAsia="Calibri"/>
                  <w:b/>
                  <w:bCs/>
                  <w:szCs w:val="24"/>
                </w:rPr>
                <w:t>.</w:t>
                <w:tab/>
                <w:t>Kiti pagrindimai, skaičiavimai ar paaiškinimai:</w:t>
              </w:r>
            </w:p>
            <w:p>
              <w:pPr>
                <w:tabs>
                  <w:tab w:val="left" w:pos="567"/>
                </w:tabs>
                <w:ind w:firstLine="567"/>
                <w:jc w:val="both"/>
                <w:rPr>
                  <w:szCs w:val="24"/>
                </w:rPr>
              </w:pPr>
              <w:r>
                <w:rPr>
                  <w:szCs w:val="24"/>
                </w:rPr>
                <w:t xml:space="preserve">VRSC teikiamų paslaugų įkainiai buvo nustatyti atlikus išsamią rinkos analizę ir įvertinus panašių paslaugų kainas Lietuvoje ir užsienyje. Palyginti Lietuvos žiemos sporto centro, Europos centro golfo laukų, Vilniaus Vingio parke veikiančių privačių teikėjų, taip pat Latvijos sporto kompleksų „Madona“ ir „Cesis“ įkainiai. Ši analizė leido nustatyti objektyvius kainų skirtumus, įvertinti skirtingas veiklos sąnaudas ir pagrįsti VRSC siūlomus tarifus. </w:t>
              </w:r>
            </w:p>
            <w:p>
              <w:pPr>
                <w:tabs>
                  <w:tab w:val="left" w:pos="567"/>
                </w:tabs>
                <w:ind w:firstLine="567"/>
                <w:jc w:val="both"/>
                <w:rPr>
                  <w:szCs w:val="24"/>
                </w:rPr>
              </w:pPr>
              <w:r>
                <w:rPr>
                  <w:szCs w:val="24"/>
                </w:rPr>
                <w:t xml:space="preserve">Analizuojant riedslidžių trasos ir slidinėjimo trasos paruošimo kaštus, nustatyta, kad žiemos sezono metu trasų paruošimas reikalauja žymiai didesnių išteklių. Tai susiję su papildomu personalu, intensyvesniu technikos naudojimu, didesnėmis kuro sąnaudomis bei sudėtingesniu trasos formavimo procesu. Šios priežastys lėmė, kad buvo pagrįstai padidinti žiemos sezono valandiniai, dienos bei renginių organizavimo įkainiai, siekiant atspindėti realias paruošimo sąnaudas ir užtikrinti kokybišką trasų būklę. Lyginant šaudymo paslaugų kainodarą, pastebėta, kad Lietuvos ir užsienio sporto centrai dažniausiai turi automatizuotą skydų aptarnavimo sistemą, kai tuo tarpu VRSC šaudykloje skydai atverčiami ir užverčiami rankiniu būdu. Be to, kituose centruose po kiekvienos šūvių serijos kompiuterinė sistema automatiškai sugeneruoja šaudymo protokolą, o VRSC tokios įrangos neturi. </w:t>
                <w:tab/>
              </w:r>
            </w:p>
            <w:p>
              <w:pPr>
                <w:tabs>
                  <w:tab w:val="left" w:pos="567"/>
                </w:tabs>
                <w:ind w:firstLine="567"/>
                <w:jc w:val="both"/>
                <w:rPr>
                  <w:rFonts w:eastAsia="Calibri"/>
                  <w:szCs w:val="24"/>
                </w:rPr>
              </w:pPr>
              <w:r>
                <w:rPr>
                  <w:szCs w:val="24"/>
                </w:rPr>
                <w:t>Dėl šių priežasčių VRSC šaudyklos įkainiai yra mažesni, nes teikiama paslauga reikalauja mažiau technologinių resursų ir yra paprastesnė nei modernizuotose sporto centruose. Stadionų su dirbtine danga priežiūros įkainiai buvo apskaičiuoti VRSC darbuotojų, objektyviai įvertinus turimus žmogiškuosius išteklius, turimą techniką, reikalingų medžiagų pirkimo sąnaudas bei kuro išlaidas. Tokiu būdu įkainiai atspindi realias VRSC patiriamas išlaidas ir užtikrina, kad infrastruktūra bus prižiūrima kokybiškai, nuosekliai ir ekonomiškai.</w:t>
              </w:r>
            </w:p>
            <w:p>
              <w:pPr>
                <w:tabs>
                  <w:tab w:val="left" w:pos="993"/>
                </w:tabs>
                <w:ind w:firstLine="567"/>
                <w:jc w:val="both"/>
                <w:rPr>
                  <w:rFonts w:eastAsia="Calibri"/>
                  <w:szCs w:val="24"/>
                </w:rPr>
              </w:pPr>
            </w:p>
          </w:sdtContent>
        </w:sdt>
        <w:sdt>
          <w:sdtPr>
            <w:alias w:val="8 p."/>
            <w:tag w:val="part_5d7a129e8845401f8f2e09087b4270c1"/>
            <w:lock w:val="sdtLocked"/>
            <w:richText/>
          </w:sdtPr>
          <w:sdtContent>
            <w:p>
              <w:pPr>
                <w:tabs>
                  <w:tab w:val="left" w:pos="993"/>
                </w:tabs>
                <w:spacing w:line="259" w:lineRule="auto"/>
                <w:ind w:left="1353" w:hanging="786"/>
                <w:jc w:val="both"/>
                <w:rPr>
                  <w:rFonts w:eastAsia="Calibri"/>
                  <w:b/>
                  <w:bCs/>
                  <w:szCs w:val="22"/>
                </w:rPr>
              </w:pPr>
              <w:sdt>
                <w:sdtPr>
                  <w:alias w:val="Numeris"/>
                  <w:tag w:val="nr_5d7a129e8845401f8f2e09087b4270c1"/>
                  <w:lock w:val="sdtLocked"/>
                  <w:richText/>
                </w:sdtPr>
                <w:sdtContent>
                  <w:r>
                    <w:rPr>
                      <w:rFonts w:eastAsia="Calibri"/>
                      <w:b/>
                      <w:bCs/>
                      <w:szCs w:val="24"/>
                    </w:rPr>
                    <w:t>8</w:t>
                  </w:r>
                </w:sdtContent>
              </w:sdt>
              <w:r>
                <w:rPr>
                  <w:rFonts w:eastAsia="Calibri"/>
                  <w:b/>
                  <w:bCs/>
                  <w:szCs w:val="24"/>
                </w:rPr>
                <w:t>.</w:t>
                <w:tab/>
              </w:r>
              <w:r>
                <w:rPr>
                  <w:rFonts w:eastAsia="Calibri"/>
                  <w:b/>
                  <w:bCs/>
                  <w:szCs w:val="22"/>
                </w:rPr>
                <w:t>Projektą siūloma svarstyti komitete (-uose):</w:t>
              </w:r>
              <w:r>
                <w:rPr>
                  <w:sz w:val="22"/>
                  <w:szCs w:val="22"/>
                </w:rPr>
                <w:t xml:space="preserve"> </w:t>
              </w:r>
            </w:p>
            <w:p>
              <w:pPr>
                <w:rPr>
                  <w:sz w:val="14"/>
                  <w:szCs w:val="14"/>
                </w:rPr>
              </w:pPr>
            </w:p>
            <w:p>
              <w:pPr>
                <w:ind w:firstLine="567"/>
                <w:jc w:val="both"/>
                <w:rPr>
                  <w:szCs w:val="24"/>
                </w:rPr>
              </w:pPr>
              <w:r>
                <w:rPr>
                  <w:szCs w:val="24"/>
                </w:rPr>
                <w:t xml:space="preserve">Švietimo, kultūros, sporto ir jaunimo reikalų (pagrindinis komitetas),  Ekonomikos ir finansų komitetuose.</w:t>
              </w:r>
            </w:p>
            <w:p>
              <w:pPr>
                <w:tabs>
                  <w:tab w:val="left" w:pos="993"/>
                </w:tabs>
                <w:ind w:firstLine="567"/>
                <w:jc w:val="both"/>
                <w:rPr>
                  <w:rFonts w:eastAsia="Calibri"/>
                  <w:szCs w:val="24"/>
                </w:rPr>
              </w:pPr>
            </w:p>
            <w:p>
              <w:pPr>
                <w:tabs>
                  <w:tab w:val="left" w:pos="993"/>
                </w:tabs>
                <w:ind w:firstLine="567"/>
                <w:jc w:val="both"/>
                <w:rPr>
                  <w:rFonts w:eastAsia="Calibri"/>
                  <w:szCs w:val="24"/>
                </w:rPr>
              </w:pPr>
            </w:p>
            <w:p>
              <w:pPr>
                <w:spacing w:line="276" w:lineRule="auto"/>
                <w:jc w:val="both"/>
                <w:rPr>
                  <w:szCs w:val="24"/>
                </w:rPr>
              </w:pPr>
            </w:p>
            <w:p/>
          </w:sdtContent>
        </w:sdt>
        <w:sdt>
          <w:sdtPr>
            <w:alias w:val="signatura"/>
            <w:tag w:val="part_1b66d5bff1d94b6e9d649575b0d4db01"/>
            <w:lock w:val="sdtLocked"/>
            <w:richText/>
          </w:sdtPr>
          <w:sdtContent>
            <w:p>
              <w:r>
                <w:t>Sveikatos ir sporto skyriaus vyr. specialistė</w:t>
                <w:tab/>
                <w:tab/>
                <w:t xml:space="preserve">           Krystyna Malyško</w:t>
              </w:r>
            </w:p>
            <w:p/>
            <w:p/>
            <w:p>
              <w:r>
                <w:t xml:space="preserve">Sveikatos ir sporto skyriaus patarėjas                                                           Evaldas Martinka</w:t>
              </w:r>
            </w:p>
            <w:p>
              <w:pPr>
                <w:rPr>
                  <w:rFonts w:eastAsia="Calibri"/>
                  <w:sz w:val="18"/>
                  <w:szCs w:val="18"/>
                </w:rPr>
              </w:pPr>
            </w:p>
          </w:sdtContent>
        </w:sdt>
      </w:sdtContent>
    </w:sdt>
    <w:sectPr>
      <w:pgSz w:w="11906" w:h="16838"/>
      <w:pgMar w:top="993"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40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168AB9C-B3EC-49D2-8A70-55964E04EF5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72805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a567dd63eb64f859efcd8ea23e2d699" PartId="013e60cbde104147a48b6d31fe7a3650">
    <Part Type="punktas" Nr="1" Abbr="1 p." DocPartId="51d472c0ecb74a338479c8d32b54c2bf" PartId="5251ee81b9fd40b1b4ef0366474ba148"/>
    <Part Type="punktas" Nr="2" Abbr="2 p." DocPartId="27f07398a3bb49abac30da30093ccb3d" PartId="cca2d27968254c408a8af6ee8aeebfe0"/>
    <Part Type="punktas" Nr="3" Abbr="3 p." DocPartId="b7b753a682474df1b20fb4c7949ee9e3" PartId="5f642f00e49a4cf19cfe53a19824e6a8"/>
    <Part Type="punktas" Nr="4" Abbr="4 p." DocPartId="36d2072e191b4250ab1368a5bdc60332" PartId="bbcb3dad98624674af436b4242b66330"/>
    <Part Type="punktas" Nr="5" Abbr="5 p." DocPartId="571b95fa3a8141f9bec19e9126855cc2" PartId="ee33aad3a7e14d8486d17a9f861c70b4"/>
    <Part Type="punktas" Nr="6" Abbr="6 p." DocPartId="f37ed300e53a4074b27c66992b0b2c0d" PartId="99ac2a5a93724c7cb397254c1b745cb5"/>
    <Part Type="punktas" Nr="7" Abbr="7 p." DocPartId="158cd554bcca422a8b21f691d4d3ae92" PartId="194320789bd94473b734a41e5fffdf57"/>
    <Part Type="punktas" Nr="8" Abbr="8 p." DocPartId="16742b20f97e45d484f23ea7dd5db8fe" PartId="5d7a129e8845401f8f2e09087b4270c1"/>
    <Part Type="signatura" DocPartId="cd7b743606dc4556ac9191110ea7bfea" PartId="1b66d5bff1d94b6e9d649575b0d4db01"/>
  </Part>
</Parts>
</file>

<file path=customXml/itemProps1.xml><?xml version="1.0" encoding="utf-8"?>
<ds:datastoreItem xmlns:ds="http://schemas.openxmlformats.org/officeDocument/2006/customXml" ds:itemID="{7A7F5177-705E-4577-9F4F-0E09062F444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596</Words>
  <Characters>4213</Characters>
  <Application>Microsoft Office Word</Application>
  <DocSecurity>4</DocSecurity>
  <Lines>81</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4780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2026-05-07T12:30:00Z</dcterms:created>
  <dc:creator>Halina Petrucin</dc:creator>
  <lastModifiedBy>adlibuser</lastModifiedBy>
  <dcterms:modified xsi:type="dcterms:W3CDTF">2026-05-07T12:30:00Z</dcterms:modified>
  <revision>2</revision>
</coreProperties>
</file>