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a312613d3d4ed7b205ab2dde1735e0"/>
        <w:lock w:val="sdtLocked"/>
        <w:richText/>
      </w:sdtPr>
      <w:sdtContent>
        <w:p w14:paraId="3F2C1001" w14:textId="77777777">
          <w:pPr>
            <w:jc w:val="center"/>
            <w:rPr>
              <w:b/>
              <w:szCs w:val="24"/>
              <w:lang w:eastAsia="ar-SA"/>
            </w:rPr>
          </w:pPr>
          <w:r>
            <w:rPr>
              <w:b/>
              <w:szCs w:val="24"/>
              <w:lang w:eastAsia="ar-SA"/>
            </w:rPr>
            <w:t>ŠIAULIŲ MIESTO SAVIVALDYBĖS KONTROLĖS IR AUDITO TARNYBA</w:t>
          </w:r>
        </w:p>
        <w:p w14:paraId="3F2C1002" w14:textId="77777777">
          <w:pPr>
            <w:jc w:val="center"/>
            <w:rPr>
              <w:b/>
              <w:sz w:val="16"/>
              <w:szCs w:val="24"/>
              <w:lang w:eastAsia="ar-SA"/>
            </w:rPr>
          </w:pPr>
        </w:p>
        <w:p w14:paraId="3F2C1003" w14:textId="77777777">
          <w:pPr>
            <w:jc w:val="center"/>
            <w:rPr>
              <w:b/>
              <w:sz w:val="16"/>
              <w:szCs w:val="24"/>
              <w:lang w:eastAsia="ar-SA"/>
            </w:rPr>
          </w:pPr>
        </w:p>
        <w:p w14:paraId="3F2C1004" w14:textId="77777777">
          <w:pPr>
            <w:suppressAutoHyphens/>
            <w:jc w:val="center"/>
            <w:rPr>
              <w:b/>
              <w:szCs w:val="24"/>
              <w:lang w:eastAsia="ar-SA"/>
            </w:rPr>
          </w:pPr>
          <w:r>
            <w:rPr>
              <w:b/>
              <w:szCs w:val="24"/>
              <w:lang w:eastAsia="ar-SA"/>
            </w:rPr>
            <w:t>SPRENDIMO</w:t>
          </w:r>
        </w:p>
        <w:p w14:paraId="3F2C1005" w14:textId="3DE122B8">
          <w:pPr>
            <w:ind w:firstLine="62"/>
            <w:jc w:val="center"/>
            <w:rPr>
              <w:b/>
              <w:szCs w:val="24"/>
            </w:rPr>
          </w:pPr>
          <w:r>
            <w:rPr>
              <w:b/>
              <w:szCs w:val="24"/>
              <w:lang w:eastAsia="ar-SA"/>
            </w:rPr>
            <w:t>„DĖL PRITARIMO / NEPRITARIMO ŠIAULIŲ MIESTO SAVIVALDYBĖS KONTROLĖS IR AUDITO TARNYBOS 2023 METŲ METINIŲ ATASKAITŲ RINKINIUI</w:t>
          </w:r>
          <w:r>
            <w:rPr>
              <w:b/>
              <w:szCs w:val="24"/>
            </w:rPr>
            <w:t xml:space="preserve">“ </w:t>
          </w:r>
          <w:r>
            <w:rPr>
              <w:b/>
              <w:szCs w:val="24"/>
              <w:lang w:eastAsia="ar-SA"/>
            </w:rPr>
            <w:t>PROJEKTO</w:t>
          </w:r>
        </w:p>
        <w:p w14:paraId="3F2C1007" w14:textId="77777777">
          <w:pPr>
            <w:suppressAutoHyphens/>
            <w:jc w:val="center"/>
            <w:rPr>
              <w:b/>
              <w:szCs w:val="24"/>
              <w:lang w:eastAsia="ar-SA"/>
            </w:rPr>
          </w:pPr>
          <w:r>
            <w:rPr>
              <w:b/>
              <w:szCs w:val="24"/>
              <w:lang w:eastAsia="ar-SA"/>
            </w:rPr>
            <w:t>AIŠKINAMASIS RAŠTAS</w:t>
          </w:r>
        </w:p>
        <w:p w14:paraId="3F2C1008" w14:textId="77777777">
          <w:pPr>
            <w:jc w:val="center"/>
            <w:rPr>
              <w:b/>
              <w:sz w:val="16"/>
              <w:szCs w:val="24"/>
              <w:lang w:eastAsia="ar-SA"/>
            </w:rPr>
          </w:pPr>
        </w:p>
        <w:p w14:paraId="3F2C1009" w14:textId="3507BAE0">
          <w:pPr>
            <w:suppressAutoHyphens/>
            <w:jc w:val="center"/>
            <w:rPr>
              <w:bCs/>
              <w:szCs w:val="24"/>
              <w:lang w:eastAsia="ar-SA"/>
            </w:rPr>
          </w:pPr>
          <w:r>
            <w:rPr>
              <w:bCs/>
              <w:szCs w:val="24"/>
              <w:lang w:eastAsia="ar-SA"/>
            </w:rPr>
            <w:t>2024 m. kovo 12 d.</w:t>
          </w:r>
        </w:p>
        <w:p w14:paraId="3F2C100A" w14:textId="77777777">
          <w:pPr>
            <w:suppressAutoHyphens/>
            <w:jc w:val="center"/>
            <w:rPr>
              <w:bCs/>
              <w:szCs w:val="24"/>
              <w:lang w:eastAsia="ar-SA"/>
            </w:rPr>
          </w:pPr>
          <w:r>
            <w:rPr>
              <w:bCs/>
              <w:szCs w:val="24"/>
              <w:lang w:eastAsia="ar-SA"/>
            </w:rPr>
            <w:t>Šiauliai</w:t>
          </w:r>
        </w:p>
        <w:p w14:paraId="3F2C100B" w14:textId="77777777">
          <w:pPr>
            <w:suppressAutoHyphens/>
            <w:jc w:val="center"/>
            <w:rPr>
              <w:szCs w:val="24"/>
            </w:rPr>
          </w:pPr>
        </w:p>
        <w:p w14:paraId="3F2C100C" w14:textId="5FFA6539">
          <w:pPr>
            <w:tabs>
              <w:tab w:val="left" w:pos="855"/>
            </w:tabs>
            <w:ind w:firstLine="709"/>
            <w:jc w:val="both"/>
            <w:rPr>
              <w:b/>
              <w:szCs w:val="24"/>
            </w:rPr>
          </w:pPr>
          <w:r>
            <w:rPr>
              <w:b/>
              <w:szCs w:val="24"/>
            </w:rPr>
            <w:t>Parengto sprendimo projekto tikslai ir uždaviniai.</w:t>
          </w:r>
        </w:p>
        <w:sdt>
          <w:sdtPr>
            <w:alias w:val="preambule"/>
            <w:tag w:val="part_d9ddaa08ae094d608e6dd6fa24e5907d"/>
            <w:lock w:val="sdtLocked"/>
            <w:richText/>
          </w:sdtPr>
          <w:sdtContent>
            <w:p w14:paraId="79B27A32" w14:textId="2D6A483F">
              <w:pPr>
                <w:tabs>
                  <w:tab w:val="left" w:pos="855"/>
                </w:tabs>
                <w:ind w:firstLine="709"/>
                <w:jc w:val="both"/>
                <w:rPr>
                  <w:szCs w:val="24"/>
                </w:rPr>
              </w:pPr>
              <w:r>
                <w:rPr>
                  <w:szCs w:val="24"/>
                </w:rPr>
                <w:t>Sprendimo projekto tikslas – įgyvendinti Lietuvos Respublikos vietos savivaldos įstatymo, Lietuvos Respublikos viešojo sektoriaus atskaitomybės įstatymo ir Šiaulių miesto savivaldybės tarybos veiklos reglamento nuostatas.</w:t>
              </w:r>
            </w:p>
          </w:sdtContent>
        </w:sdt>
        <w:sdt>
          <w:sdtPr>
            <w:alias w:val="pastraipa"/>
            <w:tag w:val="part_68b393b8660949b3ab7b35d25daaeb4f"/>
            <w:lock w:val="sdtLocked"/>
            <w:richText/>
          </w:sdtPr>
          <w:sdtContent>
            <w:p w14:paraId="380C756B" w14:textId="489D10FF">
              <w:pPr>
                <w:tabs>
                  <w:tab w:val="left" w:pos="855"/>
                </w:tabs>
                <w:ind w:firstLine="709"/>
                <w:jc w:val="both"/>
                <w:rPr>
                  <w:szCs w:val="24"/>
                </w:rPr>
              </w:pPr>
              <w:r>
                <w:rPr>
                  <w:szCs w:val="24"/>
                </w:rPr>
                <w:t xml:space="preserve">Sprendimo projekto uždavinys – priimti sprendimą dėl Šiaulių miesto savivaldybės kontrolės ir audito tarnybos (toliau – Tarnyba) 2023 metų metinio ataskaitų rinkinio. </w:t>
              </w:r>
            </w:p>
          </w:sdtContent>
        </w:sdt>
        <w:sdt>
          <w:sdtPr>
            <w:alias w:val="skirsnis"/>
            <w:tag w:val="part_193441d358ba4f95a19f194ba69bd82f"/>
            <w:lock w:val="sdtLocked"/>
            <w:richText/>
          </w:sdtPr>
          <w:sdtContent>
            <w:p w14:paraId="3F2C100E" w14:textId="77777777">
              <w:pPr>
                <w:ind w:firstLine="709"/>
                <w:jc w:val="both"/>
                <w:rPr>
                  <w:b/>
                  <w:szCs w:val="24"/>
                </w:rPr>
              </w:pPr>
              <w:sdt>
                <w:sdtPr>
                  <w:alias w:val="Pavadinimas"/>
                  <w:tag w:val="title_193441d358ba4f95a19f194ba69bd82f"/>
                  <w:lock w:val="sdtLocked"/>
                  <w:richText/>
                </w:sdtPr>
                <w:sdtContent>
                  <w:r>
                    <w:rPr>
                      <w:b/>
                      <w:szCs w:val="24"/>
                    </w:rPr>
                    <w:t>Dabartinis sprendimo projekte aptariamų klausimų reguliavimas.</w:t>
                  </w:r>
                </w:sdtContent>
              </w:sdt>
            </w:p>
            <w:p w14:paraId="5930BF45" w14:textId="1072FFD5">
              <w:pPr>
                <w:ind w:firstLine="709"/>
                <w:jc w:val="both"/>
                <w:rPr>
                  <w:szCs w:val="24"/>
                </w:rPr>
              </w:pPr>
              <w:r>
                <w:rPr>
                  <w:szCs w:val="24"/>
                </w:rPr>
                <w:t>Sprendimo projektas parengtas vadovaujantis Lietuvos Respublikos viešojo sektoriaus atskaitomybės įstatymo (2020 m. spalio 1 d. Lietuvos Respublikos viešojo sektoriaus atskaitomybės įstatymo Nr. X-1212 pakeitimo įstatymo Nr. XIII-3308) redakcija, kuri įsigaliojo nuo 2023 m. sausio 1 d. ir Lietuvos Respublikos vietos savivaldos įstatymo (2022 m. birželio 30 d. Lietuvos Respublikos vietos savivaldos įstatymo Nr. I-533 pakeitimo įstatymo Nr. XIV-1268) redakcija, kuri įsigaliojo nuo 2023 m. balandžio 1 d. Nauju teisiniu reguliavimu buvo įtvirtinta, kad Savivaldybės kontrolės ir audito tarnyba vietoj anksčiau teiktos veiklos ataskaitos savivaldybės tarybai teikia Tarnybos metinių ataskaitų rinkinį, kurį sudaro metinė veiklos ataskaita, metinių finansinių ataskaitų rinkinys, metinių biudžeto vykdymo ataskaitų rinkinys (Lietuvos Respublikos viešojo sektoriaus atskaitomybės įstatymo 6 straipsnio 1 dalis).</w:t>
              </w:r>
            </w:p>
            <w:p w14:paraId="063256AD" w14:textId="58666694">
              <w:pPr>
                <w:ind w:firstLine="709"/>
                <w:jc w:val="both"/>
                <w:rPr>
                  <w:szCs w:val="24"/>
                </w:rPr>
              </w:pPr>
              <w:r>
                <w:rPr>
                  <w:szCs w:val="24"/>
                </w:rPr>
                <w:t>Lietuvos Respublikos viešojo sektoriaus atskaitomybės įstatymo 17 straipsnio 10 dalis bei Lietuvos Respublikos vietos savivaldos įstatymo 67 straipsnio 9 dalies 14 punktas reglamentuoja, kad savivaldybės kontrolės ir audito tarnybos metinis ataskaitų rinkinys Savivaldybės tarybai teikiamas jos, t. y. reglamente nustatyta tvarka ir terminais.</w:t>
              </w:r>
            </w:p>
            <w:p w14:paraId="6A128DD6" w14:textId="591EEE23">
              <w:pPr>
                <w:ind w:firstLine="709"/>
                <w:jc w:val="both"/>
                <w:rPr>
                  <w:szCs w:val="24"/>
                </w:rPr>
              </w:pPr>
              <w:r>
                <w:rPr>
                  <w:szCs w:val="24"/>
                </w:rPr>
                <w:t>Šiaulių miesto savivaldybės tarybos veiklos reglamento, patvirtinto Šiaulių miesto savivaldybės tarybos 2023 m. vasario 2 d. sprendimu Nr. T-30 „Dėl Šiaulių miesto savivaldybės tarybos veiklos reglamento patvirtinimo“, 203 punktas reglamentuoja, kad Tarnyba iki kiekvienų metų balandžio 30 dienos pateikia Tarybai Kontrolės ir audito tarnybos metinių ataskaitų rinkinį.</w:t>
              </w:r>
            </w:p>
            <w:p w14:paraId="530FDA1C" w14:textId="69E19E12">
              <w:pPr>
                <w:ind w:firstLine="709"/>
                <w:jc w:val="both"/>
                <w:rPr>
                  <w:szCs w:val="24"/>
                </w:rPr>
              </w:pPr>
              <w:r>
                <w:rPr>
                  <w:szCs w:val="24"/>
                </w:rPr>
                <w:t>Lietuvos Respublikos vietos savivaldos įstatymo 15 straipsnio 2 dalies 7 punkte numatyta, kad savivaldybės taryba svarsto ir priima sprendimą dėl Tarnybos metinio ataskaitų rinkinio.</w:t>
              </w:r>
            </w:p>
            <w:p w14:paraId="24BAE738" w14:textId="0BA84548">
              <w:pPr>
                <w:ind w:firstLine="709"/>
                <w:jc w:val="both"/>
                <w:rPr>
                  <w:bCs/>
                  <w:szCs w:val="24"/>
                </w:rPr>
              </w:pPr>
              <w:r>
                <w:rPr>
                  <w:szCs w:val="24"/>
                </w:rPr>
                <w:t>Savivaldybės tarybai teikiamas sprendimo projektas „</w:t>
              </w:r>
              <w:r>
                <w:rPr>
                  <w:bCs/>
                  <w:szCs w:val="24"/>
                </w:rPr>
                <w:t>Dėl pritarimo / nepritarimo Šiaulių miesto savivaldybės kontrolės ir audito tarnybos 2023 metų metinių ataskaitų rinkiniui“.</w:t>
              </w:r>
            </w:p>
          </w:sdtContent>
        </w:sdt>
        <w:sdt>
          <w:sdtPr>
            <w:alias w:val="skirsnis"/>
            <w:tag w:val="part_f2015e9e38d54ece8c199e072e12d8b5"/>
            <w:lock w:val="sdtLocked"/>
            <w:richText/>
          </w:sdtPr>
          <w:sdtContent>
            <w:p w14:paraId="3F2C1010" w14:textId="389FEB4C">
              <w:pPr>
                <w:ind w:firstLine="709"/>
                <w:jc w:val="both"/>
                <w:rPr>
                  <w:b/>
                  <w:szCs w:val="24"/>
                  <w:shd w:val="clear" w:color="auto" w:fill="FFFFFF"/>
                </w:rPr>
              </w:pPr>
              <w:sdt>
                <w:sdtPr>
                  <w:alias w:val="Pavadinimas"/>
                  <w:tag w:val="title_f2015e9e38d54ece8c199e072e12d8b5"/>
                  <w:lock w:val="sdtLocked"/>
                  <w:richText/>
                </w:sdtPr>
                <w:sdtContent>
                  <w:r>
                    <w:rPr>
                      <w:b/>
                      <w:szCs w:val="24"/>
                      <w:shd w:val="clear" w:color="auto" w:fill="FFFFFF"/>
                    </w:rPr>
                    <w:t>Sprendimo projekte numatytos naujos teisinio reglamentavimo nuostatos.</w:t>
                  </w:r>
                </w:sdtContent>
              </w:sdt>
            </w:p>
            <w:p w14:paraId="3F2C1011" w14:textId="44CAF55C">
              <w:pPr>
                <w:ind w:firstLine="709"/>
                <w:jc w:val="both"/>
                <w:rPr>
                  <w:szCs w:val="24"/>
                </w:rPr>
              </w:pPr>
              <w:r>
                <w:rPr>
                  <w:szCs w:val="24"/>
                </w:rPr>
                <w:t>Nėra numatytos.</w:t>
              </w:r>
            </w:p>
          </w:sdtContent>
        </w:sdt>
        <w:sdt>
          <w:sdtPr>
            <w:alias w:val="skirsnis"/>
            <w:tag w:val="part_75394b77071f4fde90964d8a0f5cd82b"/>
            <w:lock w:val="sdtLocked"/>
            <w:richText/>
          </w:sdtPr>
          <w:sdtContent>
            <w:p w14:paraId="3F2C1012" w14:textId="77777777">
              <w:pPr>
                <w:ind w:firstLine="709"/>
                <w:jc w:val="both"/>
                <w:rPr>
                  <w:b/>
                  <w:szCs w:val="24"/>
                  <w:shd w:val="clear" w:color="auto" w:fill="FFFFFF"/>
                </w:rPr>
              </w:pPr>
              <w:sdt>
                <w:sdtPr>
                  <w:alias w:val="Pavadinimas"/>
                  <w:tag w:val="title_75394b77071f4fde90964d8a0f5cd82b"/>
                  <w:lock w:val="sdtLocked"/>
                  <w:richText/>
                </w:sdtPr>
                <w:sdtContent>
                  <w:r>
                    <w:rPr>
                      <w:b/>
                      <w:szCs w:val="24"/>
                      <w:shd w:val="clear" w:color="auto" w:fill="FFFFFF"/>
                    </w:rPr>
                    <w:t>Priėmus sprendimą, galimos pasekmės (tiek teigiamos, tiek neigiamos).</w:t>
                  </w:r>
                </w:sdtContent>
              </w:sdt>
            </w:p>
            <w:p w14:paraId="3F2C1013" w14:textId="17A2049A">
              <w:pPr>
                <w:ind w:firstLine="709"/>
                <w:jc w:val="both"/>
                <w:rPr>
                  <w:bCs/>
                  <w:szCs w:val="24"/>
                </w:rPr>
              </w:pPr>
              <w:r>
                <w:rPr>
                  <w:bCs/>
                  <w:iCs/>
                  <w:szCs w:val="24"/>
                </w:rPr>
                <w:t>Teigiamos pasekmės</w:t>
              </w:r>
              <w:r>
                <w:rPr>
                  <w:bCs/>
                  <w:szCs w:val="24"/>
                </w:rPr>
                <w:t xml:space="preserve"> – bus pritarta Tarnybos 2023 metų metinių ataskaitų rinkiniui pagal galiojančių teisės aktų reikalavimus. </w:t>
              </w:r>
            </w:p>
            <w:p w14:paraId="42A735F7" w14:textId="0F9F2001">
              <w:pPr>
                <w:ind w:firstLine="709"/>
                <w:jc w:val="both"/>
                <w:rPr>
                  <w:color w:val="FF0000"/>
                  <w:szCs w:val="24"/>
                  <w:shd w:val="clear" w:color="auto" w:fill="FFFFFF"/>
                </w:rPr>
              </w:pPr>
              <w:r>
                <w:rPr>
                  <w:bCs/>
                  <w:szCs w:val="24"/>
                </w:rPr>
                <w:t>Neigiamų pasekmių nėra.</w:t>
              </w:r>
            </w:p>
          </w:sdtContent>
        </w:sdt>
        <w:sdt>
          <w:sdtPr>
            <w:alias w:val="skirsnis"/>
            <w:tag w:val="part_b2209fad4d4a4ac8bbc3265a74308896"/>
            <w:lock w:val="sdtLocked"/>
            <w:richText/>
          </w:sdtPr>
          <w:sdtContent>
            <w:p w14:paraId="3F2C1014" w14:textId="77777777">
              <w:pPr>
                <w:ind w:firstLine="709"/>
                <w:jc w:val="both"/>
                <w:rPr>
                  <w:b/>
                  <w:szCs w:val="24"/>
                </w:rPr>
              </w:pPr>
              <w:sdt>
                <w:sdtPr>
                  <w:alias w:val="Pavadinimas"/>
                  <w:tag w:val="title_b2209fad4d4a4ac8bbc3265a74308896"/>
                  <w:lock w:val="sdtLocked"/>
                  <w:richText/>
                </w:sdtPr>
                <w:sdtContent>
                  <w:r>
                    <w:rPr>
                      <w:b/>
                      <w:szCs w:val="24"/>
                      <w:shd w:val="clear" w:color="auto" w:fill="FFFFFF"/>
                    </w:rPr>
                    <w:t>Priėmus sprendimą, keičiami ar pripažįstami negaliojančiais teisės aktai</w:t>
                  </w:r>
                  <w:r>
                    <w:rPr>
                      <w:b/>
                      <w:szCs w:val="24"/>
                    </w:rPr>
                    <w:t>.</w:t>
                  </w:r>
                </w:sdtContent>
              </w:sdt>
            </w:p>
            <w:p w14:paraId="3F2C1015" w14:textId="364C8AAE">
              <w:pPr>
                <w:ind w:firstLine="709"/>
                <w:jc w:val="both"/>
                <w:rPr>
                  <w:szCs w:val="24"/>
                </w:rPr>
              </w:pPr>
              <w:r>
                <w:rPr>
                  <w:szCs w:val="24"/>
                </w:rPr>
                <w:t>Priėmus šį sprendimą, nebus keičiami ar pripažįstami negaliojančiais teisės aktai.</w:t>
              </w:r>
            </w:p>
          </w:sdtContent>
        </w:sdt>
        <w:sdt>
          <w:sdtPr>
            <w:alias w:val="skirsnis"/>
            <w:tag w:val="part_706a19ce8b514eecaa3aba8239111d04"/>
            <w:lock w:val="sdtLocked"/>
            <w:richText/>
          </w:sdtPr>
          <w:sdtContent>
            <w:p w14:paraId="3F2C1016" w14:textId="77777777">
              <w:pPr>
                <w:ind w:firstLine="709"/>
                <w:jc w:val="both"/>
                <w:rPr>
                  <w:b/>
                  <w:szCs w:val="24"/>
                </w:rPr>
              </w:pPr>
              <w:sdt>
                <w:sdtPr>
                  <w:alias w:val="Pavadinimas"/>
                  <w:tag w:val="title_706a19ce8b514eecaa3aba8239111d04"/>
                  <w:lock w:val="sdtLocked"/>
                  <w:richText/>
                </w:sdtPr>
                <w:sdtContent>
                  <w:r>
                    <w:rPr>
                      <w:b/>
                      <w:szCs w:val="24"/>
                    </w:rPr>
                    <w:t>Sprendimui įgyvendinti reikalingi priimti papildomi teisės aktai.</w:t>
                  </w:r>
                </w:sdtContent>
              </w:sdt>
            </w:p>
            <w:p w14:paraId="3F2C1017" w14:textId="77777777">
              <w:pPr>
                <w:ind w:firstLine="709"/>
                <w:jc w:val="both"/>
                <w:rPr>
                  <w:b/>
                  <w:szCs w:val="24"/>
                </w:rPr>
              </w:pPr>
              <w:r>
                <w:rPr>
                  <w:szCs w:val="24"/>
                </w:rPr>
                <w:t>Sprendimo įgyvendinimui papildomų teisės aktų priimti nereikės.</w:t>
              </w:r>
            </w:p>
            <w:p w14:paraId="3F2C1018" w14:textId="77777777">
              <w:pPr>
                <w:ind w:firstLine="709"/>
                <w:jc w:val="both"/>
                <w:rPr>
                  <w:szCs w:val="24"/>
                  <w:shd w:val="clear" w:color="auto" w:fill="FFFFFF"/>
                </w:rPr>
              </w:pPr>
              <w:r>
                <w:rPr>
                  <w:b/>
                  <w:szCs w:val="24"/>
                  <w:shd w:val="clear" w:color="auto" w:fill="FFFFFF"/>
                </w:rPr>
                <w:t>Sprendimui įgyvendinti reikalingos lėšos</w:t>
              </w:r>
              <w:r>
                <w:rPr>
                  <w:szCs w:val="24"/>
                  <w:shd w:val="clear" w:color="auto" w:fill="FFFFFF"/>
                </w:rPr>
                <w:t xml:space="preserve">. </w:t>
              </w:r>
            </w:p>
            <w:p w14:paraId="3F2C1019" w14:textId="77777777">
              <w:pPr>
                <w:ind w:firstLine="709"/>
                <w:jc w:val="both"/>
                <w:rPr>
                  <w:b/>
                  <w:szCs w:val="24"/>
                </w:rPr>
              </w:pPr>
              <w:r>
                <w:rPr>
                  <w:bCs/>
                  <w:szCs w:val="24"/>
                </w:rPr>
                <w:t xml:space="preserve">Sprendimo įgyvendinimui papildomų lėšų nereikės. </w:t>
              </w:r>
            </w:p>
          </w:sdtContent>
        </w:sdt>
        <w:sdt>
          <w:sdtPr>
            <w:alias w:val="skirsnis"/>
            <w:tag w:val="part_4079f8480c86474f97dcbd92aa3035af"/>
            <w:lock w:val="sdtLocked"/>
            <w:richText/>
          </w:sdtPr>
          <w:sdtContent>
            <w:p w14:paraId="3F2C101A" w14:textId="77777777">
              <w:pPr>
                <w:widowControl w:val="0"/>
                <w:suppressAutoHyphens/>
                <w:ind w:firstLine="709"/>
                <w:jc w:val="both"/>
                <w:rPr>
                  <w:rFonts w:eastAsia="HG Mincho Light J"/>
                  <w:b/>
                  <w:color w:val="000000"/>
                  <w:szCs w:val="24"/>
                  <w:shd w:val="clear" w:color="auto" w:fill="FFFFFF"/>
                  <w:lang w:eastAsia="ar-SA"/>
                </w:rPr>
              </w:pPr>
              <w:sdt>
                <w:sdtPr>
                  <w:alias w:val="Pavadinimas"/>
                  <w:tag w:val="title_4079f8480c86474f97dcbd92aa3035af"/>
                  <w:lock w:val="sdtLocked"/>
                  <w:richText/>
                </w:sdtPr>
                <w:sdtContent>
                  <w:r>
                    <w:rPr>
                      <w:rFonts w:eastAsia="HG Mincho Light J"/>
                      <w:b/>
                      <w:color w:val="000000"/>
                      <w:szCs w:val="24"/>
                      <w:shd w:val="clear" w:color="auto" w:fill="FFFFFF"/>
                      <w:lang w:eastAsia="ar-SA"/>
                    </w:rPr>
                    <w:t>Sprendimo projekto antikorupcinis vertinimas.</w:t>
                  </w:r>
                </w:sdtContent>
              </w:sdt>
            </w:p>
            <w:p w14:paraId="3F2C101B" w14:textId="77777777">
              <w:pPr>
                <w:widowControl w:val="0"/>
                <w:suppressAutoHyphens/>
                <w:ind w:firstLine="709"/>
                <w:jc w:val="both"/>
                <w:rPr>
                  <w:rFonts w:eastAsia="HG Mincho Light J"/>
                  <w:color w:val="000000"/>
                  <w:szCs w:val="24"/>
                  <w:shd w:val="clear" w:color="auto" w:fill="FFFFFF"/>
                  <w:lang w:eastAsia="ar-SA"/>
                </w:rPr>
              </w:pPr>
              <w:r>
                <w:rPr>
                  <w:rFonts w:eastAsia="HG Mincho Light J"/>
                  <w:color w:val="000000"/>
                  <w:szCs w:val="24"/>
                  <w:shd w:val="clear" w:color="auto" w:fill="FFFFFF"/>
                  <w:lang w:eastAsia="ar-SA"/>
                </w:rPr>
                <w:t>Nebuvo atliekamas, nes šis sprendimo projektas nėra susijęs su atvejais, išvardintais Lietuvos Respublikos korupcijos prevencijos įstatymo 8 straipsnio 1 dalyje.</w:t>
              </w:r>
            </w:p>
            <w:p w14:paraId="3F2C101E" w14:textId="209DAA30">
              <w:pPr>
                <w:ind w:firstLine="709"/>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kontrolierė Inga Šimkūnaitė, tel. (8 41) 383410. </w:t>
              </w:r>
            </w:p>
          </w:sdtContent>
        </w:sdt>
        <w:sdt>
          <w:sdtPr>
            <w:alias w:val="skirsnis"/>
            <w:tag w:val="part_bfe7dcd8fd534003998b2b422ed0bdf1"/>
            <w:lock w:val="sdtLocked"/>
            <w:richText/>
          </w:sdtPr>
          <w:sdtContent>
            <w:p w14:paraId="75284690" w14:textId="77777777">
              <w:pPr>
                <w:ind w:firstLine="709"/>
                <w:jc w:val="both"/>
                <w:rPr>
                  <w:b/>
                  <w:bCs/>
                  <w:szCs w:val="24"/>
                  <w:shd w:val="clear" w:color="auto" w:fill="FFFFFF"/>
                </w:rPr>
              </w:pPr>
              <w:sdt>
                <w:sdtPr>
                  <w:alias w:val="Pavadinimas"/>
                  <w:tag w:val="title_bfe7dcd8fd534003998b2b422ed0bdf1"/>
                  <w:lock w:val="sdtLocked"/>
                  <w:richText/>
                </w:sdtPr>
                <w:sdtContent>
                  <w:r>
                    <w:rPr>
                      <w:b/>
                      <w:bCs/>
                      <w:szCs w:val="24"/>
                      <w:shd w:val="clear" w:color="auto" w:fill="FFFFFF"/>
                    </w:rPr>
                    <w:t>Numatomo teisinio reguliavimo poveikio vertinimo rezultatai.</w:t>
                  </w:r>
                </w:sdtContent>
              </w:sdt>
            </w:p>
            <w:p w14:paraId="0510BA7C" w14:textId="539BEABF">
              <w:pPr>
                <w:ind w:firstLine="709"/>
                <w:jc w:val="both"/>
                <w:rPr>
                  <w:szCs w:val="24"/>
                  <w:shd w:val="clear" w:color="auto" w:fill="FFFFFF"/>
                </w:rPr>
              </w:pPr>
              <w:r>
                <w:rPr>
                  <w:szCs w:val="24"/>
                  <w:shd w:val="clear" w:color="auto" w:fill="FFFFFF"/>
                </w:rPr>
                <w:t>Numatomo teisinio reguliavimo poveikio vertinimas neatliekamas, nes sprendimo projektu nėra numatoma reglamentuoti iki tol nereglamentuotus santykius ar iš esmės keisti teisinį reguliavimą.</w:t>
              </w:r>
            </w:p>
            <w:p w14:paraId="3F2C1022" w14:textId="77777777">
              <w:pPr>
                <w:jc w:val="both"/>
                <w:rPr>
                  <w:szCs w:val="24"/>
                </w:rPr>
              </w:pPr>
            </w:p>
            <w:p w14:paraId="5CC28CFC" w14:textId="77777777">
              <w:pPr>
                <w:jc w:val="both"/>
                <w:rPr>
                  <w:szCs w:val="24"/>
                </w:rPr>
              </w:pPr>
            </w:p>
            <w:p w14:paraId="7A1DBCA9" w14:textId="77777777">
              <w:pPr>
                <w:jc w:val="both"/>
                <w:rPr>
                  <w:szCs w:val="24"/>
                </w:rPr>
              </w:pPr>
            </w:p>
          </w:sdtContent>
        </w:sdt>
        <w:sdt>
          <w:sdtPr>
            <w:alias w:val="signatura"/>
            <w:tag w:val="part_82526bfabc584345a67f40fc076ce0bf"/>
            <w:lock w:val="sdtLocked"/>
            <w:richText/>
          </w:sdtPr>
          <w:sdtContent>
            <w:p w14:paraId="3F2C1024" w14:textId="61DB8B97">
              <w:pPr>
                <w:jc w:val="both"/>
                <w:rPr>
                  <w:szCs w:val="24"/>
                </w:rPr>
              </w:pPr>
              <w:r>
                <w:rPr>
                  <w:szCs w:val="24"/>
                </w:rPr>
                <w:t>Savivaldybės kontrolierė</w:t>
                <w:tab/>
                <w:tab/>
                <w:tab/>
                <w:tab/>
                <w:t xml:space="preserve">                          Inga Šimkūnaitė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59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2C1001"/>
  <w15:docId w15:val="{2B75A5D3-090B-4A12-8EF4-B950B30921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5418274">
      <w:bodyDiv w:val="1"/>
      <w:marLeft w:val="0"/>
      <w:marRight w:val="0"/>
      <w:marTop w:val="0"/>
      <w:marBottom w:val="0"/>
      <w:divBdr>
        <w:top w:val="none" w:sz="0" w:space="0" w:color="auto"/>
        <w:left w:val="none" w:sz="0" w:space="0" w:color="auto"/>
        <w:bottom w:val="none" w:sz="0" w:space="0" w:color="auto"/>
        <w:right w:val="none" w:sz="0" w:space="0" w:color="auto"/>
      </w:divBdr>
    </w:div>
    <w:div w:id="792672653">
      <w:bodyDiv w:val="1"/>
      <w:marLeft w:val="0"/>
      <w:marRight w:val="0"/>
      <w:marTop w:val="0"/>
      <w:marBottom w:val="0"/>
      <w:divBdr>
        <w:top w:val="none" w:sz="0" w:space="0" w:color="auto"/>
        <w:left w:val="none" w:sz="0" w:space="0" w:color="auto"/>
        <w:bottom w:val="none" w:sz="0" w:space="0" w:color="auto"/>
        <w:right w:val="none" w:sz="0" w:space="0" w:color="auto"/>
      </w:divBdr>
      <w:divsChild>
        <w:div w:id="27144309">
          <w:marLeft w:val="0"/>
          <w:marRight w:val="0"/>
          <w:marTop w:val="0"/>
          <w:marBottom w:val="0"/>
          <w:divBdr>
            <w:top w:val="none" w:sz="0" w:space="0" w:color="auto"/>
            <w:left w:val="none" w:sz="0" w:space="0" w:color="auto"/>
            <w:bottom w:val="none" w:sz="0" w:space="0" w:color="auto"/>
            <w:right w:val="none" w:sz="0" w:space="0" w:color="auto"/>
          </w:divBdr>
        </w:div>
        <w:div w:id="237598601">
          <w:marLeft w:val="0"/>
          <w:marRight w:val="0"/>
          <w:marTop w:val="0"/>
          <w:marBottom w:val="0"/>
          <w:divBdr>
            <w:top w:val="none" w:sz="0" w:space="0" w:color="auto"/>
            <w:left w:val="none" w:sz="0" w:space="0" w:color="auto"/>
            <w:bottom w:val="none" w:sz="0" w:space="0" w:color="auto"/>
            <w:right w:val="none" w:sz="0" w:space="0" w:color="auto"/>
          </w:divBdr>
        </w:div>
        <w:div w:id="2054112819">
          <w:marLeft w:val="0"/>
          <w:marRight w:val="0"/>
          <w:marTop w:val="0"/>
          <w:marBottom w:val="0"/>
          <w:divBdr>
            <w:top w:val="none" w:sz="0" w:space="0" w:color="auto"/>
            <w:left w:val="none" w:sz="0" w:space="0" w:color="auto"/>
            <w:bottom w:val="none" w:sz="0" w:space="0" w:color="auto"/>
            <w:right w:val="none" w:sz="0" w:space="0" w:color="auto"/>
          </w:divBdr>
        </w:div>
      </w:divsChild>
    </w:div>
    <w:div w:id="1015572550">
      <w:bodyDiv w:val="1"/>
      <w:marLeft w:val="0"/>
      <w:marRight w:val="0"/>
      <w:marTop w:val="0"/>
      <w:marBottom w:val="0"/>
      <w:divBdr>
        <w:top w:val="none" w:sz="0" w:space="0" w:color="auto"/>
        <w:left w:val="none" w:sz="0" w:space="0" w:color="auto"/>
        <w:bottom w:val="none" w:sz="0" w:space="0" w:color="auto"/>
        <w:right w:val="none" w:sz="0" w:space="0" w:color="auto"/>
      </w:divBdr>
      <w:divsChild>
        <w:div w:id="1766345225">
          <w:marLeft w:val="0"/>
          <w:marRight w:val="0"/>
          <w:marTop w:val="0"/>
          <w:marBottom w:val="0"/>
          <w:divBdr>
            <w:top w:val="none" w:sz="0" w:space="0" w:color="auto"/>
            <w:left w:val="none" w:sz="0" w:space="0" w:color="auto"/>
            <w:bottom w:val="none" w:sz="0" w:space="0" w:color="auto"/>
            <w:right w:val="none" w:sz="0" w:space="0" w:color="auto"/>
          </w:divBdr>
        </w:div>
        <w:div w:id="1803648596">
          <w:marLeft w:val="0"/>
          <w:marRight w:val="0"/>
          <w:marTop w:val="0"/>
          <w:marBottom w:val="0"/>
          <w:divBdr>
            <w:top w:val="none" w:sz="0" w:space="0" w:color="auto"/>
            <w:left w:val="none" w:sz="0" w:space="0" w:color="auto"/>
            <w:bottom w:val="none" w:sz="0" w:space="0" w:color="auto"/>
            <w:right w:val="none" w:sz="0" w:space="0" w:color="auto"/>
          </w:divBdr>
        </w:div>
        <w:div w:id="4421939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06b78f0ed64837bb45848df2b9d8ca" PartId="e6a312613d3d4ed7b205ab2dde1735e0">
    <Part Type="preambule" DocPartId="b4678acbc29e4e9b893de913c29d1de9" PartId="d9ddaa08ae094d608e6dd6fa24e5907d"/>
    <Part Type="pastraipa" DocPartId="8874fa49a7e4408f807c9e061b996e8d" PartId="68b393b8660949b3ab7b35d25daaeb4f"/>
    <Part Type="skirsnis" Title="Dabartinis sprendimo projekte aptariamų klausimų reguliavimas." DocPartId="b9110e48403d410488ead02fd08c7e7b" PartId="193441d358ba4f95a19f194ba69bd82f"/>
    <Part Type="skirsnis" Title="Sprendimo projekte numatytos naujos teisinio reglamentavimo nuostatos." DocPartId="c4bacce30b7e422eb3d9e5718674d33b" PartId="f2015e9e38d54ece8c199e072e12d8b5"/>
    <Part Type="skirsnis" Title="Priėmus sprendimą, galimos pasekmės (tiek teigiamos, tiek neigiamos)." DocPartId="2f3ab997ec6949aea47b4bca2ae1df94" PartId="75394b77071f4fde90964d8a0f5cd82b"/>
    <Part Type="skirsnis" Title="Priėmus sprendimą, keičiami ar pripažįstami negaliojančiais teisės aktai." DocPartId="84b9e991323546fe914ca760499ce434" PartId="b2209fad4d4a4ac8bbc3265a74308896"/>
    <Part Type="skirsnis" Title="Sprendimui įgyvendinti reikalingi priimti papildomi teisės aktai." DocPartId="af1fb942e70e4c7da7633530826b74d7" PartId="706a19ce8b514eecaa3aba8239111d04"/>
    <Part Type="skirsnis" Title="Sprendimo projekto antikorupcinis vertinimas." DocPartId="511d9055fded4cde8bce132dbe3a8ee3" PartId="4079f8480c86474f97dcbd92aa3035af"/>
    <Part Type="skirsnis" Title="Numatomo teisinio reguliavimo poveikio vertinimo rezultatai." DocPartId="503a5010c158455d83d022e8ecda3e79" PartId="bfe7dcd8fd534003998b2b422ed0bdf1"/>
    <Part Type="signatura" DocPartId="4216f36f9ef24399b95fe4f6c8ceb1a9" PartId="82526bfabc584345a67f40fc076ce0bf"/>
  </Part>
</Parts>
</file>

<file path=customXml/itemProps1.xml><?xml version="1.0" encoding="utf-8"?>
<ds:datastoreItem xmlns:ds="http://schemas.openxmlformats.org/officeDocument/2006/customXml" ds:itemID="{EAE65D1B-EC21-4E71-A6A3-2EAD85C96B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487</Words>
  <Characters>3579</Characters>
  <Application>Microsoft Office Word</Application>
  <DocSecurity>4</DocSecurity>
  <Lines>67</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2024-03-12T15:08:00Z</dcterms:created>
  <dc:creator>Irena Bilkštienė</dc:creator>
  <lastModifiedBy>adlibuser</lastModifiedBy>
  <lastPrinted>2019-04-09T07:22:00Z</lastPrinted>
  <dcterms:modified xsi:type="dcterms:W3CDTF">2024-03-12T15:08:00Z</dcterms:modified>
  <revision>2</revision>
</coreProperties>
</file>