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9cb7171809c74b5e9c0eb19847dd6e1b"/>
        <w:lock w:val="sdtLocked"/>
        <w:richText/>
      </w:sdtPr>
      <w:sdtContent>
        <w:tbl>
          <w:tblPr>
            <w:tblW w:w="9638" w:type="dxa"/>
            <w:tblInd w:w="55" w:type="dxa"/>
            <w:tblLayout w:type="fixed"/>
            <w:tblCellMar>
              <w:top w:w="55" w:type="dxa"/>
              <w:left w:w="55" w:type="dxa"/>
              <w:bottom w:w="55" w:type="dxa"/>
              <w:right w:w="55" w:type="dxa"/>
            </w:tblCellMar>
            <w:tblLook w:val="04A0" w:firstRow="1" w:lastRow="0" w:firstColumn="1" w:lastColumn="0" w:noHBand="0" w:noVBand="1"/>
          </w:tblPr>
          <w:tblGrid>
            <w:gridCol w:w="5529"/>
            <w:gridCol w:w="141"/>
            <w:gridCol w:w="1270"/>
            <w:gridCol w:w="565"/>
            <w:gridCol w:w="2133"/>
          </w:tblGrid>
          <w:tr>
            <w:tc>
              <w:tcPr>
                <w:tcW w:w="9638" w:type="dxa"/>
                <w:gridSpan w:val="5"/>
                <w:tcBorders>
                  <w:bottom w:val="single" w:sz="4" w:space="0" w:color="000000"/>
                </w:tcBorders>
              </w:tcPr>
              <w:p>
                <w:pPr>
                  <w:widowControl w:val="0"/>
                  <w:suppressLineNumbers/>
                  <w:tabs>
                    <w:tab w:val="center" w:pos="4800"/>
                    <w:tab w:val="right" w:pos="9601"/>
                  </w:tabs>
                  <w:suppressAutoHyphens/>
                  <w:rPr>
                    <w:rFonts w:eastAsia="Andale Sans UI;Times New Roman" w:cs="Tahoma"/>
                    <w:szCs w:val="24"/>
                    <w:lang w:eastAsia="zh-CN" w:bidi="en-US"/>
                  </w:rPr>
                </w:pPr>
              </w:p>
              <w:p>
                <w:pPr>
                  <w:rPr>
                    <w:sz w:val="10"/>
                    <w:szCs w:val="10"/>
                  </w:rPr>
                </w:pPr>
              </w:p>
              <w:p>
                <w:pPr>
                  <w:widowControl w:val="0"/>
                  <w:suppressLineNumbers/>
                  <w:suppressAutoHyphens/>
                  <w:jc w:val="center"/>
                  <w:rPr>
                    <w:rFonts w:eastAsia="Andale Sans UI;Times New Roman" w:cs="Tahoma"/>
                    <w:i/>
                    <w:iCs/>
                    <w:sz w:val="28"/>
                    <w:szCs w:val="28"/>
                    <w:lang w:eastAsia="zh-CN" w:bidi="en-US"/>
                  </w:rPr>
                </w:pPr>
                <w:r>
                  <w:rPr>
                    <w:rFonts w:eastAsia="Andale Sans UI;Times New Roman" w:cs="Tahoma"/>
                    <w:i/>
                    <w:iCs/>
                    <w:sz w:val="20"/>
                    <w:lang w:val="en-US"/>
                  </w:rPr>
                  <w:drawing>
                    <wp:inline distT="0" distB="0" distL="0" distR="0">
                      <wp:extent cx="522605" cy="617855"/>
                      <wp:effectExtent l="0" t="0" r="0" b="0"/>
                      <wp:docPr id="1"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pic:cNvPicPr>
                                <a:picLocks noChangeAspect="1" noChangeArrowheads="1"/>
                              </pic:cNvPicPr>
                            </pic:nvPicPr>
                            <pic:blipFill>
                              <a:blip r:embed="rId6"/>
                              <a:srcRect l="-11" t="-9" r="-11" b="-9"/>
                              <a:stretch>
                                <a:fillRect/>
                              </a:stretch>
                            </pic:blipFill>
                            <pic:spPr bwMode="auto">
                              <a:xfrm>
                                <a:off x="0" y="0"/>
                                <a:ext cx="522605" cy="617855"/>
                              </a:xfrm>
                              <a:prstGeom prst="rect">
                                <a:avLst/>
                              </a:prstGeom>
                            </pic:spPr>
                          </pic:pic>
                        </a:graphicData>
                      </a:graphic>
                    </wp:inline>
                  </w:drawing>
                </w:r>
              </w:p>
              <w:p>
                <w:pPr>
                  <w:rPr>
                    <w:sz w:val="10"/>
                    <w:szCs w:val="10"/>
                  </w:rPr>
                </w:pPr>
              </w:p>
              <w:p>
                <w:pPr>
                  <w:widowControl w:val="0"/>
                  <w:suppressLineNumbers/>
                  <w:suppressAutoHyphens/>
                  <w:jc w:val="center"/>
                  <w:rPr>
                    <w:rFonts w:eastAsia="Andale Sans UI;Times New Roman" w:cs="Tahoma"/>
                    <w:b/>
                    <w:bCs/>
                    <w:spacing w:val="20"/>
                    <w:sz w:val="28"/>
                    <w:szCs w:val="28"/>
                    <w:lang w:eastAsia="zh-CN" w:bidi="en-US"/>
                  </w:rPr>
                </w:pPr>
                <w:r>
                  <w:rPr>
                    <w:rFonts w:eastAsia="Andale Sans UI;Times New Roman" w:cs="Tahoma"/>
                    <w:b/>
                    <w:bCs/>
                    <w:spacing w:val="20"/>
                    <w:sz w:val="28"/>
                    <w:szCs w:val="28"/>
                    <w:lang w:eastAsia="zh-CN" w:bidi="en-US"/>
                  </w:rPr>
                  <w:t>LIETUVOS RESPUBLIKOS APLINKOS MINISTERIJA</w:t>
                </w:r>
              </w:p>
              <w:p>
                <w:pPr>
                  <w:rPr>
                    <w:sz w:val="10"/>
                    <w:szCs w:val="10"/>
                  </w:rPr>
                </w:pPr>
              </w:p>
              <w:p>
                <w:pPr>
                  <w:widowControl w:val="0"/>
                  <w:suppressLineNumbers/>
                  <w:suppressAutoHyphens/>
                  <w:jc w:val="center"/>
                  <w:rPr>
                    <w:rFonts w:eastAsia="Andale Sans UI;Times New Roman" w:cs="Tahoma"/>
                    <w:szCs w:val="24"/>
                    <w:lang w:eastAsia="zh-CN" w:bidi="en-US"/>
                  </w:rPr>
                </w:pPr>
                <w:r>
                  <w:rPr>
                    <w:rFonts w:ascii="Arial" w:eastAsia="Andale Sans UI;Times New Roman" w:hAnsi="Arial" w:cs="Arial"/>
                    <w:b/>
                    <w:bCs/>
                    <w:spacing w:val="12"/>
                    <w:sz w:val="14"/>
                    <w:szCs w:val="14"/>
                    <w:lang w:eastAsia="zh-CN" w:bidi="en-US"/>
                  </w:rPr>
                  <w:t>Biudžetinė įstaiga, A. Jakšto g. 4, LT-01105 Vilnius,</w:t>
                </w:r>
              </w:p>
              <w:p>
                <w:pPr>
                  <w:widowControl w:val="0"/>
                  <w:suppressLineNumbers/>
                  <w:suppressAutoHyphens/>
                  <w:jc w:val="center"/>
                  <w:rPr>
                    <w:rFonts w:ascii="Arial" w:eastAsia="Andale Sans UI;Times New Roman" w:hAnsi="Arial" w:cs="Arial"/>
                    <w:b/>
                    <w:bCs/>
                    <w:spacing w:val="12"/>
                    <w:sz w:val="14"/>
                    <w:szCs w:val="14"/>
                    <w:lang w:eastAsia="zh-CN" w:bidi="en-US"/>
                  </w:rPr>
                </w:pPr>
                <w:r>
                  <w:rPr>
                    <w:rFonts w:ascii="Arial" w:eastAsia="Andale Sans UI;Times New Roman" w:hAnsi="Arial" w:cs="Arial"/>
                    <w:b/>
                    <w:bCs/>
                    <w:spacing w:val="12"/>
                    <w:sz w:val="14"/>
                    <w:szCs w:val="14"/>
                    <w:lang w:eastAsia="zh-CN" w:bidi="en-US"/>
                  </w:rPr>
                  <w:t>tel. (8~5) 266 3661, el. p. info@am.lt, http://www.am.lt.</w:t>
                </w:r>
              </w:p>
              <w:p>
                <w:pPr>
                  <w:widowControl w:val="0"/>
                  <w:suppressLineNumbers/>
                  <w:suppressAutoHyphens/>
                  <w:jc w:val="center"/>
                  <w:rPr>
                    <w:rFonts w:ascii="Arial" w:eastAsia="Andale Sans UI;Times New Roman" w:hAnsi="Arial" w:cs="Arial"/>
                    <w:b/>
                    <w:bCs/>
                    <w:spacing w:val="12"/>
                    <w:sz w:val="14"/>
                    <w:szCs w:val="14"/>
                    <w:lang w:eastAsia="zh-CN" w:bidi="en-US"/>
                  </w:rPr>
                </w:pPr>
                <w:r>
                  <w:rPr>
                    <w:rFonts w:ascii="Arial" w:eastAsia="Andale Sans UI;Times New Roman" w:hAnsi="Arial" w:cs="Arial"/>
                    <w:b/>
                    <w:bCs/>
                    <w:spacing w:val="12"/>
                    <w:sz w:val="14"/>
                    <w:szCs w:val="14"/>
                    <w:lang w:eastAsia="zh-CN" w:bidi="en-US"/>
                  </w:rPr>
                  <w:t>Duomenys kaupiami ir saugomi Juridinių asmenų registre, kodas 188602370</w:t>
                </w:r>
              </w:p>
            </w:tc>
          </w:tr>
          <w:tr>
            <w:tc>
              <w:tcPr>
                <w:tcW w:w="9638" w:type="dxa"/>
                <w:gridSpan w:val="5"/>
                <w:tcMar>
                  <w:top w:w="0" w:type="dxa"/>
                  <w:left w:w="0" w:type="dxa"/>
                  <w:bottom w:w="0" w:type="dxa"/>
                  <w:right w:w="0" w:type="dxa"/>
                </w:tcMar>
              </w:tcPr>
              <w:p>
                <w:pPr>
                  <w:widowControl w:val="0"/>
                  <w:suppressLineNumbers/>
                  <w:suppressAutoHyphens/>
                  <w:snapToGrid w:val="0"/>
                  <w:rPr>
                    <w:rFonts w:ascii="Arial" w:eastAsia="Andale Sans UI;Times New Roman" w:hAnsi="Arial" w:cs="Arial"/>
                    <w:b/>
                    <w:bCs/>
                    <w:spacing w:val="12"/>
                    <w:sz w:val="14"/>
                    <w:szCs w:val="14"/>
                    <w:lang w:eastAsia="zh-CN" w:bidi="en-US"/>
                  </w:rPr>
                </w:pPr>
              </w:p>
            </w:tc>
          </w:tr>
          <w:tr>
            <w:trPr>
              <w:cantSplit/>
              <w:trHeight w:val="340"/>
            </w:trPr>
            <w:tc>
              <w:tcPr>
                <w:tcW w:w="5529" w:type="dxa"/>
                <w:vMerge w:val="restart"/>
                <w:tcMar>
                  <w:top w:w="0" w:type="dxa"/>
                  <w:left w:w="0" w:type="dxa"/>
                  <w:bottom w:w="0" w:type="dxa"/>
                  <w:right w:w="0" w:type="dxa"/>
                </w:tcMar>
              </w:tcPr>
              <w:p>
                <w:pPr>
                  <w:widowControl w:val="0"/>
                  <w:suppressLineNumbers/>
                  <w:suppressAutoHyphens/>
                  <w:rPr>
                    <w:rFonts w:eastAsia="Andale Sans UI;Times New Roman" w:cs="Tahoma"/>
                    <w:szCs w:val="24"/>
                    <w:lang w:eastAsia="zh-CN" w:bidi="en-US"/>
                  </w:rPr>
                </w:pPr>
                <w:r>
                  <w:rPr>
                    <w:rFonts w:eastAsia="Andale Sans UI;Times New Roman" w:cs="Tahoma"/>
                    <w:szCs w:val="24"/>
                    <w:lang w:eastAsia="zh-CN" w:bidi="en-US"/>
                  </w:rPr>
                  <w:t>Adresatams pagal sąrašą</w:t>
                </w:r>
              </w:p>
              <w:p>
                <w:pPr>
                  <w:widowControl w:val="0"/>
                  <w:suppressLineNumbers/>
                  <w:suppressAutoHyphens/>
                  <w:rPr>
                    <w:rFonts w:eastAsia="Andale Sans UI;Times New Roman" w:cs="Tahoma"/>
                    <w:szCs w:val="24"/>
                    <w:lang w:eastAsia="zh-CN" w:bidi="en-US"/>
                  </w:rPr>
                </w:pPr>
              </w:p>
            </w:tc>
            <w:tc>
              <w:tcPr>
                <w:tcW w:w="141" w:type="dxa"/>
                <w:tcMar>
                  <w:top w:w="0" w:type="dxa"/>
                  <w:left w:w="0" w:type="dxa"/>
                  <w:bottom w:w="0" w:type="dxa"/>
                  <w:right w:w="0" w:type="dxa"/>
                </w:tcMar>
              </w:tcPr>
              <w:p>
                <w:pPr>
                  <w:widowControl w:val="0"/>
                  <w:suppressAutoHyphens/>
                  <w:snapToGrid w:val="0"/>
                  <w:ind w:right="67"/>
                  <w:jc w:val="right"/>
                  <w:rPr>
                    <w:rFonts w:eastAsia="Andale Sans UI;Times New Roman" w:cs="Tahoma"/>
                    <w:spacing w:val="10"/>
                    <w:szCs w:val="24"/>
                    <w:lang w:eastAsia="zh-CN" w:bidi="en-US"/>
                  </w:rPr>
                </w:pPr>
              </w:p>
            </w:tc>
            <w:tc>
              <w:tcPr>
                <w:tcW w:w="1270" w:type="dxa"/>
                <w:tcMar>
                  <w:top w:w="0" w:type="dxa"/>
                  <w:left w:w="0" w:type="dxa"/>
                  <w:bottom w:w="0" w:type="dxa"/>
                  <w:right w:w="0" w:type="dxa"/>
                </w:tcMar>
              </w:tcPr>
              <w:p>
                <w:pPr>
                  <w:widowControl w:val="0"/>
                  <w:suppressLineNumbers/>
                  <w:suppressAutoHyphens/>
                  <w:snapToGrid w:val="0"/>
                  <w:ind w:right="67"/>
                  <w:rPr>
                    <w:rFonts w:eastAsia="Andale Sans UI;Times New Roman" w:cs="Tahoma"/>
                    <w:spacing w:val="10"/>
                    <w:szCs w:val="24"/>
                    <w:lang w:eastAsia="zh-CN" w:bidi="en-US"/>
                  </w:rPr>
                </w:pPr>
              </w:p>
            </w:tc>
            <w:tc>
              <w:tcPr>
                <w:tcW w:w="565" w:type="dxa"/>
              </w:tcPr>
              <w:p>
                <w:pPr>
                  <w:widowControl w:val="0"/>
                  <w:suppressAutoHyphens/>
                  <w:ind w:right="67"/>
                  <w:jc w:val="right"/>
                  <w:rPr>
                    <w:rFonts w:eastAsia="Andale Sans UI;Times New Roman" w:cs="Tahoma"/>
                    <w:spacing w:val="10"/>
                    <w:szCs w:val="24"/>
                    <w:lang w:eastAsia="zh-CN" w:bidi="en-US"/>
                  </w:rPr>
                </w:pPr>
                <w:r>
                  <w:rPr>
                    <w:rFonts w:eastAsia="Andale Sans UI;Times New Roman" w:cs="Tahoma"/>
                    <w:spacing w:val="10"/>
                    <w:szCs w:val="24"/>
                    <w:lang w:eastAsia="zh-CN" w:bidi="en-US"/>
                  </w:rPr>
                  <w:t>Nr.</w:t>
                </w:r>
              </w:p>
            </w:tc>
            <w:tc>
              <w:tcPr>
                <w:tcW w:w="2133" w:type="dxa"/>
              </w:tcPr>
              <w:p>
                <w:pPr>
                  <w:widowControl w:val="0"/>
                  <w:suppressLineNumbers/>
                  <w:suppressAutoHyphens/>
                  <w:snapToGrid w:val="0"/>
                  <w:ind w:right="67"/>
                  <w:rPr>
                    <w:rFonts w:eastAsia="Andale Sans UI;Times New Roman" w:cs="Tahoma"/>
                    <w:spacing w:val="10"/>
                    <w:szCs w:val="24"/>
                    <w:lang w:eastAsia="zh-CN" w:bidi="en-US"/>
                  </w:rPr>
                </w:pPr>
              </w:p>
            </w:tc>
          </w:tr>
          <w:tr>
            <w:trPr>
              <w:cantSplit/>
              <w:trHeight w:val="340"/>
            </w:trPr>
            <w:tc>
              <w:tcPr>
                <w:tcW w:w="5529" w:type="dxa"/>
                <w:vMerge/>
                <w:tcMar>
                  <w:top w:w="0" w:type="dxa"/>
                  <w:left w:w="0" w:type="dxa"/>
                  <w:bottom w:w="0" w:type="dxa"/>
                  <w:right w:w="0" w:type="dxa"/>
                </w:tcMar>
              </w:tcPr>
              <w:p>
                <w:pPr>
                  <w:widowControl w:val="0"/>
                  <w:suppressAutoHyphens/>
                  <w:snapToGrid w:val="0"/>
                  <w:rPr>
                    <w:rFonts w:eastAsia="Andale Sans UI;Times New Roman" w:cs="Tahoma"/>
                    <w:szCs w:val="24"/>
                    <w:lang w:eastAsia="zh-CN" w:bidi="en-US"/>
                  </w:rPr>
                </w:pPr>
              </w:p>
            </w:tc>
            <w:tc>
              <w:tcPr>
                <w:tcW w:w="141" w:type="dxa"/>
                <w:tcMar>
                  <w:top w:w="0" w:type="dxa"/>
                  <w:left w:w="0" w:type="dxa"/>
                  <w:bottom w:w="0" w:type="dxa"/>
                  <w:right w:w="0" w:type="dxa"/>
                </w:tcMar>
              </w:tcPr>
              <w:p>
                <w:pPr>
                  <w:widowControl w:val="0"/>
                  <w:tabs>
                    <w:tab w:val="left" w:pos="2869"/>
                  </w:tabs>
                  <w:suppressAutoHyphens/>
                  <w:ind w:right="67"/>
                  <w:jc w:val="right"/>
                  <w:rPr>
                    <w:rFonts w:eastAsia="Andale Sans UI;Times New Roman" w:cs="Tahoma"/>
                    <w:spacing w:val="10"/>
                    <w:szCs w:val="24"/>
                    <w:lang w:eastAsia="zh-CN" w:bidi="en-US"/>
                  </w:rPr>
                </w:pPr>
                <w:r>
                  <w:rPr>
                    <w:rFonts w:eastAsia="Andale Sans UI;Times New Roman" w:cs="Tahoma"/>
                    <w:spacing w:val="10"/>
                    <w:szCs w:val="24"/>
                    <w:lang w:eastAsia="zh-CN" w:bidi="en-US"/>
                  </w:rPr>
                  <w:t>Į</w:t>
                </w:r>
              </w:p>
            </w:tc>
            <w:tc>
              <w:tcPr>
                <w:tcW w:w="1270" w:type="dxa"/>
                <w:tcMar>
                  <w:top w:w="0" w:type="dxa"/>
                  <w:left w:w="0" w:type="dxa"/>
                  <w:bottom w:w="0" w:type="dxa"/>
                  <w:right w:w="0" w:type="dxa"/>
                </w:tcMar>
              </w:tcPr>
              <w:p>
                <w:pPr>
                  <w:widowControl w:val="0"/>
                  <w:suppressLineNumbers/>
                  <w:suppressAutoHyphens/>
                  <w:snapToGrid w:val="0"/>
                  <w:ind w:right="67"/>
                  <w:rPr>
                    <w:rFonts w:eastAsia="Andale Sans UI;Times New Roman" w:cs="Tahoma"/>
                    <w:spacing w:val="10"/>
                    <w:szCs w:val="24"/>
                    <w:lang w:eastAsia="zh-CN" w:bidi="en-US"/>
                  </w:rPr>
                </w:pPr>
              </w:p>
            </w:tc>
            <w:tc>
              <w:tcPr>
                <w:tcW w:w="565" w:type="dxa"/>
              </w:tcPr>
              <w:p>
                <w:pPr>
                  <w:widowControl w:val="0"/>
                  <w:tabs>
                    <w:tab w:val="left" w:pos="2869"/>
                  </w:tabs>
                  <w:suppressAutoHyphens/>
                  <w:ind w:right="67"/>
                  <w:jc w:val="right"/>
                  <w:rPr>
                    <w:rFonts w:eastAsia="Andale Sans UI;Times New Roman" w:cs="Tahoma"/>
                    <w:spacing w:val="10"/>
                    <w:szCs w:val="24"/>
                    <w:lang w:eastAsia="zh-CN" w:bidi="en-US"/>
                  </w:rPr>
                </w:pPr>
                <w:r>
                  <w:rPr>
                    <w:rFonts w:eastAsia="Andale Sans UI;Times New Roman" w:cs="Tahoma"/>
                    <w:spacing w:val="10"/>
                    <w:szCs w:val="24"/>
                    <w:lang w:eastAsia="zh-CN" w:bidi="en-US"/>
                  </w:rPr>
                  <w:t>Nr.</w:t>
                </w:r>
              </w:p>
            </w:tc>
            <w:tc>
              <w:tcPr>
                <w:tcW w:w="2133" w:type="dxa"/>
              </w:tcPr>
              <w:p>
                <w:pPr>
                  <w:widowControl w:val="0"/>
                  <w:suppressLineNumbers/>
                  <w:suppressAutoHyphens/>
                  <w:snapToGrid w:val="0"/>
                  <w:ind w:right="67"/>
                  <w:rPr>
                    <w:rFonts w:eastAsia="Andale Sans UI;Times New Roman" w:cs="Tahoma"/>
                    <w:spacing w:val="10"/>
                    <w:szCs w:val="24"/>
                    <w:lang w:eastAsia="zh-CN" w:bidi="en-US"/>
                  </w:rPr>
                </w:pPr>
              </w:p>
            </w:tc>
          </w:tr>
          <w:tr>
            <w:trPr>
              <w:cantSplit/>
            </w:trPr>
            <w:tc>
              <w:tcPr>
                <w:tcW w:w="5529" w:type="dxa"/>
                <w:vMerge/>
                <w:tcMar>
                  <w:top w:w="0" w:type="dxa"/>
                  <w:left w:w="0" w:type="dxa"/>
                  <w:bottom w:w="0" w:type="dxa"/>
                  <w:right w:w="0" w:type="dxa"/>
                </w:tcMar>
              </w:tcPr>
              <w:p>
                <w:pPr>
                  <w:widowControl w:val="0"/>
                  <w:suppressAutoHyphens/>
                  <w:snapToGrid w:val="0"/>
                  <w:rPr>
                    <w:rFonts w:eastAsia="Andale Sans UI;Times New Roman" w:cs="Tahoma"/>
                    <w:szCs w:val="24"/>
                    <w:lang w:eastAsia="zh-CN" w:bidi="en-US"/>
                  </w:rPr>
                </w:pPr>
              </w:p>
            </w:tc>
            <w:tc>
              <w:tcPr>
                <w:tcW w:w="4109" w:type="dxa"/>
                <w:gridSpan w:val="4"/>
                <w:tcMar>
                  <w:top w:w="0" w:type="dxa"/>
                  <w:left w:w="0" w:type="dxa"/>
                  <w:bottom w:w="0" w:type="dxa"/>
                  <w:right w:w="0" w:type="dxa"/>
                </w:tcMar>
              </w:tcPr>
              <w:p>
                <w:pPr>
                  <w:widowControl w:val="0"/>
                  <w:tabs>
                    <w:tab w:val="left" w:pos="2869"/>
                  </w:tabs>
                  <w:suppressAutoHyphens/>
                  <w:snapToGrid w:val="0"/>
                  <w:ind w:right="67"/>
                  <w:rPr>
                    <w:rFonts w:eastAsia="Andale Sans UI;Times New Roman" w:cs="Tahoma"/>
                    <w:spacing w:val="10"/>
                    <w:szCs w:val="24"/>
                    <w:lang w:eastAsia="zh-CN" w:bidi="en-US"/>
                  </w:rPr>
                </w:pPr>
              </w:p>
            </w:tc>
          </w:tr>
          <w:tr>
            <w:trPr>
              <w:trHeight w:val="340"/>
            </w:trPr>
            <w:tc>
              <w:tcPr>
                <w:tcW w:w="9638" w:type="dxa"/>
                <w:gridSpan w:val="5"/>
                <w:tcMar>
                  <w:top w:w="0" w:type="dxa"/>
                  <w:left w:w="0" w:type="dxa"/>
                  <w:bottom w:w="0" w:type="dxa"/>
                  <w:right w:w="0" w:type="dxa"/>
                </w:tcMar>
              </w:tcPr>
              <w:p>
                <w:pPr>
                  <w:widowControl w:val="0"/>
                  <w:suppressLineNumbers/>
                  <w:suppressAutoHyphens/>
                  <w:jc w:val="both"/>
                  <w:rPr>
                    <w:rFonts w:eastAsia="Andale Sans UI;Times New Roman" w:cs="Tahoma"/>
                    <w:b/>
                    <w:bCs/>
                    <w:szCs w:val="24"/>
                    <w:lang w:eastAsia="zh-CN" w:bidi="en-US"/>
                  </w:rPr>
                </w:pPr>
                <w:r>
                  <w:rPr>
                    <w:rFonts w:eastAsia="Andale Sans UI;Times New Roman" w:cs="Tahoma"/>
                    <w:b/>
                    <w:bCs/>
                    <w:caps/>
                    <w:szCs w:val="24"/>
                    <w:lang w:eastAsia="zh-CN" w:bidi="en-US"/>
                  </w:rPr>
                  <w:t>dėl VYRIAUSYBĖS NUTARIMŲ projektŲ DERINIMO</w:t>
                </w:r>
              </w:p>
            </w:tc>
          </w:tr>
        </w:tbl>
        <w:p>
          <w:pPr>
            <w:widowControl w:val="0"/>
            <w:suppressAutoHyphens/>
            <w:spacing w:line="360" w:lineRule="auto"/>
            <w:ind w:firstLine="567"/>
            <w:jc w:val="both"/>
            <w:rPr>
              <w:rFonts w:eastAsia="Andale Sans UI;Times New Roman" w:cs="Tahoma"/>
              <w:szCs w:val="24"/>
              <w:lang w:eastAsia="zh-CN" w:bidi="en-US"/>
            </w:rPr>
          </w:pPr>
        </w:p>
      </w:sdtContent>
    </w:sdt>
    <w:sdt>
      <w:sdtPr>
        <w:alias w:val="pastraipa"/>
        <w:tag w:val="part_781c193bdcc14ac2b1abf499185bb099"/>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 xml:space="preserve">Aplinkos ministerija teikia išvadoms gauti Lietuvos Respublikos Vyriausybės 2007 m. sausio 31 d. nutarimo Nr. 127 „Dėl Atsiskaitymo už patiektą geriamąjį vandenį ir suteiktas nuotekų tvarkymo paslaugas tvarkos aprašo patvirtinimo“ pakeitimo (toliau – Projektas Nr. 1) ir Lietuvos Respublikos Vyriausybės 2007 m. sausio 31 d. nutarimo Nr. 126 „Dėl Geriamojo vandens tiekimo ir (arba) nuotekų tvarkymo viešosios sutarties standartinių sąlygų aprašo patvirtinimo“ pakeitimo projektą (toliau – Projektas Nr. 2) (toliau kartu  – Projektai).</w:t>
          </w:r>
        </w:p>
      </w:sdtContent>
    </w:sdt>
    <w:sdt>
      <w:sdtPr>
        <w:alias w:val="pastraipa"/>
        <w:tag w:val="part_3e2b897674414cd981c926abcd8708fa"/>
        <w:lock w:val="sdtLocked"/>
        <w:richText/>
      </w:sdtPr>
      <w:sdtContent>
        <w:p>
          <w:pPr>
            <w:widowControl w:val="0"/>
            <w:suppressAutoHyphens/>
            <w:ind w:firstLine="567"/>
            <w:jc w:val="both"/>
            <w:rPr>
              <w:rFonts w:eastAsia="Andale Sans UI;Times New Roman" w:cs="Tahoma"/>
              <w:i/>
              <w:szCs w:val="24"/>
              <w:lang w:eastAsia="zh-CN" w:bidi="en-US"/>
            </w:rPr>
          </w:pPr>
          <w:r>
            <w:rPr>
              <w:rFonts w:eastAsia="Andale Sans UI;Times New Roman" w:cs="Tahoma"/>
              <w:i/>
              <w:szCs w:val="24"/>
              <w:lang w:eastAsia="zh-CN" w:bidi="en-US"/>
            </w:rPr>
            <w:t>Projektų tikslas</w:t>
          </w:r>
        </w:p>
      </w:sdtContent>
    </w:sdt>
    <w:sdt>
      <w:sdtPr>
        <w:alias w:val="pastraipa"/>
        <w:tag w:val="part_d5164338cb394e22aeaa6f2b1ab0ff18"/>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 xml:space="preserve">Suvienodinti nuostatas su Lietuvos Respublikos geriamojo vandens tiekimo ir nuotekų tvarkymo įstatymo Nr. X-764 pakeitimo įstatymo Nr. XIV-1466 (toliau – Įstatymas)  nuostatomis. </w:t>
          </w:r>
        </w:p>
      </w:sdtContent>
    </w:sdt>
    <w:sdt>
      <w:sdtPr>
        <w:alias w:val="pastraipa"/>
        <w:tag w:val="part_f6178e478a274f4a83f215692b89680b"/>
        <w:lock w:val="sdtLocked"/>
        <w:richText/>
      </w:sdtPr>
      <w:sdtContent>
        <w:p>
          <w:pPr>
            <w:widowControl w:val="0"/>
            <w:suppressAutoHyphens/>
            <w:ind w:firstLine="567"/>
            <w:jc w:val="both"/>
            <w:rPr>
              <w:rFonts w:eastAsia="Andale Sans UI;Times New Roman" w:cs="Tahoma"/>
              <w:i/>
              <w:szCs w:val="24"/>
              <w:lang w:eastAsia="zh-CN" w:bidi="en-US"/>
            </w:rPr>
          </w:pPr>
          <w:r>
            <w:rPr>
              <w:rFonts w:eastAsia="Andale Sans UI;Times New Roman" w:cs="Tahoma"/>
              <w:i/>
              <w:szCs w:val="24"/>
              <w:lang w:eastAsia="zh-CN" w:bidi="en-US"/>
            </w:rPr>
            <w:t>Problema ir poreikio keisti reguliavimą šaltinis</w:t>
          </w:r>
        </w:p>
      </w:sdtContent>
    </w:sdt>
    <w:sdt>
      <w:sdtPr>
        <w:alias w:val="pastraipa"/>
        <w:tag w:val="part_a8a0efc47f914b57ba50db5bd891cd9a"/>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color w:val="000000"/>
              <w:szCs w:val="24"/>
              <w:lang w:eastAsia="zh-CN" w:bidi="en-US"/>
            </w:rPr>
            <w:t>Projektai parengti vadovaujantis Įstatymo 2 straipsnio 1 dalies nuostatomis</w:t>
          </w:r>
          <w:r>
            <w:rPr>
              <w:rFonts w:eastAsia="Andale Sans UI;Times New Roman" w:cs="Tahoma"/>
              <w:color w:val="000000"/>
              <w:szCs w:val="24"/>
              <w:vertAlign w:val="superscript"/>
              <w:lang w:eastAsia="zh-CN" w:bidi="en-US"/>
            </w:rPr>
            <w:footnoteReference w:id="1"/>
          </w:r>
          <w:r>
            <w:rPr>
              <w:rFonts w:eastAsia="Andale Sans UI;Times New Roman" w:cs="Tahoma"/>
              <w:color w:val="000000"/>
              <w:szCs w:val="24"/>
              <w:lang w:eastAsia="zh-CN" w:bidi="en-US"/>
            </w:rPr>
            <w:t xml:space="preserve"> ir atsižvelgus į vandentvarkos įmonių pastabas ir pasiūlymus.</w:t>
          </w:r>
        </w:p>
      </w:sdtContent>
    </w:sdt>
    <w:sdt>
      <w:sdtPr>
        <w:alias w:val="pastraipa"/>
        <w:tag w:val="part_26cb648a41ae4045a576ccaa2f226d3c"/>
        <w:lock w:val="sdtLocked"/>
        <w:richText/>
      </w:sdtPr>
      <w:sdtContent>
        <w:p>
          <w:pPr>
            <w:widowControl w:val="0"/>
            <w:suppressAutoHyphens/>
            <w:ind w:firstLine="567"/>
            <w:jc w:val="both"/>
            <w:rPr>
              <w:rFonts w:eastAsia="Andale Sans UI;Times New Roman" w:cs="Tahoma"/>
              <w:i/>
              <w:szCs w:val="24"/>
              <w:lang w:eastAsia="en-GB" w:bidi="en-US"/>
            </w:rPr>
          </w:pPr>
          <w:r>
            <w:rPr>
              <w:rFonts w:eastAsia="Andale Sans UI;Times New Roman" w:cs="Tahoma"/>
              <w:i/>
              <w:szCs w:val="24"/>
              <w:lang w:eastAsia="zh-CN" w:bidi="en-US"/>
            </w:rPr>
            <w:t>Sprendimo priemonės, į</w:t>
          </w:r>
          <w:r>
            <w:rPr>
              <w:rFonts w:eastAsia="Andale Sans UI;Times New Roman" w:cs="Tahoma"/>
              <w:i/>
              <w:szCs w:val="24"/>
              <w:lang w:eastAsia="en-GB" w:bidi="en-US"/>
            </w:rPr>
            <w:t>gyvendinimo kaštai, n</w:t>
          </w:r>
          <w:r>
            <w:rPr>
              <w:rFonts w:eastAsia="Andale Sans UI;Times New Roman" w:cs="Tahoma"/>
              <w:bCs/>
              <w:i/>
              <w:szCs w:val="24"/>
              <w:lang w:eastAsia="zh-CN" w:bidi="en-US"/>
            </w:rPr>
            <w:t>auda</w:t>
          </w:r>
          <w:r>
            <w:rPr>
              <w:rFonts w:eastAsia="Andale Sans UI;Times New Roman" w:cs="Tahoma"/>
              <w:szCs w:val="24"/>
              <w:lang w:eastAsia="zh-CN" w:bidi="en-US"/>
            </w:rPr>
            <w:t xml:space="preserve">, </w:t>
          </w:r>
          <w:r>
            <w:rPr>
              <w:rFonts w:eastAsia="Andale Sans UI;Times New Roman" w:cs="Tahoma"/>
              <w:bCs/>
              <w:i/>
              <w:szCs w:val="24"/>
              <w:lang w:eastAsia="zh-CN" w:bidi="en-US"/>
            </w:rPr>
            <w:t>juos patirsiantys subjektai bei asmenų grupės, rezultatas, kurio tikimasi</w:t>
          </w:r>
        </w:p>
      </w:sdtContent>
    </w:sdt>
    <w:sdt>
      <w:sdtPr>
        <w:alias w:val="pastraipa"/>
        <w:tag w:val="part_a7cb58a2b5374075a76c0d3f22149065"/>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 xml:space="preserve">Atsižvelgiant į tai, kad Projektuose keičiama daugiau kaip pusė jo punktų, jie dėstomi nauja redakcija. Projektuose atlikti teisės aktų projektams taikomi teisinės technikos patikslinimai (pakeistas Valstybinės energetikos reguliavimo tarybos pavadinimas), patikslinta, kad Projektų nuostatos taikomos ne tik geriamojo vandens tiekėjui ir nuotekų tvarkytojui, bet ir viešajam geriamojo vandens tiekėjui ir nuotekų tvarkytojui, regioniniam viešajam geriamojo vandens tiekėjui ir nuotekų tvarkytojui, garantiniam geriamojo vandens tiekėjui ir nuotekų tvarkytojui (toliau –  geriamojo vandens tiekėjas). Projektai papildyti nuostatomis apie individualių nuotekų turėtojus. Pažymėtina, kad vadovaujantis Įstatymo 23 straipsnio 2 dalies 5 punkto nuostatomis, individualiųjų nuotekų turėtojas sudaro sutartį su geriamojo vandens tiekėju, garantiniu vandens tiekėju arba su nuotekų transportavimo paslaugas teikiančiu asmeniu dėl nuotekų ir (arba) nuotekų valymo metu susidarančių atliekų (dumblo) transportavimo į geriamojo vandens tiekėjo, garantinio vandens tiekėjo valdomus nuotekų valymo įrenginius. Iki šiol Projekte Nr. 2 buvo numatyta, kad sutartis dėl nuotekų transportavimo gali būti sudaroma tik su abonentu arba vartotoju, kurie turi geriamojo vandens naudojimo įrenginius ir techninius reikalavimus atitinkančias geriamajam vandeniui tiekti reikalingas komunikacijas ir (arba) nuotekų šalinimo įrenginius, </w:t>
          </w:r>
          <w:r>
            <w:rPr>
              <w:rFonts w:eastAsia="Andale Sans UI;Times New Roman" w:cs="Tahoma"/>
              <w:i/>
              <w:szCs w:val="24"/>
              <w:lang w:eastAsia="zh-CN" w:bidi="en-US"/>
            </w:rPr>
            <w:t xml:space="preserve">teisės aktų nustatyta tvarka prijungtus </w:t>
          </w:r>
          <w:r>
            <w:rPr>
              <w:rFonts w:eastAsia="Andale Sans UI;Times New Roman" w:cs="Tahoma"/>
              <w:szCs w:val="24"/>
              <w:lang w:eastAsia="zh-CN" w:bidi="en-US"/>
            </w:rPr>
            <w:t>prie geriamojo vandens tiekėjo nuosavybės teise priklausančios ar kitaip valdomos ir (arba) naudojamos geriamojo vandens tiekimo ir (arba) nuotekų tvarkymo infrastruktūros.</w:t>
          </w:r>
        </w:p>
      </w:sdtContent>
    </w:sdt>
    <w:sdt>
      <w:sdtPr>
        <w:alias w:val="pastraipa"/>
        <w:tag w:val="part_1d3ab786a1e44e87944229d814b93288"/>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 xml:space="preserve">Atsisakyta perteklinių nuostatų, kurios nustatytos Įstatyme arba kituose geriamojo vandens tiekimą ir nuotekų tvarkymą reglamentuojančiuose teisės aktuose. Projekte Nr. 1 atsakyta nuostatų dėl suvartoto geriamojo vandens apskaičiavimo tvarkos, jeigu dėl techninių priežasčių nėra galimybės įrengti geriamojo vandens apskaitos prietaisų, nes Įstatymo 35 straipsnio 7 dalies nuostatos numato šią tvarką reglamentuoti Vyriausybės tvirtinamame viešosios sutarties standartinių sąlygų apraše. </w:t>
          </w:r>
        </w:p>
      </w:sdtContent>
    </w:sdt>
    <w:sdt>
      <w:sdtPr>
        <w:alias w:val="pastraipa"/>
        <w:tag w:val="part_c8b6abcf2edd428dae554ecd76bc34f6"/>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 xml:space="preserve">Ne visos paviršinių  nuotekų surinkimo infrastruktūros turi paviršinių nuotekų valymo įrenginius, todėl siūloma papildyti Projektą Nr. 1 konkrečiomis paviršinių nuotekų užterštumo koncentracijomis, kurias viršijus abonentams skaičiuojama papildoma kaina už paviršinių nuotekų valymą, kai paviršinės nuotekos išleidžiamos į paviršinių nuotekų surinkimo infrastruktūrą, neturinčią paviršinių nuotekų valymo įrenginių.</w:t>
          </w:r>
        </w:p>
      </w:sdtContent>
    </w:sdt>
    <w:sdt>
      <w:sdtPr>
        <w:alias w:val="pastraipa"/>
        <w:tag w:val="part_38bef624e0754dc4954cdcff7f4f0ad9"/>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 xml:space="preserve">Projekte Nr. 2 atsisakyta perteklinių nuostatų dėl geriamojo vandens tiekėjo, paviršinių nuotekų tvarkytojų, abonentų ir vartotojų pareigų reglamentavimo, kurios nustatytos Įstatyme (20 ir 22 straipsniuose), ir dėl informacijos skelbimo apie geriamojo vandens tiekimo ir (arba) nuotekų tvarkymo, paviršinių nuotekų tvarkymo infrastruktūros planinio remonto ir (ar) naujų infrastruktūros objektų prijungimą, nes išsami informavimo tvarka nustatyta aplinkos ministro tvirtinamose </w:t>
          </w:r>
          <w:r>
            <w:rPr>
              <w:rFonts w:eastAsia="Andale Sans UI;Times New Roman" w:cs="Tahoma"/>
              <w:color w:val="000000"/>
              <w:szCs w:val="24"/>
              <w:lang w:eastAsia="lt-LT" w:bidi="en-US"/>
            </w:rPr>
            <w:t>geriamojo vandens tiekimo ir nuotekų tvarkymo paslaugų kokybės reikalavimuose</w:t>
          </w:r>
          <w:r>
            <w:rPr>
              <w:rFonts w:eastAsia="Andale Sans UI;Times New Roman" w:cs="Tahoma"/>
              <w:szCs w:val="24"/>
              <w:lang w:eastAsia="zh-CN" w:bidi="en-US"/>
            </w:rPr>
            <w:t>.</w:t>
          </w:r>
        </w:p>
      </w:sdtContent>
    </w:sdt>
    <w:sdt>
      <w:sdtPr>
        <w:alias w:val="pastraipa"/>
        <w:tag w:val="part_6b11ff6be6304c1381a3fcc20dd9e4d9"/>
        <w:lock w:val="sdtLocked"/>
        <w:richText/>
      </w:sdtPr>
      <w:sdtContent>
        <w:p>
          <w:pPr>
            <w:widowControl w:val="0"/>
            <w:tabs>
              <w:tab w:val="left" w:pos="567"/>
            </w:tabs>
            <w:ind w:right="-2" w:firstLine="629"/>
            <w:jc w:val="both"/>
            <w:rPr>
              <w:szCs w:val="22"/>
              <w:lang w:eastAsia="zh-CN"/>
            </w:rPr>
          </w:pPr>
          <w:r>
            <w:rPr>
              <w:szCs w:val="22"/>
              <w:lang w:eastAsia="zh-CN"/>
            </w:rPr>
            <w:t>Atsižvelgiant į Lietuvos</w:t>
          </w:r>
          <w:r>
            <w:rPr>
              <w:spacing w:val="-57"/>
              <w:szCs w:val="22"/>
              <w:lang w:eastAsia="zh-CN"/>
            </w:rPr>
            <w:t xml:space="preserve"> </w:t>
          </w:r>
          <w:r>
            <w:rPr>
              <w:szCs w:val="22"/>
              <w:lang w:eastAsia="zh-CN"/>
            </w:rPr>
            <w:t>Aukščiausiojo</w:t>
          </w:r>
          <w:r>
            <w:rPr>
              <w:spacing w:val="10"/>
              <w:szCs w:val="22"/>
              <w:lang w:eastAsia="zh-CN"/>
            </w:rPr>
            <w:t xml:space="preserve"> </w:t>
          </w:r>
          <w:r>
            <w:rPr>
              <w:szCs w:val="22"/>
              <w:lang w:eastAsia="zh-CN"/>
            </w:rPr>
            <w:t>Teismo</w:t>
          </w:r>
          <w:r>
            <w:rPr>
              <w:spacing w:val="11"/>
              <w:szCs w:val="22"/>
              <w:lang w:eastAsia="zh-CN"/>
            </w:rPr>
            <w:t xml:space="preserve"> </w:t>
          </w:r>
          <w:r>
            <w:rPr>
              <w:szCs w:val="22"/>
              <w:lang w:eastAsia="zh-CN"/>
            </w:rPr>
            <w:t>suformuluotą</w:t>
          </w:r>
          <w:r>
            <w:rPr>
              <w:spacing w:val="10"/>
              <w:szCs w:val="22"/>
              <w:lang w:eastAsia="zh-CN"/>
            </w:rPr>
            <w:t xml:space="preserve"> </w:t>
          </w:r>
          <w:r>
            <w:rPr>
              <w:szCs w:val="22"/>
              <w:lang w:eastAsia="zh-CN"/>
            </w:rPr>
            <w:t>teisės</w:t>
          </w:r>
          <w:r>
            <w:rPr>
              <w:spacing w:val="9"/>
              <w:szCs w:val="22"/>
              <w:lang w:eastAsia="zh-CN"/>
            </w:rPr>
            <w:t xml:space="preserve"> </w:t>
          </w:r>
          <w:r>
            <w:rPr>
              <w:szCs w:val="22"/>
              <w:lang w:eastAsia="zh-CN"/>
            </w:rPr>
            <w:t>aiškinimo</w:t>
          </w:r>
          <w:r>
            <w:rPr>
              <w:spacing w:val="10"/>
              <w:szCs w:val="22"/>
              <w:lang w:eastAsia="zh-CN"/>
            </w:rPr>
            <w:t xml:space="preserve"> </w:t>
          </w:r>
          <w:r>
            <w:rPr>
              <w:szCs w:val="22"/>
              <w:lang w:eastAsia="zh-CN"/>
            </w:rPr>
            <w:t>ir</w:t>
          </w:r>
          <w:r>
            <w:rPr>
              <w:spacing w:val="10"/>
              <w:szCs w:val="22"/>
              <w:lang w:eastAsia="zh-CN"/>
            </w:rPr>
            <w:t xml:space="preserve"> </w:t>
          </w:r>
          <w:r>
            <w:rPr>
              <w:szCs w:val="22"/>
              <w:lang w:eastAsia="zh-CN"/>
            </w:rPr>
            <w:t>taikymo</w:t>
          </w:r>
          <w:r>
            <w:rPr>
              <w:spacing w:val="11"/>
              <w:szCs w:val="22"/>
              <w:lang w:eastAsia="zh-CN"/>
            </w:rPr>
            <w:t xml:space="preserve"> </w:t>
          </w:r>
          <w:r>
            <w:rPr>
              <w:szCs w:val="22"/>
              <w:lang w:eastAsia="zh-CN"/>
            </w:rPr>
            <w:t>taisyklę,</w:t>
          </w:r>
          <w:r>
            <w:rPr>
              <w:spacing w:val="9"/>
              <w:szCs w:val="22"/>
              <w:lang w:eastAsia="zh-CN"/>
            </w:rPr>
            <w:t xml:space="preserve"> </w:t>
          </w:r>
          <w:r>
            <w:rPr>
              <w:szCs w:val="22"/>
              <w:lang w:eastAsia="zh-CN"/>
            </w:rPr>
            <w:t>nustatančią,</w:t>
          </w:r>
          <w:r>
            <w:rPr>
              <w:spacing w:val="10"/>
              <w:szCs w:val="22"/>
              <w:lang w:eastAsia="zh-CN"/>
            </w:rPr>
            <w:t xml:space="preserve"> </w:t>
          </w:r>
          <w:r>
            <w:rPr>
              <w:szCs w:val="22"/>
              <w:lang w:eastAsia="zh-CN"/>
            </w:rPr>
            <w:t>kad</w:t>
          </w:r>
          <w:r>
            <w:rPr>
              <w:spacing w:val="10"/>
              <w:szCs w:val="22"/>
              <w:lang w:eastAsia="zh-CN"/>
            </w:rPr>
            <w:t xml:space="preserve"> </w:t>
          </w:r>
          <w:r>
            <w:rPr>
              <w:szCs w:val="22"/>
              <w:lang w:eastAsia="zh-CN"/>
            </w:rPr>
            <w:t>Lietuvos Respublikos civilinio kodekso 6.157 straipsnio 2 dalies nuostata, jog imperatyviųjų teisės normų</w:t>
          </w:r>
          <w:r>
            <w:rPr>
              <w:spacing w:val="1"/>
              <w:szCs w:val="22"/>
              <w:lang w:eastAsia="zh-CN"/>
            </w:rPr>
            <w:t xml:space="preserve"> </w:t>
          </w:r>
          <w:r>
            <w:rPr>
              <w:szCs w:val="22"/>
              <w:lang w:eastAsia="zh-CN"/>
            </w:rPr>
            <w:t>pasikeitimas</w:t>
          </w:r>
          <w:r>
            <w:rPr>
              <w:spacing w:val="1"/>
              <w:szCs w:val="22"/>
              <w:lang w:eastAsia="zh-CN"/>
            </w:rPr>
            <w:t xml:space="preserve"> </w:t>
          </w:r>
          <w:r>
            <w:rPr>
              <w:szCs w:val="22"/>
              <w:lang w:eastAsia="zh-CN"/>
            </w:rPr>
            <w:t>po</w:t>
          </w:r>
          <w:r>
            <w:rPr>
              <w:spacing w:val="1"/>
              <w:szCs w:val="22"/>
              <w:lang w:eastAsia="zh-CN"/>
            </w:rPr>
            <w:t xml:space="preserve"> </w:t>
          </w:r>
          <w:r>
            <w:rPr>
              <w:szCs w:val="22"/>
              <w:lang w:eastAsia="zh-CN"/>
            </w:rPr>
            <w:t>sutarties</w:t>
          </w:r>
          <w:r>
            <w:rPr>
              <w:spacing w:val="1"/>
              <w:szCs w:val="22"/>
              <w:lang w:eastAsia="zh-CN"/>
            </w:rPr>
            <w:t xml:space="preserve"> </w:t>
          </w:r>
          <w:r>
            <w:rPr>
              <w:szCs w:val="22"/>
              <w:lang w:eastAsia="zh-CN"/>
            </w:rPr>
            <w:t>sudarymo</w:t>
          </w:r>
          <w:r>
            <w:rPr>
              <w:spacing w:val="1"/>
              <w:szCs w:val="22"/>
              <w:lang w:eastAsia="zh-CN"/>
            </w:rPr>
            <w:t xml:space="preserve"> </w:t>
          </w:r>
          <w:r>
            <w:rPr>
              <w:szCs w:val="22"/>
              <w:lang w:eastAsia="zh-CN"/>
            </w:rPr>
            <w:t>neturi</w:t>
          </w:r>
          <w:r>
            <w:rPr>
              <w:spacing w:val="1"/>
              <w:szCs w:val="22"/>
              <w:lang w:eastAsia="zh-CN"/>
            </w:rPr>
            <w:t xml:space="preserve"> </w:t>
          </w:r>
          <w:r>
            <w:rPr>
              <w:szCs w:val="22"/>
              <w:lang w:eastAsia="zh-CN"/>
            </w:rPr>
            <w:t>įtakos</w:t>
          </w:r>
          <w:r>
            <w:rPr>
              <w:spacing w:val="1"/>
              <w:szCs w:val="22"/>
              <w:lang w:eastAsia="zh-CN"/>
            </w:rPr>
            <w:t xml:space="preserve"> </w:t>
          </w:r>
          <w:r>
            <w:rPr>
              <w:szCs w:val="22"/>
              <w:lang w:eastAsia="zh-CN"/>
            </w:rPr>
            <w:t>sutarties</w:t>
          </w:r>
          <w:r>
            <w:rPr>
              <w:spacing w:val="1"/>
              <w:szCs w:val="22"/>
              <w:lang w:eastAsia="zh-CN"/>
            </w:rPr>
            <w:t xml:space="preserve"> </w:t>
          </w:r>
          <w:r>
            <w:rPr>
              <w:szCs w:val="22"/>
              <w:lang w:eastAsia="zh-CN"/>
            </w:rPr>
            <w:t>sąlygoms,</w:t>
          </w:r>
          <w:r>
            <w:rPr>
              <w:spacing w:val="1"/>
              <w:szCs w:val="22"/>
              <w:lang w:eastAsia="zh-CN"/>
            </w:rPr>
            <w:t xml:space="preserve"> </w:t>
          </w:r>
          <w:r>
            <w:rPr>
              <w:szCs w:val="22"/>
              <w:lang w:eastAsia="zh-CN"/>
            </w:rPr>
            <w:t>aiškintina</w:t>
          </w:r>
          <w:r>
            <w:rPr>
              <w:spacing w:val="1"/>
              <w:szCs w:val="22"/>
              <w:lang w:eastAsia="zh-CN"/>
            </w:rPr>
            <w:t xml:space="preserve"> </w:t>
          </w:r>
          <w:r>
            <w:rPr>
              <w:szCs w:val="22"/>
              <w:lang w:eastAsia="zh-CN"/>
            </w:rPr>
            <w:t>ir</w:t>
          </w:r>
          <w:r>
            <w:rPr>
              <w:spacing w:val="1"/>
              <w:szCs w:val="22"/>
              <w:lang w:eastAsia="zh-CN"/>
            </w:rPr>
            <w:t xml:space="preserve"> </w:t>
          </w:r>
          <w:r>
            <w:rPr>
              <w:szCs w:val="22"/>
              <w:lang w:eastAsia="zh-CN"/>
            </w:rPr>
            <w:t>taikytina,</w:t>
          </w:r>
          <w:r>
            <w:rPr>
              <w:spacing w:val="1"/>
              <w:szCs w:val="22"/>
              <w:lang w:eastAsia="zh-CN"/>
            </w:rPr>
            <w:t xml:space="preserve"> </w:t>
          </w:r>
          <w:r>
            <w:rPr>
              <w:szCs w:val="22"/>
              <w:lang w:eastAsia="zh-CN"/>
            </w:rPr>
            <w:t>atsižvelgiant</w:t>
          </w:r>
          <w:r>
            <w:rPr>
              <w:spacing w:val="1"/>
              <w:szCs w:val="22"/>
              <w:lang w:eastAsia="zh-CN"/>
            </w:rPr>
            <w:t xml:space="preserve"> </w:t>
          </w:r>
          <w:r>
            <w:rPr>
              <w:szCs w:val="22"/>
              <w:lang w:eastAsia="zh-CN"/>
            </w:rPr>
            <w:t>į</w:t>
          </w:r>
          <w:r>
            <w:rPr>
              <w:spacing w:val="1"/>
              <w:szCs w:val="22"/>
              <w:lang w:eastAsia="zh-CN"/>
            </w:rPr>
            <w:t xml:space="preserve"> </w:t>
          </w:r>
          <w:r>
            <w:rPr>
              <w:szCs w:val="22"/>
              <w:lang w:eastAsia="zh-CN"/>
            </w:rPr>
            <w:t>tęstinį</w:t>
          </w:r>
          <w:r>
            <w:rPr>
              <w:spacing w:val="1"/>
              <w:szCs w:val="22"/>
              <w:lang w:eastAsia="zh-CN"/>
            </w:rPr>
            <w:t xml:space="preserve"> </w:t>
          </w:r>
          <w:r>
            <w:rPr>
              <w:szCs w:val="22"/>
              <w:lang w:eastAsia="zh-CN"/>
            </w:rPr>
            <w:t>sutartinių</w:t>
          </w:r>
          <w:r>
            <w:rPr>
              <w:spacing w:val="1"/>
              <w:szCs w:val="22"/>
              <w:lang w:eastAsia="zh-CN"/>
            </w:rPr>
            <w:t xml:space="preserve"> </w:t>
          </w:r>
          <w:r>
            <w:rPr>
              <w:szCs w:val="22"/>
              <w:lang w:eastAsia="zh-CN"/>
            </w:rPr>
            <w:t>santykių</w:t>
          </w:r>
          <w:r>
            <w:rPr>
              <w:spacing w:val="1"/>
              <w:szCs w:val="22"/>
              <w:lang w:eastAsia="zh-CN"/>
            </w:rPr>
            <w:t xml:space="preserve"> </w:t>
          </w:r>
          <w:r>
            <w:rPr>
              <w:szCs w:val="22"/>
              <w:lang w:eastAsia="zh-CN"/>
            </w:rPr>
            <w:t>pobūdį,</w:t>
          </w:r>
          <w:r>
            <w:rPr>
              <w:spacing w:val="1"/>
              <w:szCs w:val="22"/>
              <w:lang w:eastAsia="zh-CN"/>
            </w:rPr>
            <w:t xml:space="preserve"> </w:t>
          </w:r>
          <w:r>
            <w:rPr>
              <w:szCs w:val="22"/>
              <w:lang w:eastAsia="zh-CN"/>
            </w:rPr>
            <w:t>todėl</w:t>
          </w:r>
          <w:r>
            <w:rPr>
              <w:spacing w:val="1"/>
              <w:szCs w:val="22"/>
              <w:lang w:eastAsia="zh-CN"/>
            </w:rPr>
            <w:t xml:space="preserve"> </w:t>
          </w:r>
          <w:r>
            <w:rPr>
              <w:szCs w:val="22"/>
              <w:lang w:eastAsia="zh-CN"/>
            </w:rPr>
            <w:t>sutarties</w:t>
          </w:r>
          <w:r>
            <w:rPr>
              <w:spacing w:val="1"/>
              <w:szCs w:val="22"/>
              <w:lang w:eastAsia="zh-CN"/>
            </w:rPr>
            <w:t xml:space="preserve"> </w:t>
          </w:r>
          <w:r>
            <w:rPr>
              <w:szCs w:val="22"/>
              <w:lang w:eastAsia="zh-CN"/>
            </w:rPr>
            <w:t>pakeitimas</w:t>
          </w:r>
          <w:r>
            <w:rPr>
              <w:spacing w:val="1"/>
              <w:szCs w:val="22"/>
              <w:lang w:eastAsia="zh-CN"/>
            </w:rPr>
            <w:t xml:space="preserve"> </w:t>
          </w:r>
          <w:r>
            <w:rPr>
              <w:szCs w:val="22"/>
              <w:lang w:eastAsia="zh-CN"/>
            </w:rPr>
            <w:t>ar</w:t>
          </w:r>
          <w:r>
            <w:rPr>
              <w:spacing w:val="1"/>
              <w:szCs w:val="22"/>
              <w:lang w:eastAsia="zh-CN"/>
            </w:rPr>
            <w:t xml:space="preserve"> </w:t>
          </w:r>
          <w:r>
            <w:rPr>
              <w:szCs w:val="22"/>
              <w:lang w:eastAsia="zh-CN"/>
            </w:rPr>
            <w:t>vykdymas</w:t>
          </w:r>
          <w:r>
            <w:rPr>
              <w:spacing w:val="1"/>
              <w:szCs w:val="22"/>
              <w:lang w:eastAsia="zh-CN"/>
            </w:rPr>
            <w:t xml:space="preserve"> </w:t>
          </w:r>
          <w:r>
            <w:rPr>
              <w:szCs w:val="22"/>
              <w:lang w:eastAsia="zh-CN"/>
            </w:rPr>
            <w:t xml:space="preserve">turi </w:t>
          </w:r>
          <w:r>
            <w:rPr>
              <w:spacing w:val="-58"/>
              <w:szCs w:val="22"/>
              <w:lang w:eastAsia="zh-CN"/>
            </w:rPr>
            <w:t xml:space="preserve"> </w:t>
          </w:r>
          <w:r>
            <w:rPr>
              <w:szCs w:val="22"/>
              <w:lang w:eastAsia="zh-CN"/>
            </w:rPr>
            <w:t>atitikti imperatyviąsias teisės normas, galiojančias keičiant ar vykdant sutartį, o ne ją sudarant</w:t>
          </w:r>
          <w:r>
            <w:rPr>
              <w:spacing w:val="1"/>
              <w:szCs w:val="22"/>
              <w:lang w:eastAsia="zh-CN"/>
            </w:rPr>
            <w:t xml:space="preserve"> </w:t>
          </w:r>
          <w:r>
            <w:rPr>
              <w:szCs w:val="22"/>
              <w:lang w:eastAsia="zh-CN"/>
            </w:rPr>
            <w:t>(Lietuvos</w:t>
          </w:r>
          <w:r>
            <w:rPr>
              <w:spacing w:val="1"/>
              <w:szCs w:val="22"/>
              <w:lang w:eastAsia="zh-CN"/>
            </w:rPr>
            <w:t xml:space="preserve"> </w:t>
          </w:r>
          <w:r>
            <w:rPr>
              <w:szCs w:val="22"/>
              <w:lang w:eastAsia="zh-CN"/>
            </w:rPr>
            <w:t>Aukščiausiojo</w:t>
          </w:r>
          <w:r>
            <w:rPr>
              <w:spacing w:val="1"/>
              <w:szCs w:val="22"/>
              <w:lang w:eastAsia="zh-CN"/>
            </w:rPr>
            <w:t xml:space="preserve"> </w:t>
          </w:r>
          <w:r>
            <w:rPr>
              <w:szCs w:val="22"/>
              <w:lang w:eastAsia="zh-CN"/>
            </w:rPr>
            <w:t>Teismo</w:t>
          </w:r>
          <w:r>
            <w:rPr>
              <w:spacing w:val="1"/>
              <w:szCs w:val="22"/>
              <w:lang w:eastAsia="zh-CN"/>
            </w:rPr>
            <w:t xml:space="preserve"> </w:t>
          </w:r>
          <w:r>
            <w:rPr>
              <w:szCs w:val="22"/>
              <w:lang w:eastAsia="zh-CN"/>
            </w:rPr>
            <w:t>2005</w:t>
          </w:r>
          <w:r>
            <w:rPr>
              <w:spacing w:val="1"/>
              <w:szCs w:val="22"/>
              <w:lang w:eastAsia="zh-CN"/>
            </w:rPr>
            <w:t xml:space="preserve"> </w:t>
          </w:r>
          <w:r>
            <w:rPr>
              <w:szCs w:val="22"/>
              <w:lang w:eastAsia="zh-CN"/>
            </w:rPr>
            <w:t>m.</w:t>
          </w:r>
          <w:r>
            <w:rPr>
              <w:spacing w:val="1"/>
              <w:szCs w:val="22"/>
              <w:lang w:eastAsia="zh-CN"/>
            </w:rPr>
            <w:t xml:space="preserve"> </w:t>
          </w:r>
          <w:r>
            <w:rPr>
              <w:szCs w:val="22"/>
              <w:lang w:eastAsia="zh-CN"/>
            </w:rPr>
            <w:t>lapkričio</w:t>
          </w:r>
          <w:r>
            <w:rPr>
              <w:spacing w:val="1"/>
              <w:szCs w:val="22"/>
              <w:lang w:eastAsia="zh-CN"/>
            </w:rPr>
            <w:t xml:space="preserve"> </w:t>
          </w:r>
          <w:r>
            <w:rPr>
              <w:szCs w:val="22"/>
              <w:lang w:eastAsia="zh-CN"/>
            </w:rPr>
            <w:t>23</w:t>
          </w:r>
          <w:r>
            <w:rPr>
              <w:spacing w:val="1"/>
              <w:szCs w:val="22"/>
              <w:lang w:eastAsia="zh-CN"/>
            </w:rPr>
            <w:t xml:space="preserve"> </w:t>
          </w:r>
          <w:r>
            <w:rPr>
              <w:szCs w:val="22"/>
              <w:lang w:eastAsia="zh-CN"/>
            </w:rPr>
            <w:t>d.</w:t>
          </w:r>
          <w:r>
            <w:rPr>
              <w:spacing w:val="1"/>
              <w:szCs w:val="22"/>
              <w:lang w:eastAsia="zh-CN"/>
            </w:rPr>
            <w:t xml:space="preserve"> </w:t>
          </w:r>
          <w:r>
            <w:rPr>
              <w:szCs w:val="22"/>
              <w:lang w:eastAsia="zh-CN"/>
            </w:rPr>
            <w:t>nutartis</w:t>
          </w:r>
          <w:r>
            <w:rPr>
              <w:spacing w:val="1"/>
              <w:szCs w:val="22"/>
              <w:lang w:eastAsia="zh-CN"/>
            </w:rPr>
            <w:t xml:space="preserve"> </w:t>
          </w:r>
          <w:r>
            <w:rPr>
              <w:szCs w:val="22"/>
              <w:lang w:eastAsia="zh-CN"/>
            </w:rPr>
            <w:t>civilinėje</w:t>
          </w:r>
          <w:r>
            <w:rPr>
              <w:spacing w:val="1"/>
              <w:szCs w:val="22"/>
              <w:lang w:eastAsia="zh-CN"/>
            </w:rPr>
            <w:t xml:space="preserve"> </w:t>
          </w:r>
          <w:r>
            <w:rPr>
              <w:szCs w:val="22"/>
              <w:lang w:eastAsia="zh-CN"/>
            </w:rPr>
            <w:t>byloje</w:t>
          </w:r>
          <w:r>
            <w:rPr>
              <w:spacing w:val="1"/>
              <w:szCs w:val="22"/>
              <w:lang w:eastAsia="zh-CN"/>
            </w:rPr>
            <w:t xml:space="preserve"> </w:t>
          </w:r>
          <w:r>
            <w:rPr>
              <w:szCs w:val="22"/>
              <w:lang w:eastAsia="zh-CN"/>
            </w:rPr>
            <w:t>Nr.</w:t>
          </w:r>
          <w:r>
            <w:rPr>
              <w:spacing w:val="1"/>
              <w:szCs w:val="22"/>
              <w:lang w:eastAsia="zh-CN"/>
            </w:rPr>
            <w:t xml:space="preserve"> </w:t>
          </w:r>
          <w:r>
            <w:rPr>
              <w:szCs w:val="22"/>
              <w:lang w:eastAsia="zh-CN"/>
            </w:rPr>
            <w:t>3K-3-</w:t>
          </w:r>
          <w:r>
            <w:rPr>
              <w:spacing w:val="1"/>
              <w:szCs w:val="22"/>
              <w:lang w:eastAsia="zh-CN"/>
            </w:rPr>
            <w:t xml:space="preserve"> </w:t>
          </w:r>
          <w:r>
            <w:rPr>
              <w:szCs w:val="22"/>
              <w:lang w:eastAsia="zh-CN"/>
            </w:rPr>
            <w:t>605/2005,</w:t>
          </w:r>
          <w:r>
            <w:rPr>
              <w:spacing w:val="1"/>
              <w:szCs w:val="22"/>
              <w:lang w:eastAsia="zh-CN"/>
            </w:rPr>
            <w:t xml:space="preserve"> </w:t>
          </w:r>
          <w:r>
            <w:rPr>
              <w:szCs w:val="22"/>
              <w:lang w:eastAsia="zh-CN"/>
            </w:rPr>
            <w:t>2017</w:t>
          </w:r>
          <w:r>
            <w:rPr>
              <w:spacing w:val="1"/>
              <w:szCs w:val="22"/>
              <w:lang w:eastAsia="zh-CN"/>
            </w:rPr>
            <w:t xml:space="preserve"> </w:t>
          </w:r>
          <w:r>
            <w:rPr>
              <w:szCs w:val="22"/>
              <w:lang w:eastAsia="zh-CN"/>
            </w:rPr>
            <w:t>m.</w:t>
          </w:r>
          <w:r>
            <w:rPr>
              <w:spacing w:val="1"/>
              <w:szCs w:val="22"/>
              <w:lang w:eastAsia="zh-CN"/>
            </w:rPr>
            <w:t xml:space="preserve"> </w:t>
          </w:r>
          <w:r>
            <w:rPr>
              <w:szCs w:val="22"/>
              <w:lang w:eastAsia="zh-CN"/>
            </w:rPr>
            <w:t>gegužės</w:t>
          </w:r>
          <w:r>
            <w:rPr>
              <w:spacing w:val="1"/>
              <w:szCs w:val="22"/>
              <w:lang w:eastAsia="zh-CN"/>
            </w:rPr>
            <w:t xml:space="preserve"> </w:t>
          </w:r>
          <w:r>
            <w:rPr>
              <w:szCs w:val="22"/>
              <w:lang w:eastAsia="zh-CN"/>
            </w:rPr>
            <w:t>12</w:t>
          </w:r>
          <w:r>
            <w:rPr>
              <w:spacing w:val="1"/>
              <w:szCs w:val="22"/>
              <w:lang w:eastAsia="zh-CN"/>
            </w:rPr>
            <w:t xml:space="preserve"> </w:t>
          </w:r>
          <w:r>
            <w:rPr>
              <w:szCs w:val="22"/>
              <w:lang w:eastAsia="zh-CN"/>
            </w:rPr>
            <w:t>d.</w:t>
          </w:r>
          <w:r>
            <w:rPr>
              <w:spacing w:val="1"/>
              <w:szCs w:val="22"/>
              <w:lang w:eastAsia="zh-CN"/>
            </w:rPr>
            <w:t xml:space="preserve"> </w:t>
          </w:r>
          <w:r>
            <w:rPr>
              <w:szCs w:val="22"/>
              <w:lang w:eastAsia="zh-CN"/>
            </w:rPr>
            <w:t>nutartis</w:t>
          </w:r>
          <w:r>
            <w:rPr>
              <w:spacing w:val="1"/>
              <w:szCs w:val="22"/>
              <w:lang w:eastAsia="zh-CN"/>
            </w:rPr>
            <w:t xml:space="preserve"> </w:t>
          </w:r>
          <w:r>
            <w:rPr>
              <w:szCs w:val="22"/>
              <w:lang w:eastAsia="zh-CN"/>
            </w:rPr>
            <w:t>civilinėje</w:t>
          </w:r>
          <w:r>
            <w:rPr>
              <w:spacing w:val="1"/>
              <w:szCs w:val="22"/>
              <w:lang w:eastAsia="zh-CN"/>
            </w:rPr>
            <w:t xml:space="preserve"> </w:t>
          </w:r>
          <w:r>
            <w:rPr>
              <w:szCs w:val="22"/>
              <w:lang w:eastAsia="zh-CN"/>
            </w:rPr>
            <w:t>byloje</w:t>
          </w:r>
          <w:r>
            <w:rPr>
              <w:spacing w:val="1"/>
              <w:szCs w:val="22"/>
              <w:lang w:eastAsia="zh-CN"/>
            </w:rPr>
            <w:t xml:space="preserve"> </w:t>
          </w:r>
          <w:r>
            <w:rPr>
              <w:szCs w:val="22"/>
              <w:lang w:eastAsia="zh-CN"/>
            </w:rPr>
            <w:t>Nr.</w:t>
          </w:r>
          <w:r>
            <w:rPr>
              <w:spacing w:val="1"/>
              <w:szCs w:val="22"/>
              <w:lang w:eastAsia="zh-CN"/>
            </w:rPr>
            <w:t xml:space="preserve"> </w:t>
          </w:r>
          <w:r>
            <w:rPr>
              <w:szCs w:val="22"/>
              <w:lang w:eastAsia="zh-CN"/>
            </w:rPr>
            <w:t>e3K-3-230-686/2017,</w:t>
          </w:r>
          <w:r>
            <w:rPr>
              <w:spacing w:val="1"/>
              <w:szCs w:val="22"/>
              <w:lang w:eastAsia="zh-CN"/>
            </w:rPr>
            <w:t xml:space="preserve"> </w:t>
          </w:r>
          <w:r>
            <w:rPr>
              <w:szCs w:val="22"/>
              <w:lang w:eastAsia="zh-CN"/>
            </w:rPr>
            <w:t>2018</w:t>
          </w:r>
          <w:r>
            <w:rPr>
              <w:spacing w:val="1"/>
              <w:szCs w:val="22"/>
              <w:lang w:eastAsia="zh-CN"/>
            </w:rPr>
            <w:t xml:space="preserve"> </w:t>
          </w:r>
          <w:r>
            <w:rPr>
              <w:szCs w:val="22"/>
              <w:lang w:eastAsia="zh-CN"/>
            </w:rPr>
            <w:t>m.</w:t>
          </w:r>
          <w:r>
            <w:rPr>
              <w:spacing w:val="-57"/>
              <w:szCs w:val="22"/>
              <w:lang w:eastAsia="zh-CN"/>
            </w:rPr>
            <w:t xml:space="preserve"> </w:t>
          </w:r>
          <w:r>
            <w:rPr>
              <w:szCs w:val="22"/>
              <w:lang w:eastAsia="zh-CN"/>
            </w:rPr>
            <w:t>balandžio</w:t>
          </w:r>
          <w:r>
            <w:rPr>
              <w:spacing w:val="1"/>
              <w:szCs w:val="22"/>
              <w:lang w:eastAsia="zh-CN"/>
            </w:rPr>
            <w:t xml:space="preserve"> </w:t>
          </w:r>
          <w:r>
            <w:rPr>
              <w:szCs w:val="22"/>
              <w:lang w:eastAsia="zh-CN"/>
            </w:rPr>
            <w:t>18</w:t>
          </w:r>
          <w:r>
            <w:rPr>
              <w:spacing w:val="1"/>
              <w:szCs w:val="22"/>
              <w:lang w:eastAsia="zh-CN"/>
            </w:rPr>
            <w:t xml:space="preserve"> </w:t>
          </w:r>
          <w:r>
            <w:rPr>
              <w:szCs w:val="22"/>
              <w:lang w:eastAsia="zh-CN"/>
            </w:rPr>
            <w:t>d.</w:t>
          </w:r>
          <w:r>
            <w:rPr>
              <w:spacing w:val="1"/>
              <w:szCs w:val="22"/>
              <w:lang w:eastAsia="zh-CN"/>
            </w:rPr>
            <w:t xml:space="preserve"> </w:t>
          </w:r>
          <w:r>
            <w:rPr>
              <w:szCs w:val="22"/>
              <w:lang w:eastAsia="zh-CN"/>
            </w:rPr>
            <w:t>nutartis</w:t>
          </w:r>
          <w:r>
            <w:rPr>
              <w:spacing w:val="1"/>
              <w:szCs w:val="22"/>
              <w:lang w:eastAsia="zh-CN"/>
            </w:rPr>
            <w:t xml:space="preserve"> </w:t>
          </w:r>
          <w:r>
            <w:rPr>
              <w:szCs w:val="22"/>
              <w:lang w:eastAsia="zh-CN"/>
            </w:rPr>
            <w:t>civilinėje</w:t>
          </w:r>
          <w:r>
            <w:rPr>
              <w:spacing w:val="1"/>
              <w:szCs w:val="22"/>
              <w:lang w:eastAsia="zh-CN"/>
            </w:rPr>
            <w:t xml:space="preserve"> </w:t>
          </w:r>
          <w:r>
            <w:rPr>
              <w:szCs w:val="22"/>
              <w:lang w:eastAsia="zh-CN"/>
            </w:rPr>
            <w:t>byloje</w:t>
          </w:r>
          <w:r>
            <w:rPr>
              <w:spacing w:val="1"/>
              <w:szCs w:val="22"/>
              <w:lang w:eastAsia="zh-CN"/>
            </w:rPr>
            <w:t xml:space="preserve"> </w:t>
          </w:r>
          <w:r>
            <w:rPr>
              <w:szCs w:val="22"/>
              <w:lang w:eastAsia="zh-CN"/>
            </w:rPr>
            <w:t>Nr.</w:t>
          </w:r>
          <w:r>
            <w:rPr>
              <w:spacing w:val="1"/>
              <w:szCs w:val="22"/>
              <w:lang w:eastAsia="zh-CN"/>
            </w:rPr>
            <w:t xml:space="preserve"> </w:t>
          </w:r>
          <w:r>
            <w:rPr>
              <w:szCs w:val="22"/>
              <w:lang w:eastAsia="zh-CN"/>
            </w:rPr>
            <w:t>e3K-3-158-690/2018</w:t>
          </w:r>
          <w:r>
            <w:rPr>
              <w:spacing w:val="1"/>
              <w:szCs w:val="22"/>
              <w:lang w:eastAsia="zh-CN"/>
            </w:rPr>
            <w:t xml:space="preserve"> </w:t>
          </w:r>
          <w:r>
            <w:rPr>
              <w:szCs w:val="22"/>
              <w:lang w:eastAsia="zh-CN"/>
            </w:rPr>
            <w:t>ir</w:t>
          </w:r>
          <w:r>
            <w:rPr>
              <w:spacing w:val="1"/>
              <w:szCs w:val="22"/>
              <w:lang w:eastAsia="zh-CN"/>
            </w:rPr>
            <w:t xml:space="preserve"> </w:t>
          </w:r>
          <w:r>
            <w:rPr>
              <w:szCs w:val="22"/>
              <w:lang w:eastAsia="zh-CN"/>
            </w:rPr>
            <w:t>kt.)</w:t>
          </w:r>
          <w:r>
            <w:rPr>
              <w:i/>
              <w:szCs w:val="22"/>
              <w:lang w:eastAsia="zh-CN"/>
            </w:rPr>
            <w:t xml:space="preserve"> </w:t>
          </w:r>
          <w:r>
            <w:rPr>
              <w:szCs w:val="22"/>
              <w:lang w:eastAsia="zh-CN"/>
            </w:rPr>
            <w:t>Projektas Nr. 2</w:t>
          </w:r>
          <w:r>
            <w:rPr>
              <w:i/>
              <w:szCs w:val="22"/>
              <w:lang w:eastAsia="zh-CN"/>
            </w:rPr>
            <w:t xml:space="preserve"> </w:t>
          </w:r>
          <w:r>
            <w:rPr>
              <w:szCs w:val="22"/>
              <w:lang w:eastAsia="zh-CN"/>
            </w:rPr>
            <w:t>papildytas nuostatomis, kad</w:t>
          </w:r>
          <w:r>
            <w:rPr>
              <w:i/>
              <w:szCs w:val="22"/>
              <w:lang w:eastAsia="zh-CN"/>
            </w:rPr>
            <w:t xml:space="preserve"> </w:t>
          </w:r>
          <w:r>
            <w:rPr>
              <w:szCs w:val="22"/>
              <w:lang w:eastAsia="zh-CN"/>
            </w:rPr>
            <w:t>jeigu pasikeitus teisės aktams, reglamentuojantiems geriamojo vandens tiekimą ir nuotekų tvarkymą, kuri nors sutarties nuostata tampa prieštaraujančia pasikeitusių teisės aktų normoms, vykdant sutartį tiesiogiai taikomos imperatyvios teisės aktų nuostatos.</w:t>
          </w:r>
        </w:p>
      </w:sdtContent>
    </w:sdt>
    <w:sdt>
      <w:sdtPr>
        <w:alias w:val="pastraipa"/>
        <w:tag w:val="part_1fcacc8781b9497fa28a14aa683095db"/>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Vadovaujantis Projekte Nr. 2 įtvirtinta formule (43 punktas), vidutinis savivaldybėje suvartojamo geriamojo vandens kiekis skaičiuojamas pagal gyventojų suvartojimo vidurkį, o abonentai, geriamąjį vandenį naudoja ne namų ūkio reikmėms, todėl projekte siūloma įtvirtinti, kad abonentams, kuriems dėl techninių priežasčių nėra galimybės įrengti geriamojo vandens apskaitos prietaiso už geriamojo vandens tiekėjo patiektą geriamąjį vandenį ir (arba) suteiktas nuotekų tvarkymo paslaugas atsiskaito pagal vidutinį savivaldybėje suvartojamo geriamojo vandens kiekį padauginus iš koeficiento 4 (buvo dauginama iš koeficiento 2). Pažymėtina, kad pagal UAB „Vilniaus vandenys“ pateiktą informaciją pagal suvartojamo geriamojo vandens kiekį atsiskaito 204 abonentai; pagal UAB „Kauno vandenys“ pateiktą informaciją, – 40 abonentų. Atsižvelgiant į tai, padidėjusi kaina būtų taikoma mažam skaičiui abonentų, be to, tai būtų paskata sutvarkyti vamzdynus ir įrengti geriamojo apskaitos prietaisą. Projektas Nr. 2 papildomas nuostatomis, kad geriamojo vandens tiekėjas turi teisę su bendrojo naudojimo objektų administratoriumi ar daugiabučių gyvenamųjų namų ar kitos paskirties pastatų savininkų bendrijos atstovu arba jungtinės veiklos sutartimi įgaliotu asmeniu, surašydami geriamojo vandens tiekėjo patvirtintos formos aktą, konstatuoti, kad dėl techninių priežasčių neįmanoma įrengti geriamojo vandens apskaitos prietaiso (šios nuostatos reglamentuotos aplinkos ministro tvirtinamose geriamojo vandens tiekimo ir nuotekų tvarkymo ir naudojimo taisyklėse).</w:t>
          </w:r>
        </w:p>
      </w:sdtContent>
    </w:sdt>
    <w:sdt>
      <w:sdtPr>
        <w:alias w:val="pastraipa"/>
        <w:tag w:val="part_697999df69eb44eaac47c7aa699aef47"/>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 xml:space="preserve">Atsižvelgiant į geriamojo vandens tiekėjų pateiktą informaciją, kad bankroto administratoriai labai retai informuoja apie abonento bankrotą, todėl geriamojo vandens tiekėjai tokius duomenis priversti pirkti, kaupiasi skola už suteiktas geriamojo vandens tiekimo ir nuotekų tvarkymo paslaugas, o gavus informaciją apie bankrotą, geriamojo vandens tiekėjas negali nutraukti minėtų  paslaugų teikimo, taip didindamas savo nuostolius, nes bankroto procese dažniausiai skolos neatgaunamos, Projektą Nr. 2 siūloma papildyti nuostatomis, kad geriamojo vandens tiekėjas gali nutraukti, sustabdyti geriamojo vandens tiekimą ir (arba) nuotekų tvarkymo paslaugų teikimą abonentui, kai abonentui iškeliama bankroto byla.</w:t>
          </w:r>
        </w:p>
      </w:sdtContent>
    </w:sdt>
    <w:sdt>
      <w:sdtPr>
        <w:alias w:val="pastraipa"/>
        <w:tag w:val="part_57b690ae046149548c7c182faa798e38"/>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Projektuose atlikta ir kitų pakeitimų.</w:t>
          </w:r>
        </w:p>
      </w:sdtContent>
    </w:sdt>
    <w:sdt>
      <w:sdtPr>
        <w:alias w:val="pastraipa"/>
        <w:tag w:val="part_e16f6c594cbe4861bdda7cfc3009ae58"/>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 xml:space="preserve">Projektuose atliekami patikslinimai užtikrins geriamojo vandens tiekėjams, paviršinių nuotekų tvarkytojams, nuotekų transportavimo paslaugas teikiantiems asmenims, abonentams, vartotojams ir individualių nuotekų turėtojams aiškesnes pareigas, teises, atsiskaitymo tvarką. </w:t>
          </w:r>
        </w:p>
      </w:sdtContent>
    </w:sdt>
    <w:sdt>
      <w:sdtPr>
        <w:alias w:val="pastraipa"/>
        <w:tag w:val="part_b20f6e3ba3634d389cc9bb604f85e8f7"/>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Projektai neprieštarauja Aštuonioliktosios Lietuvos Respublikos Vyriausybės programai, kuriai pritarta Lietuvos Respublikos Seimo 2020 m. gruodžio 11 d. nutarimu Nr. XIV 72 „Dėl Aštuonioliktosios Lietuvos Respublikos Vyriausybės programos“.</w:t>
          </w:r>
        </w:p>
      </w:sdtContent>
    </w:sdt>
    <w:sdt>
      <w:sdtPr>
        <w:alias w:val="pastraipa"/>
        <w:tag w:val="part_81fd06045f6344ecb53806ca19ca684d"/>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Projektais neperkeliamos ir neįgyvendinamos Europos Sąjungos teisės aktų nuostatos.</w:t>
          </w:r>
        </w:p>
      </w:sdtContent>
    </w:sdt>
    <w:sdt>
      <w:sdtPr>
        <w:alias w:val="pastraipa"/>
        <w:tag w:val="part_bb3e72d421864b0896348a9701f2ec35"/>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Projektai nenotifikuotini Europos Komisijai pagal Informacijos apie techninius reglamentus ir atitikties įvertinimo procedūras teikimo taisykles, patvirtintas Lietuvos Respublikos Vyriausybės 1999 m. gegužės 20 d. nutarimu Nr. 617 „Dėl Informacijos apie techninius reglamentus ir atitikties įvertinimo procedūras teikimo taisyklių patvirtinimo“.</w:t>
          </w:r>
        </w:p>
      </w:sdtContent>
    </w:sdt>
    <w:sdt>
      <w:sdtPr>
        <w:alias w:val="pastraipa"/>
        <w:tag w:val="part_96b9620a93784cf68cc724531637b3a6"/>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Vadovaujantis Numatomo teisinio reguliavimo poveikio vertinimo metodikos, patvirtintos Lietuvos Respublikos Vyriausybės 2003 m. vasario 26 d. nutarimu Nr. 276 „Dėl Numatomo teisinio reguliavimo poveikio vertinimo metodikos patvirtinimo“, 4 punktu, atliktas Projektų numatomo teisinio reguliavimo poveikio vertinimas.</w:t>
          </w:r>
        </w:p>
      </w:sdtContent>
    </w:sdt>
    <w:sdt>
      <w:sdtPr>
        <w:alias w:val="pastraipa"/>
        <w:tag w:val="part_05034db9295f43738aa2e5aac3bf0e94"/>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Projektams įtraukti į teisės sistemą kitų teisės aktų priimti nereikės.</w:t>
          </w:r>
        </w:p>
      </w:sdtContent>
    </w:sdt>
    <w:sdt>
      <w:sdtPr>
        <w:alias w:val="pastraipa"/>
        <w:tag w:val="part_fae3bcdfe3684091a50bd4a43207d4a8"/>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 xml:space="preserve">Projekte naujų sąvokų, vertintinų Lietuvos Respublikos terminų banko įstatymo ir jo įgyvendinamųjų teisės aktų nustatyta tvarka, nėra, tačiau sąvokos tikslinamos ir bus derinamos su Lietuvos Respublikos valstybinės kalbos komisija. </w:t>
          </w:r>
        </w:p>
      </w:sdtContent>
    </w:sdt>
    <w:sdt>
      <w:sdtPr>
        <w:alias w:val="pastraipa"/>
        <w:tag w:val="part_22384dc9c7674a6eb204398f30c3bc4c"/>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Konsultacijų su visuomene nebuvo ir jos neplanuojamos.</w:t>
          </w:r>
        </w:p>
      </w:sdtContent>
    </w:sdt>
    <w:sdt>
      <w:sdtPr>
        <w:alias w:val="pastraipa"/>
        <w:tag w:val="part_f35d16b4a3b14fd6b997a4ac9a3f1064"/>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Projektai suderinti su Aplinkos ministerijos duomenų apsaugos pareigūnu.</w:t>
          </w:r>
        </w:p>
      </w:sdtContent>
    </w:sdt>
    <w:sdt>
      <w:sdtPr>
        <w:alias w:val="pastraipa"/>
        <w:tag w:val="part_3f32cf8860374c0e9c6ccbb6d2749165"/>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Administracinė našta neskaičiuojama, nes skaičiavimai atlikti rengiant Įstatymą.</w:t>
          </w:r>
        </w:p>
      </w:sdtContent>
    </w:sdt>
    <w:sdt>
      <w:sdtPr>
        <w:alias w:val="pastraipa"/>
        <w:tag w:val="part_d688c0b3a9894ca7bfcb64f9f9b90507"/>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Projektai skelbiami Lietuvos Respublikos Seimo kanceliarijos teisės aktų informacinėje sistemoje (TAIS).</w:t>
          </w:r>
        </w:p>
      </w:sdtContent>
    </w:sdt>
    <w:sdt>
      <w:sdtPr>
        <w:alias w:val="pastraipa"/>
        <w:tag w:val="part_e37bab1c505d4f72b337c415cc5642c6"/>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Išvadas dėl Projektų prašome pateikti per 12 darbo dienų nuo jo paskelbimo TAIS.</w:t>
          </w:r>
        </w:p>
      </w:sdtContent>
    </w:sdt>
    <w:sdt>
      <w:sdtPr>
        <w:alias w:val="pastraipa"/>
        <w:tag w:val="part_d19904a51b284df1bec56e2658cc0933"/>
        <w:lock w:val="sdtLocked"/>
        <w:richText/>
      </w:sdtPr>
      <w:sdtContent>
        <w:p>
          <w:pPr>
            <w:widowControl w:val="0"/>
            <w:suppressAutoHyphens/>
            <w:ind w:firstLine="567"/>
            <w:jc w:val="both"/>
            <w:rPr>
              <w:rFonts w:eastAsia="Andale Sans UI;Times New Roman"/>
              <w:szCs w:val="24"/>
              <w:lang w:eastAsia="zh-CN" w:bidi="en-US"/>
            </w:rPr>
          </w:pPr>
          <w:r>
            <w:rPr>
              <w:rFonts w:eastAsia="Andale Sans UI;Times New Roman"/>
              <w:szCs w:val="24"/>
              <w:lang w:eastAsia="zh-CN" w:bidi="en-US"/>
            </w:rPr>
            <w:t>Per nurodytą terminą negavę pastabų ir pasiūlymų, laikysime, kad Projektams pritariate.</w:t>
          </w:r>
        </w:p>
      </w:sdtContent>
    </w:sdt>
    <w:sdt>
      <w:sdtPr>
        <w:alias w:val="pastraipa"/>
        <w:tag w:val="part_cf8734f1ce974f69be8000eb347983a5"/>
        <w:lock w:val="sdtLocked"/>
        <w:richText/>
      </w:sdtPr>
      <w:sdtContent>
        <w:p>
          <w:pPr>
            <w:widowControl w:val="0"/>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 xml:space="preserve">Projektus parengė Aplinkos ministerijos Taršos prevencijos politikos grupės (grupės vadovas – Vitalijus Auglys, tel. 8 686 46 087, el. p. vitalijus.auglys@am.lt, vyresnysis patarėjas – Irmantas Valūnas tel. 8 684 04 000, el. p. irmantas.valunas@am.lt) patarėja Judita Vaišnorienė (tel. 8   695 54 136 , el. p. judita.vaisnoriene@am.lt).</w:t>
          </w:r>
        </w:p>
      </w:sdtContent>
    </w:sdt>
    <w:sdt>
      <w:sdtPr>
        <w:alias w:val="pastraipa"/>
        <w:tag w:val="part_3fd232c2f08e4bfc8698b22ba3f81e85"/>
        <w:lock w:val="sdtLocked"/>
        <w:richText/>
      </w:sdtPr>
      <w:sdtContent>
        <w:p>
          <w:pPr>
            <w:widowControl w:val="0"/>
            <w:suppressAutoHyphens/>
            <w:ind w:firstLine="540"/>
            <w:jc w:val="both"/>
            <w:rPr>
              <w:rFonts w:eastAsia="Andale Sans UI;Times New Roman" w:cs="Tahoma"/>
              <w:szCs w:val="24"/>
              <w:lang w:eastAsia="zh-CN" w:bidi="en-US"/>
            </w:rPr>
          </w:pPr>
          <w:r>
            <w:rPr>
              <w:rFonts w:eastAsia="Andale Sans UI;Times New Roman" w:cs="Tahoma"/>
              <w:szCs w:val="24"/>
              <w:lang w:eastAsia="zh-CN" w:bidi="en-US"/>
            </w:rPr>
            <w:t>PRIDEDAMA:</w:t>
          </w:r>
        </w:p>
        <w:sdt>
          <w:sdtPr>
            <w:alias w:val="1 p."/>
            <w:tag w:val="part_8e36a3c521544640906ab227cb013c1b"/>
            <w:lock w:val="sdtLocked"/>
            <w:richText/>
          </w:sdtPr>
          <w:sdtContent>
            <w:p>
              <w:pPr>
                <w:widowControl w:val="0"/>
                <w:suppressAutoHyphens/>
                <w:ind w:firstLine="567"/>
                <w:jc w:val="both"/>
                <w:rPr>
                  <w:rFonts w:eastAsia="Andale Sans UI;Times New Roman" w:cs="Tahoma"/>
                  <w:color w:val="000000"/>
                  <w:szCs w:val="24"/>
                  <w:lang w:eastAsia="zh-CN" w:bidi="en-US"/>
                </w:rPr>
              </w:pPr>
              <w:sdt>
                <w:sdtPr>
                  <w:alias w:val="Numeris"/>
                  <w:tag w:val="nr_8e36a3c521544640906ab227cb013c1b"/>
                  <w:lock w:val="sdtLocked"/>
                  <w:richText/>
                </w:sdtPr>
                <w:sdtContent>
                  <w:r>
                    <w:rPr>
                      <w:rFonts w:eastAsia="Andale Sans UI;Times New Roman" w:cs="Tahoma"/>
                      <w:color w:val="000000"/>
                      <w:szCs w:val="24"/>
                      <w:lang w:eastAsia="zh-CN" w:bidi="en-US"/>
                    </w:rPr>
                    <w:t>1</w:t>
                  </w:r>
                </w:sdtContent>
              </w:sdt>
              <w:r>
                <w:rPr>
                  <w:rFonts w:eastAsia="Andale Sans UI;Times New Roman" w:cs="Tahoma"/>
                  <w:color w:val="000000"/>
                  <w:szCs w:val="24"/>
                  <w:lang w:eastAsia="zh-CN" w:bidi="en-US"/>
                </w:rPr>
                <w:t>. Projektas Nr. 1, 7 lapai.</w:t>
              </w:r>
            </w:p>
          </w:sdtContent>
        </w:sdt>
        <w:sdt>
          <w:sdtPr>
            <w:alias w:val="2 p."/>
            <w:tag w:val="part_2a06e3ec87054a4eab1464585a9b1b2e"/>
            <w:lock w:val="sdtLocked"/>
            <w:richText/>
          </w:sdtPr>
          <w:sdtContent>
            <w:p>
              <w:pPr>
                <w:widowControl w:val="0"/>
                <w:suppressAutoHyphens/>
                <w:ind w:firstLine="567"/>
                <w:jc w:val="both"/>
                <w:rPr>
                  <w:rFonts w:eastAsia="Andale Sans UI;Times New Roman" w:cs="Tahoma"/>
                  <w:color w:val="000000"/>
                  <w:szCs w:val="24"/>
                  <w:lang w:eastAsia="zh-CN" w:bidi="en-US"/>
                </w:rPr>
              </w:pPr>
              <w:sdt>
                <w:sdtPr>
                  <w:alias w:val="Numeris"/>
                  <w:tag w:val="nr_2a06e3ec87054a4eab1464585a9b1b2e"/>
                  <w:lock w:val="sdtLocked"/>
                  <w:richText/>
                </w:sdtPr>
                <w:sdtContent>
                  <w:r>
                    <w:rPr>
                      <w:rFonts w:eastAsia="Andale Sans UI;Times New Roman" w:cs="Tahoma"/>
                      <w:color w:val="000000"/>
                      <w:szCs w:val="24"/>
                      <w:lang w:eastAsia="zh-CN" w:bidi="en-US"/>
                    </w:rPr>
                    <w:t>2</w:t>
                  </w:r>
                </w:sdtContent>
              </w:sdt>
              <w:r>
                <w:rPr>
                  <w:rFonts w:eastAsia="Andale Sans UI;Times New Roman" w:cs="Tahoma"/>
                  <w:color w:val="000000"/>
                  <w:szCs w:val="24"/>
                  <w:lang w:eastAsia="zh-CN" w:bidi="en-US"/>
                </w:rPr>
                <w:t>. Projektas Nr. 2, 13 lapų.</w:t>
              </w:r>
            </w:p>
          </w:sdtContent>
        </w:sdt>
        <w:sdt>
          <w:sdtPr>
            <w:alias w:val="3 p."/>
            <w:tag w:val="part_a6b5f04c3c414bd280a7821d35e61fbc"/>
            <w:lock w:val="sdtLocked"/>
            <w:richText/>
          </w:sdtPr>
          <w:sdtContent>
            <w:p>
              <w:pPr>
                <w:widowControl w:val="0"/>
                <w:suppressAutoHyphens/>
                <w:ind w:firstLine="567"/>
                <w:jc w:val="both"/>
                <w:rPr>
                  <w:rFonts w:eastAsia="Andale Sans UI;Times New Roman" w:cs="Tahoma"/>
                  <w:color w:val="000000"/>
                  <w:szCs w:val="24"/>
                  <w:lang w:eastAsia="zh-CN" w:bidi="en-US"/>
                </w:rPr>
              </w:pPr>
              <w:sdt>
                <w:sdtPr>
                  <w:alias w:val="Numeris"/>
                  <w:tag w:val="nr_a6b5f04c3c414bd280a7821d35e61fbc"/>
                  <w:lock w:val="sdtLocked"/>
                  <w:richText/>
                </w:sdtPr>
                <w:sdtContent>
                  <w:r>
                    <w:rPr>
                      <w:rFonts w:eastAsia="Andale Sans UI;Times New Roman" w:cs="Tahoma"/>
                      <w:color w:val="000000"/>
                      <w:szCs w:val="24"/>
                      <w:lang w:eastAsia="zh-CN" w:bidi="en-US"/>
                    </w:rPr>
                    <w:t>3</w:t>
                  </w:r>
                </w:sdtContent>
              </w:sdt>
              <w:r>
                <w:rPr>
                  <w:rFonts w:eastAsia="Andale Sans UI;Times New Roman" w:cs="Tahoma"/>
                  <w:color w:val="000000"/>
                  <w:szCs w:val="24"/>
                  <w:lang w:eastAsia="zh-CN" w:bidi="en-US"/>
                </w:rPr>
                <w:t>. Numatomo teisinio reguliavimo poveikio vertinimo pažyma, 2 lapai.</w:t>
              </w:r>
            </w:p>
          </w:sdtContent>
        </w:sdt>
        <w:sdt>
          <w:sdtPr>
            <w:alias w:val="4 p."/>
            <w:tag w:val="part_2470c6dcc68b45439c05becb05870fd9"/>
            <w:lock w:val="sdtLocked"/>
            <w:richText/>
          </w:sdtPr>
          <w:sdtContent>
            <w:p>
              <w:pPr>
                <w:widowControl w:val="0"/>
                <w:suppressAutoHyphens/>
                <w:ind w:firstLine="567"/>
                <w:jc w:val="both"/>
                <w:rPr>
                  <w:rFonts w:eastAsia="Andale Sans UI;Times New Roman" w:cs="Tahoma"/>
                  <w:color w:val="000000"/>
                  <w:szCs w:val="24"/>
                  <w:lang w:eastAsia="zh-CN" w:bidi="en-US"/>
                </w:rPr>
              </w:pPr>
              <w:sdt>
                <w:sdtPr>
                  <w:alias w:val="Numeris"/>
                  <w:tag w:val="nr_2470c6dcc68b45439c05becb05870fd9"/>
                  <w:lock w:val="sdtLocked"/>
                  <w:richText/>
                </w:sdtPr>
                <w:sdtContent>
                  <w:r>
                    <w:rPr>
                      <w:rFonts w:eastAsia="Andale Sans UI;Times New Roman" w:cs="Tahoma"/>
                      <w:color w:val="000000"/>
                      <w:szCs w:val="24"/>
                      <w:lang w:eastAsia="zh-CN" w:bidi="en-US"/>
                    </w:rPr>
                    <w:t>4</w:t>
                  </w:r>
                </w:sdtContent>
              </w:sdt>
              <w:r>
                <w:rPr>
                  <w:rFonts w:eastAsia="Andale Sans UI;Times New Roman" w:cs="Tahoma"/>
                  <w:color w:val="000000"/>
                  <w:szCs w:val="24"/>
                  <w:lang w:eastAsia="zh-CN" w:bidi="en-US"/>
                </w:rPr>
                <w:t>. Antikorupcinio vertinimo pažyma, 6 lapai.</w:t>
              </w:r>
            </w:p>
            <w:p>
              <w:pPr>
                <w:widowControl w:val="0"/>
                <w:suppressAutoHyphens/>
                <w:ind w:firstLine="567"/>
                <w:jc w:val="both"/>
                <w:rPr>
                  <w:rFonts w:eastAsia="Andale Sans UI;Times New Roman" w:cs="Tahoma"/>
                  <w:color w:val="000000"/>
                  <w:szCs w:val="24"/>
                  <w:lang w:eastAsia="zh-CN" w:bidi="en-US"/>
                </w:rPr>
              </w:pPr>
            </w:p>
            <w:p>
              <w:pPr>
                <w:widowControl w:val="0"/>
                <w:suppressAutoHyphens/>
                <w:spacing w:line="276" w:lineRule="auto"/>
                <w:ind w:firstLine="567"/>
                <w:jc w:val="both"/>
                <w:rPr>
                  <w:rFonts w:eastAsia="Andale Sans UI;Times New Roman" w:cs="Tahoma"/>
                  <w:color w:val="000000"/>
                  <w:szCs w:val="24"/>
                  <w:lang w:eastAsia="zh-CN" w:bidi="en-US"/>
                </w:rPr>
              </w:pPr>
            </w:p>
            <w:p>
              <w:pPr>
                <w:widowControl w:val="0"/>
                <w:suppressAutoHyphens/>
                <w:spacing w:line="276" w:lineRule="auto"/>
                <w:jc w:val="both"/>
                <w:rPr>
                  <w:rFonts w:eastAsia="Andale Sans UI;Times New Roman" w:cs="Tahoma"/>
                  <w:szCs w:val="24"/>
                  <w:lang w:eastAsia="zh-CN" w:bidi="en-US"/>
                </w:rPr>
              </w:pPr>
              <w:r>
                <w:rPr>
                  <w:rFonts w:eastAsia="Andale Sans UI;Times New Roman" w:cs="Tahoma"/>
                  <w:color w:val="000000"/>
                  <w:szCs w:val="24"/>
                  <w:lang w:eastAsia="zh-CN" w:bidi="en-US"/>
                </w:rPr>
                <w:t>Aplinkos viceministrė</w:t>
                <w:tab/>
                <w:tab/>
                <w:tab/>
                <w:tab/>
                <w:tab/>
                <w:tab/>
                <w:tab/>
                <w:tab/>
                <w:tab/>
                <w:tab/>
                <w:t xml:space="preserve">   </w:t>
              </w:r>
              <w:r>
                <w:rPr>
                  <w:rFonts w:eastAsia="Andale Sans UI;Times New Roman" w:cs="Tahoma"/>
                  <w:szCs w:val="24"/>
                  <w:lang w:eastAsia="zh-CN" w:bidi="en-US"/>
                </w:rPr>
                <w:t>Raminta Radavičienė</w:t>
              </w:r>
            </w:p>
            <w:tbl>
              <w:tblPr>
                <w:tblW w:w="9643" w:type="dxa"/>
                <w:tblInd w:w="8" w:type="dxa"/>
                <w:tblLayout w:type="fixed"/>
                <w:tblCellMar>
                  <w:left w:w="0" w:type="dxa"/>
                  <w:right w:w="0" w:type="dxa"/>
                </w:tblCellMar>
                <w:tblLook w:val="04A0" w:firstRow="1" w:lastRow="0" w:firstColumn="1" w:lastColumn="0" w:noHBand="0" w:noVBand="1"/>
              </w:tblPr>
              <w:tblGrid>
                <w:gridCol w:w="9643"/>
              </w:tblGrid>
              <w:tr>
                <w:trPr>
                  <w:trHeight w:val="340"/>
                </w:trPr>
                <w:tc>
                  <w:tcPr>
                    <w:tcW w:w="9643" w:type="dxa"/>
                  </w:tcPr>
                  <w:p>
                    <w:pPr>
                      <w:rPr>
                        <w:sz w:val="8"/>
                        <w:szCs w:val="8"/>
                      </w:rPr>
                    </w:pPr>
                  </w:p>
                  <w:p>
                    <w:pPr>
                      <w:snapToGrid w:val="0"/>
                      <w:rPr>
                        <w:szCs w:val="24"/>
                        <w:lang w:eastAsia="zh-CN"/>
                      </w:rPr>
                    </w:pPr>
                  </w:p>
                  <w:p>
                    <w:pPr>
                      <w:rPr>
                        <w:sz w:val="8"/>
                        <w:szCs w:val="8"/>
                      </w:rPr>
                    </w:pPr>
                  </w:p>
                  <w:p>
                    <w:pPr>
                      <w:rPr>
                        <w:szCs w:val="24"/>
                        <w:lang w:eastAsia="zh-CN"/>
                      </w:rPr>
                    </w:pPr>
                  </w:p>
                  <w:p>
                    <w:pPr>
                      <w:rPr>
                        <w:sz w:val="8"/>
                        <w:szCs w:val="8"/>
                      </w:rPr>
                    </w:pPr>
                  </w:p>
                  <w:p>
                    <w:pPr>
                      <w:rPr>
                        <w:szCs w:val="24"/>
                        <w:lang w:eastAsia="zh-CN"/>
                      </w:rPr>
                    </w:pPr>
                  </w:p>
                  <w:p>
                    <w:pPr>
                      <w:rPr>
                        <w:sz w:val="8"/>
                        <w:szCs w:val="8"/>
                      </w:rPr>
                    </w:pPr>
                  </w:p>
                  <w:p>
                    <w:pPr>
                      <w:rPr>
                        <w:szCs w:val="24"/>
                        <w:lang w:eastAsia="zh-CN"/>
                      </w:rPr>
                    </w:pPr>
                  </w:p>
                  <w:p>
                    <w:pPr>
                      <w:rPr>
                        <w:sz w:val="8"/>
                        <w:szCs w:val="8"/>
                      </w:rPr>
                    </w:pPr>
                  </w:p>
                  <w:p>
                    <w:pPr>
                      <w:rPr>
                        <w:szCs w:val="24"/>
                        <w:lang w:eastAsia="zh-CN"/>
                      </w:rPr>
                    </w:pPr>
                  </w:p>
                  <w:p>
                    <w:pPr>
                      <w:rPr>
                        <w:sz w:val="8"/>
                        <w:szCs w:val="8"/>
                      </w:rPr>
                    </w:pPr>
                  </w:p>
                  <w:p>
                    <w:pPr>
                      <w:rPr>
                        <w:szCs w:val="24"/>
                        <w:lang w:eastAsia="zh-CN"/>
                      </w:rPr>
                    </w:pPr>
                  </w:p>
                  <w:p>
                    <w:pPr>
                      <w:rPr>
                        <w:sz w:val="8"/>
                        <w:szCs w:val="8"/>
                      </w:rPr>
                    </w:pPr>
                  </w:p>
                  <w:p>
                    <w:pPr>
                      <w:rPr>
                        <w:szCs w:val="24"/>
                        <w:lang w:eastAsia="zh-CN"/>
                      </w:rPr>
                    </w:pPr>
                  </w:p>
                  <w:p>
                    <w:pPr>
                      <w:rPr>
                        <w:sz w:val="8"/>
                        <w:szCs w:val="8"/>
                      </w:rPr>
                    </w:pPr>
                  </w:p>
                  <w:p>
                    <w:pPr>
                      <w:rPr>
                        <w:szCs w:val="24"/>
                        <w:lang w:eastAsia="zh-CN"/>
                      </w:rPr>
                    </w:pPr>
                  </w:p>
                  <w:p>
                    <w:pPr>
                      <w:rPr>
                        <w:sz w:val="8"/>
                        <w:szCs w:val="8"/>
                      </w:rPr>
                    </w:pPr>
                  </w:p>
                  <w:p>
                    <w:pPr>
                      <w:rPr>
                        <w:szCs w:val="24"/>
                        <w:lang w:eastAsia="zh-CN"/>
                      </w:rPr>
                    </w:pPr>
                  </w:p>
                  <w:p>
                    <w:pPr>
                      <w:rPr>
                        <w:sz w:val="8"/>
                        <w:szCs w:val="8"/>
                      </w:rPr>
                    </w:pPr>
                  </w:p>
                  <w:p>
                    <w:pPr>
                      <w:rPr>
                        <w:szCs w:val="24"/>
                        <w:lang w:eastAsia="zh-CN"/>
                      </w:rPr>
                    </w:pPr>
                  </w:p>
                  <w:p>
                    <w:pPr>
                      <w:rPr>
                        <w:sz w:val="8"/>
                        <w:szCs w:val="8"/>
                      </w:rPr>
                    </w:pPr>
                  </w:p>
                  <w:p>
                    <w:pPr>
                      <w:rPr>
                        <w:szCs w:val="24"/>
                        <w:lang w:eastAsia="zh-CN"/>
                      </w:rPr>
                    </w:pPr>
                    <w:r>
                      <w:rPr>
                        <w:szCs w:val="24"/>
                        <w:lang w:eastAsia="zh-CN"/>
                      </w:rPr>
                      <w:t xml:space="preserve">J. Vaišnorienė, 8  695 54 136, el. p. j.vaisnoriene@am.lt</w:t>
                    </w:r>
                  </w:p>
                </w:tc>
              </w:tr>
            </w:tbl>
            <w:p>
              <w:pPr>
                <w:widowControl w:val="0"/>
                <w:suppressAutoHyphens/>
                <w:jc w:val="both"/>
                <w:rPr>
                  <w:rFonts w:eastAsia="Andale Sans UI;Times New Roman" w:cs="Tahoma"/>
                  <w:szCs w:val="24"/>
                  <w:lang w:val="en-US" w:eastAsia="zh-CN" w:bidi="en-US"/>
                </w:rPr>
              </w:pPr>
            </w:p>
            <w:p>
              <w:pPr>
                <w:widowControl w:val="0"/>
                <w:suppressAutoHyphens/>
                <w:jc w:val="both"/>
                <w:rPr>
                  <w:rFonts w:eastAsia="Andale Sans UI;Times New Roman" w:cs="Tahoma"/>
                  <w:szCs w:val="24"/>
                  <w:lang w:eastAsia="zh-CN" w:bidi="en-US"/>
                </w:rPr>
              </w:pP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Adresatų sąrašas:</w:t>
              </w:r>
            </w:p>
            <w:p>
              <w:pPr>
                <w:widowControl w:val="0"/>
                <w:suppressAutoHyphens/>
                <w:jc w:val="both"/>
                <w:rPr>
                  <w:rFonts w:eastAsia="Andale Sans UI;Times New Roman" w:cs="Tahoma"/>
                  <w:szCs w:val="24"/>
                  <w:lang w:eastAsia="zh-CN" w:bidi="en-US"/>
                </w:rPr>
              </w:pP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Aplinkos apsaugos agentūrai prie Lietuvos Respublikos aplinkos ministerijos</w:t>
              </w:r>
            </w:p>
          </w:sdtContent>
        </w:sdt>
        <w:sdt>
          <w:sdtPr>
            <w:alias w:val="signatura"/>
            <w:tag w:val="part_7aaf2bcbc6ea4243835cc6b9d6ca56ef"/>
            <w:lock w:val="sdtLocked"/>
            <w:richText/>
          </w:sdtPr>
          <w:sdtContent>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Atsakingai vandentvarkos asociacijai „Vandens jėga“</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Respublikos ekonomikos ir inovacijų ministerijai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Respublikos teisingumo ministerijai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Respublikos specialiųjų tyrimų tarnybai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Respublikos sveikatos apsaugos ministerijai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nuotekų vežėjų asociacijai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pramoninkų konfederacijai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savivaldybių asociacijai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vandens tiekėjų asociacijai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Valstybinei duomenų apsaugos inspekcijai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Valstybinei energetikos reguliavimo tarybai</w:t>
              </w:r>
            </w:p>
            <w:p>
              <w:pPr>
                <w:widowControl w:val="0"/>
                <w:suppressAutoHyphens/>
                <w:rPr>
                  <w:rFonts w:eastAsia="Andale Sans UI;Times New Roman" w:cs="Tahoma"/>
                  <w:szCs w:val="24"/>
                  <w:lang w:eastAsia="zh-CN" w:bidi="en-US"/>
                </w:rPr>
              </w:pPr>
              <w:r>
                <w:rPr>
                  <w:rFonts w:eastAsia="Andale Sans UI;Times New Roman" w:cs="Tahoma"/>
                  <w:szCs w:val="24"/>
                  <w:lang w:eastAsia="zh-CN" w:bidi="en-US"/>
                </w:rPr>
                <w:t>Valstybinei vartotojų teisių apsaugos tarnybai</w:t>
              </w:r>
            </w:p>
            <w:p>
              <w:pPr>
                <w:widowControl w:val="0"/>
                <w:suppressAutoHyphens/>
                <w:rPr>
                  <w:rFonts w:eastAsia="Andale Sans UI;Times New Roman" w:cs="Tahoma"/>
                  <w:szCs w:val="24"/>
                  <w:lang w:eastAsia="zh-CN" w:bidi="en-US"/>
                </w:rPr>
              </w:pPr>
              <w:r>
                <w:rPr>
                  <w:rFonts w:eastAsia="Andale Sans UI;Times New Roman" w:cs="Tahoma"/>
                  <w:szCs w:val="24"/>
                  <w:lang w:eastAsia="zh-CN" w:bidi="en-US"/>
                </w:rPr>
                <w:t>Valstybinei maisto ir veterinarijos tarnybai</w:t>
              </w:r>
            </w:p>
            <w:p>
              <w:pPr>
                <w:widowControl w:val="0"/>
                <w:tabs>
                  <w:tab w:val="left" w:pos="3802"/>
                </w:tabs>
                <w:suppressAutoHyphens/>
                <w:rPr>
                  <w:szCs w:val="24"/>
                  <w:lang w:eastAsia="zh-CN" w:bidi="en-US"/>
                </w:rPr>
              </w:pPr>
              <w:r>
                <w:rPr>
                  <w:szCs w:val="24"/>
                  <w:lang w:eastAsia="zh-CN" w:bidi="en-US"/>
                </w:rPr>
                <w:t>UAB „Akmenės vandenys“</w:t>
              </w:r>
            </w:p>
            <w:p>
              <w:pPr>
                <w:widowControl w:val="0"/>
                <w:tabs>
                  <w:tab w:val="left" w:pos="3802"/>
                </w:tabs>
                <w:suppressAutoHyphens/>
                <w:rPr>
                  <w:szCs w:val="24"/>
                  <w:lang w:eastAsia="zh-CN" w:bidi="en-US"/>
                </w:rPr>
              </w:pPr>
              <w:r>
                <w:rPr>
                  <w:szCs w:val="24"/>
                  <w:lang w:eastAsia="zh-CN" w:bidi="en-US"/>
                </w:rPr>
                <w:t>UAB „Dzūkijos vandenys“</w:t>
              </w:r>
            </w:p>
            <w:p>
              <w:pPr>
                <w:widowControl w:val="0"/>
                <w:tabs>
                  <w:tab w:val="left" w:pos="3802"/>
                </w:tabs>
                <w:suppressAutoHyphens/>
                <w:rPr>
                  <w:rFonts w:eastAsia="Andale Sans UI;Times New Roman" w:cs="Tahoma"/>
                  <w:szCs w:val="24"/>
                  <w:lang w:eastAsia="zh-CN" w:bidi="en-US"/>
                </w:rPr>
              </w:pPr>
              <w:r>
                <w:rPr>
                  <w:szCs w:val="24"/>
                  <w:lang w:eastAsia="zh-CN" w:bidi="en-US"/>
                </w:rPr>
                <w:t>SĮ „Simno komunalininkas“</w:t>
              </w:r>
            </w:p>
            <w:p>
              <w:pPr>
                <w:widowControl w:val="0"/>
                <w:tabs>
                  <w:tab w:val="left" w:pos="3802"/>
                </w:tabs>
                <w:suppressAutoHyphens/>
                <w:rPr>
                  <w:szCs w:val="24"/>
                  <w:lang w:eastAsia="zh-CN" w:bidi="en-US"/>
                </w:rPr>
              </w:pPr>
              <w:r>
                <w:rPr>
                  <w:szCs w:val="24"/>
                  <w:lang w:eastAsia="zh-CN" w:bidi="en-US"/>
                </w:rPr>
                <w:t>UAB „Anykščių vandenys“</w:t>
              </w:r>
            </w:p>
            <w:p>
              <w:pPr>
                <w:widowControl w:val="0"/>
                <w:tabs>
                  <w:tab w:val="left" w:pos="3802"/>
                </w:tabs>
                <w:suppressAutoHyphens/>
                <w:rPr>
                  <w:szCs w:val="24"/>
                  <w:lang w:eastAsia="zh-CN" w:bidi="en-US"/>
                </w:rPr>
              </w:pPr>
              <w:r>
                <w:rPr>
                  <w:szCs w:val="24"/>
                  <w:lang w:eastAsia="zh-CN" w:bidi="en-US"/>
                </w:rPr>
                <w:t>UAB „Birštono vandentiekis“</w:t>
              </w:r>
            </w:p>
            <w:p>
              <w:pPr>
                <w:widowControl w:val="0"/>
                <w:tabs>
                  <w:tab w:val="left" w:pos="3802"/>
                </w:tabs>
                <w:suppressAutoHyphens/>
                <w:rPr>
                  <w:szCs w:val="24"/>
                  <w:lang w:eastAsia="zh-CN" w:bidi="en-US"/>
                </w:rPr>
              </w:pPr>
              <w:r>
                <w:rPr>
                  <w:szCs w:val="24"/>
                  <w:lang w:eastAsia="zh-CN" w:bidi="en-US"/>
                </w:rPr>
                <w:t>UAB „Biržų vandenys“</w:t>
              </w:r>
            </w:p>
            <w:p>
              <w:pPr>
                <w:widowControl w:val="0"/>
                <w:tabs>
                  <w:tab w:val="left" w:pos="3802"/>
                </w:tabs>
                <w:suppressAutoHyphens/>
                <w:rPr>
                  <w:szCs w:val="24"/>
                  <w:lang w:eastAsia="zh-CN" w:bidi="en-US"/>
                </w:rPr>
              </w:pPr>
              <w:r>
                <w:rPr>
                  <w:szCs w:val="24"/>
                  <w:lang w:eastAsia="zh-CN" w:bidi="en-US"/>
                </w:rPr>
                <w:t>UAB „Druskininkų vandenys“</w:t>
              </w:r>
            </w:p>
            <w:p>
              <w:pPr>
                <w:widowControl w:val="0"/>
                <w:tabs>
                  <w:tab w:val="left" w:pos="3802"/>
                </w:tabs>
                <w:suppressAutoHyphens/>
                <w:rPr>
                  <w:szCs w:val="24"/>
                  <w:lang w:eastAsia="zh-CN" w:bidi="en-US"/>
                </w:rPr>
              </w:pPr>
              <w:r>
                <w:rPr>
                  <w:szCs w:val="24"/>
                  <w:lang w:eastAsia="zh-CN" w:bidi="en-US"/>
                </w:rPr>
                <w:t>UAB „Elektrėnų komunalinis ūkis“</w:t>
              </w:r>
            </w:p>
            <w:p>
              <w:pPr>
                <w:widowControl w:val="0"/>
                <w:tabs>
                  <w:tab w:val="left" w:pos="3802"/>
                </w:tabs>
                <w:suppressAutoHyphens/>
                <w:rPr>
                  <w:szCs w:val="24"/>
                  <w:lang w:eastAsia="zh-CN" w:bidi="en-US"/>
                </w:rPr>
              </w:pPr>
              <w:r>
                <w:rPr>
                  <w:szCs w:val="24"/>
                  <w:lang w:eastAsia="zh-CN" w:bidi="en-US"/>
                </w:rPr>
                <w:t xml:space="preserve">UAB „Ignalinos vanduo“ </w:t>
              </w:r>
            </w:p>
            <w:p>
              <w:pPr>
                <w:widowControl w:val="0"/>
                <w:tabs>
                  <w:tab w:val="left" w:pos="3802"/>
                </w:tabs>
                <w:suppressAutoHyphens/>
                <w:rPr>
                  <w:szCs w:val="24"/>
                  <w:lang w:eastAsia="zh-CN" w:bidi="en-US"/>
                </w:rPr>
              </w:pPr>
              <w:r>
                <w:rPr>
                  <w:szCs w:val="24"/>
                  <w:lang w:eastAsia="zh-CN" w:bidi="en-US"/>
                </w:rPr>
                <w:t>UAB „Didžiasalio komunalinės paslaugos“</w:t>
              </w:r>
            </w:p>
            <w:p>
              <w:pPr>
                <w:widowControl w:val="0"/>
                <w:tabs>
                  <w:tab w:val="left" w:pos="3802"/>
                </w:tabs>
                <w:suppressAutoHyphens/>
                <w:rPr>
                  <w:szCs w:val="24"/>
                  <w:lang w:eastAsia="zh-CN" w:bidi="en-US"/>
                </w:rPr>
              </w:pPr>
              <w:r>
                <w:rPr>
                  <w:szCs w:val="24"/>
                  <w:lang w:eastAsia="zh-CN" w:bidi="en-US"/>
                </w:rPr>
                <w:t>UAB „Jonavos vandenys“</w:t>
              </w:r>
            </w:p>
            <w:p>
              <w:pPr>
                <w:widowControl w:val="0"/>
                <w:tabs>
                  <w:tab w:val="left" w:pos="3802"/>
                </w:tabs>
                <w:suppressAutoHyphens/>
                <w:rPr>
                  <w:szCs w:val="24"/>
                  <w:lang w:eastAsia="zh-CN" w:bidi="en-US"/>
                </w:rPr>
              </w:pPr>
              <w:r>
                <w:rPr>
                  <w:szCs w:val="24"/>
                  <w:lang w:eastAsia="zh-CN" w:bidi="en-US"/>
                </w:rPr>
                <w:t>UAB „Joniškio vandenys“</w:t>
              </w:r>
            </w:p>
            <w:p>
              <w:pPr>
                <w:widowControl w:val="0"/>
                <w:tabs>
                  <w:tab w:val="left" w:pos="3802"/>
                </w:tabs>
                <w:suppressAutoHyphens/>
                <w:rPr>
                  <w:szCs w:val="24"/>
                  <w:lang w:eastAsia="zh-CN" w:bidi="en-US"/>
                </w:rPr>
              </w:pPr>
              <w:r>
                <w:rPr>
                  <w:szCs w:val="24"/>
                  <w:lang w:eastAsia="zh-CN" w:bidi="en-US"/>
                </w:rPr>
                <w:t>UAB „Jurbarko vandenys“</w:t>
              </w:r>
            </w:p>
            <w:p>
              <w:pPr>
                <w:widowControl w:val="0"/>
                <w:tabs>
                  <w:tab w:val="left" w:pos="3802"/>
                </w:tabs>
                <w:suppressAutoHyphens/>
                <w:rPr>
                  <w:szCs w:val="24"/>
                  <w:lang w:eastAsia="zh-CN" w:bidi="en-US"/>
                </w:rPr>
              </w:pPr>
              <w:r>
                <w:rPr>
                  <w:szCs w:val="24"/>
                  <w:lang w:eastAsia="zh-CN" w:bidi="en-US"/>
                </w:rPr>
                <w:t>UAB „ Kaišiadorių vandenys“</w:t>
              </w:r>
            </w:p>
            <w:p>
              <w:pPr>
                <w:widowControl w:val="0"/>
                <w:tabs>
                  <w:tab w:val="left" w:pos="3802"/>
                </w:tabs>
                <w:suppressAutoHyphens/>
                <w:rPr>
                  <w:szCs w:val="24"/>
                  <w:lang w:eastAsia="zh-CN" w:bidi="en-US"/>
                </w:rPr>
              </w:pPr>
              <w:r>
                <w:rPr>
                  <w:szCs w:val="24"/>
                  <w:lang w:eastAsia="zh-CN" w:bidi="en-US"/>
                </w:rPr>
                <w:t>UAB „Kalvarijos komunalininkas“</w:t>
              </w:r>
            </w:p>
            <w:p>
              <w:pPr>
                <w:widowControl w:val="0"/>
                <w:tabs>
                  <w:tab w:val="left" w:pos="3802"/>
                </w:tabs>
                <w:suppressAutoHyphens/>
                <w:rPr>
                  <w:szCs w:val="24"/>
                  <w:lang w:eastAsia="zh-CN" w:bidi="en-US"/>
                </w:rPr>
              </w:pPr>
              <w:r>
                <w:rPr>
                  <w:szCs w:val="24"/>
                  <w:lang w:eastAsia="zh-CN" w:bidi="en-US"/>
                </w:rPr>
                <w:t>UAB „Kauno vandenys“</w:t>
              </w:r>
            </w:p>
            <w:p>
              <w:pPr>
                <w:widowControl w:val="0"/>
                <w:tabs>
                  <w:tab w:val="left" w:pos="3802"/>
                </w:tabs>
                <w:suppressAutoHyphens/>
                <w:rPr>
                  <w:szCs w:val="24"/>
                  <w:lang w:eastAsia="zh-CN" w:bidi="en-US"/>
                </w:rPr>
              </w:pPr>
              <w:r>
                <w:rPr>
                  <w:szCs w:val="24"/>
                  <w:lang w:eastAsia="zh-CN" w:bidi="en-US"/>
                </w:rPr>
                <w:t>UAB „Giraitės vandenys“</w:t>
              </w:r>
            </w:p>
            <w:p>
              <w:pPr>
                <w:widowControl w:val="0"/>
                <w:tabs>
                  <w:tab w:val="left" w:pos="3802"/>
                </w:tabs>
                <w:suppressAutoHyphens/>
                <w:rPr>
                  <w:szCs w:val="24"/>
                  <w:lang w:eastAsia="zh-CN" w:bidi="en-US"/>
                </w:rPr>
              </w:pPr>
              <w:r>
                <w:rPr>
                  <w:szCs w:val="24"/>
                  <w:lang w:eastAsia="zh-CN" w:bidi="en-US"/>
                </w:rPr>
                <w:t>UAB „Kazlų Rūdos komunalininkas“</w:t>
              </w:r>
            </w:p>
            <w:p>
              <w:pPr>
                <w:widowControl w:val="0"/>
                <w:tabs>
                  <w:tab w:val="left" w:pos="3802"/>
                </w:tabs>
                <w:suppressAutoHyphens/>
                <w:rPr>
                  <w:szCs w:val="24"/>
                  <w:lang w:eastAsia="zh-CN" w:bidi="en-US"/>
                </w:rPr>
              </w:pPr>
              <w:r>
                <w:rPr>
                  <w:szCs w:val="24"/>
                  <w:lang w:eastAsia="zh-CN" w:bidi="en-US"/>
                </w:rPr>
                <w:t>UAB „Kelmės vanduo“</w:t>
              </w:r>
            </w:p>
            <w:p>
              <w:pPr>
                <w:widowControl w:val="0"/>
                <w:tabs>
                  <w:tab w:val="left" w:pos="3802"/>
                </w:tabs>
                <w:suppressAutoHyphens/>
                <w:rPr>
                  <w:szCs w:val="24"/>
                  <w:lang w:eastAsia="zh-CN" w:bidi="en-US"/>
                </w:rPr>
              </w:pPr>
              <w:r>
                <w:rPr>
                  <w:szCs w:val="24"/>
                  <w:lang w:eastAsia="zh-CN" w:bidi="en-US"/>
                </w:rPr>
                <w:t>UAB „Kėdainių vandenys“</w:t>
              </w:r>
            </w:p>
            <w:p>
              <w:pPr>
                <w:widowControl w:val="0"/>
                <w:tabs>
                  <w:tab w:val="left" w:pos="3802"/>
                </w:tabs>
                <w:suppressAutoHyphens/>
                <w:rPr>
                  <w:szCs w:val="24"/>
                  <w:lang w:eastAsia="zh-CN" w:bidi="en-US"/>
                </w:rPr>
              </w:pPr>
              <w:r>
                <w:rPr>
                  <w:szCs w:val="24"/>
                  <w:lang w:eastAsia="zh-CN" w:bidi="en-US"/>
                </w:rPr>
                <w:t>AB „Klaipėdos vanduo“</w:t>
              </w:r>
            </w:p>
            <w:p>
              <w:pPr>
                <w:widowControl w:val="0"/>
                <w:tabs>
                  <w:tab w:val="left" w:pos="3802"/>
                </w:tabs>
                <w:suppressAutoHyphens/>
                <w:rPr>
                  <w:szCs w:val="24"/>
                  <w:lang w:eastAsia="zh-CN" w:bidi="en-US"/>
                </w:rPr>
              </w:pPr>
              <w:r>
                <w:rPr>
                  <w:szCs w:val="24"/>
                  <w:lang w:eastAsia="zh-CN" w:bidi="en-US"/>
                </w:rPr>
                <w:t>AB „Klaipėdos vanduo“</w:t>
              </w:r>
            </w:p>
            <w:p>
              <w:pPr>
                <w:widowControl w:val="0"/>
                <w:tabs>
                  <w:tab w:val="left" w:pos="3802"/>
                </w:tabs>
                <w:suppressAutoHyphens/>
                <w:rPr>
                  <w:szCs w:val="24"/>
                  <w:lang w:eastAsia="zh-CN" w:bidi="en-US"/>
                </w:rPr>
              </w:pPr>
              <w:r>
                <w:rPr>
                  <w:szCs w:val="24"/>
                  <w:lang w:eastAsia="zh-CN" w:bidi="en-US"/>
                </w:rPr>
                <w:t>UAB „Kretingos vandenys“</w:t>
              </w:r>
            </w:p>
            <w:p>
              <w:pPr>
                <w:widowControl w:val="0"/>
                <w:tabs>
                  <w:tab w:val="left" w:pos="3802"/>
                </w:tabs>
                <w:suppressAutoHyphens/>
                <w:rPr>
                  <w:szCs w:val="24"/>
                  <w:lang w:eastAsia="zh-CN" w:bidi="en-US"/>
                </w:rPr>
              </w:pPr>
              <w:r>
                <w:rPr>
                  <w:szCs w:val="24"/>
                  <w:lang w:eastAsia="zh-CN" w:bidi="en-US"/>
                </w:rPr>
                <w:t>UAB „Kupiškio vandenys“</w:t>
              </w:r>
            </w:p>
            <w:p>
              <w:pPr>
                <w:widowControl w:val="0"/>
                <w:tabs>
                  <w:tab w:val="left" w:pos="3802"/>
                </w:tabs>
                <w:suppressAutoHyphens/>
                <w:rPr>
                  <w:szCs w:val="24"/>
                  <w:lang w:eastAsia="zh-CN" w:bidi="en-US"/>
                </w:rPr>
              </w:pPr>
              <w:r>
                <w:rPr>
                  <w:szCs w:val="24"/>
                  <w:lang w:eastAsia="zh-CN" w:bidi="en-US"/>
                </w:rPr>
                <w:t>UAB „Lazdijų vanduo“</w:t>
              </w:r>
            </w:p>
            <w:p>
              <w:pPr>
                <w:widowControl w:val="0"/>
                <w:tabs>
                  <w:tab w:val="left" w:pos="3802"/>
                </w:tabs>
                <w:suppressAutoHyphens/>
                <w:rPr>
                  <w:szCs w:val="24"/>
                  <w:lang w:eastAsia="zh-CN" w:bidi="en-US"/>
                </w:rPr>
              </w:pPr>
              <w:r>
                <w:rPr>
                  <w:szCs w:val="24"/>
                  <w:lang w:eastAsia="zh-CN" w:bidi="en-US"/>
                </w:rPr>
                <w:t>UAB „Sūduvos vandenys“</w:t>
              </w:r>
            </w:p>
            <w:p>
              <w:pPr>
                <w:widowControl w:val="0"/>
                <w:tabs>
                  <w:tab w:val="left" w:pos="3802"/>
                </w:tabs>
                <w:suppressAutoHyphens/>
                <w:rPr>
                  <w:szCs w:val="24"/>
                  <w:lang w:eastAsia="zh-CN" w:bidi="en-US"/>
                </w:rPr>
              </w:pPr>
              <w:r>
                <w:rPr>
                  <w:szCs w:val="24"/>
                  <w:lang w:eastAsia="zh-CN" w:bidi="en-US"/>
                </w:rPr>
                <w:t>UAB „Mažeikių vandenys“</w:t>
              </w:r>
            </w:p>
            <w:p>
              <w:pPr>
                <w:widowControl w:val="0"/>
                <w:tabs>
                  <w:tab w:val="left" w:pos="3802"/>
                </w:tabs>
                <w:suppressAutoHyphens/>
                <w:rPr>
                  <w:szCs w:val="24"/>
                  <w:lang w:eastAsia="zh-CN" w:bidi="en-US"/>
                </w:rPr>
              </w:pPr>
              <w:r>
                <w:rPr>
                  <w:szCs w:val="24"/>
                  <w:lang w:eastAsia="zh-CN" w:bidi="en-US"/>
                </w:rPr>
                <w:t>UAB „Molėtų vanduo“</w:t>
              </w:r>
            </w:p>
            <w:p>
              <w:pPr>
                <w:widowControl w:val="0"/>
                <w:tabs>
                  <w:tab w:val="left" w:pos="3802"/>
                </w:tabs>
                <w:suppressAutoHyphens/>
                <w:rPr>
                  <w:szCs w:val="24"/>
                  <w:lang w:eastAsia="zh-CN" w:bidi="en-US"/>
                </w:rPr>
              </w:pPr>
              <w:r>
                <w:rPr>
                  <w:szCs w:val="24"/>
                  <w:lang w:eastAsia="zh-CN" w:bidi="en-US"/>
                </w:rPr>
                <w:t>UAB „Neringos vanduo“</w:t>
              </w:r>
            </w:p>
            <w:p>
              <w:pPr>
                <w:widowControl w:val="0"/>
                <w:tabs>
                  <w:tab w:val="left" w:pos="3802"/>
                </w:tabs>
                <w:suppressAutoHyphens/>
                <w:rPr>
                  <w:szCs w:val="24"/>
                  <w:lang w:eastAsia="zh-CN" w:bidi="en-US"/>
                </w:rPr>
              </w:pPr>
              <w:r>
                <w:rPr>
                  <w:szCs w:val="24"/>
                  <w:lang w:eastAsia="zh-CN" w:bidi="en-US"/>
                </w:rPr>
                <w:t>UAB „Pagėgių komunalinis ūkis“</w:t>
              </w:r>
            </w:p>
            <w:p>
              <w:pPr>
                <w:widowControl w:val="0"/>
                <w:tabs>
                  <w:tab w:val="left" w:pos="3802"/>
                </w:tabs>
                <w:suppressAutoHyphens/>
                <w:rPr>
                  <w:szCs w:val="24"/>
                  <w:lang w:eastAsia="zh-CN" w:bidi="en-US"/>
                </w:rPr>
              </w:pPr>
              <w:r>
                <w:rPr>
                  <w:szCs w:val="24"/>
                  <w:lang w:eastAsia="zh-CN" w:bidi="en-US"/>
                </w:rPr>
                <w:t>UAB „Pakruojo vandentiekis“</w:t>
              </w:r>
            </w:p>
            <w:p>
              <w:pPr>
                <w:widowControl w:val="0"/>
                <w:tabs>
                  <w:tab w:val="left" w:pos="3802"/>
                </w:tabs>
                <w:suppressAutoHyphens/>
                <w:rPr>
                  <w:szCs w:val="24"/>
                  <w:lang w:eastAsia="zh-CN" w:bidi="en-US"/>
                </w:rPr>
              </w:pPr>
              <w:r>
                <w:rPr>
                  <w:szCs w:val="24"/>
                  <w:lang w:eastAsia="zh-CN" w:bidi="en-US"/>
                </w:rPr>
                <w:t>UAB „Palangos vandenys“</w:t>
              </w:r>
            </w:p>
            <w:p>
              <w:pPr>
                <w:widowControl w:val="0"/>
                <w:tabs>
                  <w:tab w:val="left" w:pos="3802"/>
                </w:tabs>
                <w:suppressAutoHyphens/>
                <w:rPr>
                  <w:szCs w:val="24"/>
                  <w:lang w:eastAsia="zh-CN" w:bidi="en-US"/>
                </w:rPr>
              </w:pPr>
              <w:r>
                <w:rPr>
                  <w:szCs w:val="24"/>
                  <w:lang w:eastAsia="zh-CN" w:bidi="en-US"/>
                </w:rPr>
                <w:t>UAB „Aukštaitijos vandenys“</w:t>
              </w:r>
            </w:p>
            <w:p>
              <w:pPr>
                <w:widowControl w:val="0"/>
                <w:tabs>
                  <w:tab w:val="left" w:pos="3802"/>
                </w:tabs>
                <w:suppressAutoHyphens/>
                <w:rPr>
                  <w:szCs w:val="24"/>
                  <w:lang w:eastAsia="zh-CN" w:bidi="en-US"/>
                </w:rPr>
              </w:pPr>
              <w:r>
                <w:rPr>
                  <w:szCs w:val="24"/>
                  <w:lang w:eastAsia="zh-CN" w:bidi="en-US"/>
                </w:rPr>
                <w:t>VšĮ „Velžio komunalinis ūkis“</w:t>
              </w:r>
            </w:p>
            <w:p>
              <w:pPr>
                <w:widowControl w:val="0"/>
                <w:tabs>
                  <w:tab w:val="left" w:pos="3802"/>
                </w:tabs>
                <w:suppressAutoHyphens/>
                <w:rPr>
                  <w:szCs w:val="24"/>
                  <w:lang w:eastAsia="zh-CN" w:bidi="en-US"/>
                </w:rPr>
              </w:pPr>
              <w:r>
                <w:rPr>
                  <w:szCs w:val="24"/>
                  <w:lang w:eastAsia="zh-CN" w:bidi="en-US"/>
                </w:rPr>
                <w:t>UAB „Pasvalio vandenys“</w:t>
              </w:r>
            </w:p>
            <w:p>
              <w:pPr>
                <w:widowControl w:val="0"/>
                <w:tabs>
                  <w:tab w:val="left" w:pos="3802"/>
                </w:tabs>
                <w:suppressAutoHyphens/>
                <w:rPr>
                  <w:szCs w:val="24"/>
                  <w:lang w:eastAsia="zh-CN" w:bidi="en-US"/>
                </w:rPr>
              </w:pPr>
              <w:r>
                <w:rPr>
                  <w:szCs w:val="24"/>
                  <w:lang w:eastAsia="zh-CN" w:bidi="en-US"/>
                </w:rPr>
                <w:t>UAB „Plungės vandenys“</w:t>
              </w:r>
            </w:p>
            <w:p>
              <w:pPr>
                <w:widowControl w:val="0"/>
                <w:tabs>
                  <w:tab w:val="left" w:pos="3802"/>
                </w:tabs>
                <w:suppressAutoHyphens/>
                <w:rPr>
                  <w:szCs w:val="24"/>
                  <w:lang w:eastAsia="zh-CN" w:bidi="en-US"/>
                </w:rPr>
              </w:pPr>
              <w:r>
                <w:rPr>
                  <w:szCs w:val="24"/>
                  <w:lang w:eastAsia="zh-CN" w:bidi="en-US"/>
                </w:rPr>
                <w:t>UAB „Prienų vandenys“</w:t>
              </w:r>
            </w:p>
            <w:p>
              <w:pPr>
                <w:widowControl w:val="0"/>
                <w:tabs>
                  <w:tab w:val="left" w:pos="3802"/>
                </w:tabs>
                <w:suppressAutoHyphens/>
                <w:rPr>
                  <w:szCs w:val="24"/>
                  <w:lang w:eastAsia="zh-CN" w:bidi="en-US"/>
                </w:rPr>
              </w:pPr>
              <w:r>
                <w:rPr>
                  <w:szCs w:val="24"/>
                  <w:lang w:eastAsia="zh-CN" w:bidi="en-US"/>
                </w:rPr>
                <w:t>UAB „Radviliškio vanduo“</w:t>
              </w:r>
            </w:p>
            <w:p>
              <w:pPr>
                <w:widowControl w:val="0"/>
                <w:tabs>
                  <w:tab w:val="left" w:pos="3802"/>
                </w:tabs>
                <w:suppressAutoHyphens/>
                <w:rPr>
                  <w:szCs w:val="24"/>
                  <w:lang w:eastAsia="zh-CN" w:bidi="en-US"/>
                </w:rPr>
              </w:pPr>
              <w:r>
                <w:rPr>
                  <w:szCs w:val="24"/>
                  <w:lang w:eastAsia="zh-CN" w:bidi="en-US"/>
                </w:rPr>
                <w:t>UAB „Raseinių vandenys“</w:t>
              </w:r>
            </w:p>
            <w:p>
              <w:pPr>
                <w:widowControl w:val="0"/>
                <w:tabs>
                  <w:tab w:val="left" w:pos="3802"/>
                </w:tabs>
                <w:suppressAutoHyphens/>
                <w:rPr>
                  <w:szCs w:val="24"/>
                  <w:lang w:eastAsia="zh-CN" w:bidi="en-US"/>
                </w:rPr>
              </w:pPr>
              <w:r>
                <w:rPr>
                  <w:szCs w:val="24"/>
                  <w:lang w:eastAsia="zh-CN" w:bidi="en-US"/>
                </w:rPr>
                <w:t>UAB „Rietavo komunalinis ūkis“</w:t>
              </w:r>
            </w:p>
            <w:p>
              <w:pPr>
                <w:widowControl w:val="0"/>
                <w:tabs>
                  <w:tab w:val="left" w:pos="3802"/>
                </w:tabs>
                <w:suppressAutoHyphens/>
                <w:rPr>
                  <w:szCs w:val="24"/>
                  <w:lang w:eastAsia="zh-CN" w:bidi="en-US"/>
                </w:rPr>
              </w:pPr>
              <w:r>
                <w:rPr>
                  <w:szCs w:val="24"/>
                  <w:lang w:eastAsia="zh-CN" w:bidi="en-US"/>
                </w:rPr>
                <w:t>UAB „Rokiškio vandenys“</w:t>
              </w:r>
            </w:p>
            <w:p>
              <w:pPr>
                <w:widowControl w:val="0"/>
                <w:tabs>
                  <w:tab w:val="left" w:pos="3802"/>
                </w:tabs>
                <w:suppressAutoHyphens/>
                <w:rPr>
                  <w:szCs w:val="24"/>
                  <w:lang w:eastAsia="zh-CN" w:bidi="en-US"/>
                </w:rPr>
              </w:pPr>
              <w:r>
                <w:rPr>
                  <w:szCs w:val="24"/>
                  <w:lang w:eastAsia="zh-CN" w:bidi="en-US"/>
                </w:rPr>
                <w:t>UAB „Skuodo vandenys“</w:t>
              </w:r>
            </w:p>
            <w:p>
              <w:pPr>
                <w:widowControl w:val="0"/>
                <w:tabs>
                  <w:tab w:val="left" w:pos="3802"/>
                </w:tabs>
                <w:suppressAutoHyphens/>
                <w:rPr>
                  <w:szCs w:val="24"/>
                  <w:lang w:eastAsia="zh-CN" w:bidi="en-US"/>
                </w:rPr>
              </w:pPr>
              <w:r>
                <w:rPr>
                  <w:szCs w:val="24"/>
                  <w:lang w:eastAsia="zh-CN" w:bidi="en-US"/>
                </w:rPr>
                <w:t>UAB „Šakių vandenys“</w:t>
              </w:r>
            </w:p>
            <w:p>
              <w:pPr>
                <w:widowControl w:val="0"/>
                <w:tabs>
                  <w:tab w:val="left" w:pos="3802"/>
                </w:tabs>
                <w:suppressAutoHyphens/>
                <w:rPr>
                  <w:szCs w:val="24"/>
                  <w:lang w:eastAsia="zh-CN" w:bidi="en-US"/>
                </w:rPr>
              </w:pPr>
              <w:r>
                <w:rPr>
                  <w:szCs w:val="24"/>
                  <w:lang w:eastAsia="zh-CN" w:bidi="en-US"/>
                </w:rPr>
                <w:t>UAB „Tvarkyba“</w:t>
              </w:r>
            </w:p>
            <w:p>
              <w:pPr>
                <w:widowControl w:val="0"/>
                <w:tabs>
                  <w:tab w:val="left" w:pos="3802"/>
                </w:tabs>
                <w:suppressAutoHyphens/>
                <w:rPr>
                  <w:szCs w:val="24"/>
                  <w:lang w:eastAsia="zh-CN" w:bidi="en-US"/>
                </w:rPr>
              </w:pPr>
              <w:r>
                <w:rPr>
                  <w:szCs w:val="24"/>
                  <w:lang w:eastAsia="zh-CN" w:bidi="en-US"/>
                </w:rPr>
                <w:t>UAB „Šiaulių vandenys“</w:t>
              </w:r>
            </w:p>
            <w:p>
              <w:pPr>
                <w:widowControl w:val="0"/>
                <w:tabs>
                  <w:tab w:val="left" w:pos="3802"/>
                </w:tabs>
                <w:suppressAutoHyphens/>
                <w:rPr>
                  <w:szCs w:val="24"/>
                  <w:lang w:eastAsia="zh-CN" w:bidi="en-US"/>
                </w:rPr>
              </w:pPr>
              <w:r>
                <w:rPr>
                  <w:szCs w:val="24"/>
                  <w:lang w:eastAsia="zh-CN" w:bidi="en-US"/>
                </w:rPr>
                <w:t>UAB „Kuršėnų vandenys“</w:t>
              </w:r>
            </w:p>
            <w:p>
              <w:pPr>
                <w:widowControl w:val="0"/>
                <w:tabs>
                  <w:tab w:val="left" w:pos="3802"/>
                </w:tabs>
                <w:suppressAutoHyphens/>
                <w:rPr>
                  <w:szCs w:val="24"/>
                  <w:lang w:eastAsia="zh-CN" w:bidi="en-US"/>
                </w:rPr>
              </w:pPr>
              <w:r>
                <w:rPr>
                  <w:szCs w:val="24"/>
                  <w:lang w:eastAsia="zh-CN" w:bidi="en-US"/>
                </w:rPr>
                <w:t>UAB „Šilalės vandenys“</w:t>
              </w:r>
            </w:p>
            <w:p>
              <w:pPr>
                <w:widowControl w:val="0"/>
                <w:tabs>
                  <w:tab w:val="left" w:pos="3802"/>
                </w:tabs>
                <w:suppressAutoHyphens/>
                <w:rPr>
                  <w:szCs w:val="24"/>
                  <w:lang w:eastAsia="zh-CN" w:bidi="en-US"/>
                </w:rPr>
              </w:pPr>
              <w:r>
                <w:rPr>
                  <w:szCs w:val="24"/>
                  <w:lang w:eastAsia="zh-CN" w:bidi="en-US"/>
                </w:rPr>
                <w:t>UAB „Šilutės vandenys“</w:t>
              </w:r>
            </w:p>
            <w:p>
              <w:pPr>
                <w:widowControl w:val="0"/>
                <w:tabs>
                  <w:tab w:val="left" w:pos="3802"/>
                </w:tabs>
                <w:suppressAutoHyphens/>
                <w:rPr>
                  <w:szCs w:val="24"/>
                  <w:lang w:eastAsia="zh-CN" w:bidi="en-US"/>
                </w:rPr>
              </w:pPr>
              <w:r>
                <w:rPr>
                  <w:szCs w:val="24"/>
                  <w:lang w:eastAsia="zh-CN" w:bidi="en-US"/>
                </w:rPr>
                <w:t>UAB „Širvintų vandenys“</w:t>
              </w:r>
            </w:p>
            <w:p>
              <w:pPr>
                <w:widowControl w:val="0"/>
                <w:tabs>
                  <w:tab w:val="left" w:pos="3802"/>
                </w:tabs>
                <w:suppressAutoHyphens/>
                <w:rPr>
                  <w:szCs w:val="24"/>
                  <w:lang w:eastAsia="zh-CN" w:bidi="en-US"/>
                </w:rPr>
              </w:pPr>
              <w:r>
                <w:rPr>
                  <w:szCs w:val="24"/>
                  <w:lang w:eastAsia="zh-CN" w:bidi="en-US"/>
                </w:rPr>
                <w:t>UAB „Pabradės komunalinis ūkis“</w:t>
              </w:r>
            </w:p>
            <w:p>
              <w:pPr>
                <w:widowControl w:val="0"/>
                <w:tabs>
                  <w:tab w:val="left" w:pos="3802"/>
                </w:tabs>
                <w:suppressAutoHyphens/>
                <w:rPr>
                  <w:szCs w:val="24"/>
                  <w:lang w:eastAsia="zh-CN" w:bidi="en-US"/>
                </w:rPr>
              </w:pPr>
              <w:r>
                <w:rPr>
                  <w:szCs w:val="24"/>
                  <w:lang w:eastAsia="zh-CN" w:bidi="en-US"/>
                </w:rPr>
                <w:t>UAB „Tauragės vandenys“</w:t>
              </w:r>
            </w:p>
            <w:p>
              <w:pPr>
                <w:widowControl w:val="0"/>
                <w:tabs>
                  <w:tab w:val="left" w:pos="3802"/>
                </w:tabs>
                <w:suppressAutoHyphens/>
                <w:rPr>
                  <w:szCs w:val="24"/>
                  <w:lang w:eastAsia="zh-CN" w:bidi="en-US"/>
                </w:rPr>
              </w:pPr>
              <w:r>
                <w:rPr>
                  <w:szCs w:val="24"/>
                  <w:lang w:eastAsia="zh-CN" w:bidi="en-US"/>
                </w:rPr>
                <w:t>UAB „Telšių vandenys“</w:t>
              </w:r>
            </w:p>
            <w:p>
              <w:pPr>
                <w:widowControl w:val="0"/>
                <w:tabs>
                  <w:tab w:val="left" w:pos="3802"/>
                </w:tabs>
                <w:suppressAutoHyphens/>
                <w:rPr>
                  <w:szCs w:val="24"/>
                  <w:lang w:eastAsia="zh-CN" w:bidi="en-US"/>
                </w:rPr>
              </w:pPr>
              <w:r>
                <w:rPr>
                  <w:szCs w:val="24"/>
                  <w:lang w:eastAsia="zh-CN" w:bidi="en-US"/>
                </w:rPr>
                <w:t>UAB „Trakų vandenys“</w:t>
              </w:r>
            </w:p>
            <w:p>
              <w:pPr>
                <w:widowControl w:val="0"/>
                <w:tabs>
                  <w:tab w:val="left" w:pos="3802"/>
                </w:tabs>
                <w:suppressAutoHyphens/>
                <w:rPr>
                  <w:szCs w:val="24"/>
                  <w:lang w:eastAsia="zh-CN" w:bidi="en-US"/>
                </w:rPr>
              </w:pPr>
              <w:r>
                <w:rPr>
                  <w:szCs w:val="24"/>
                  <w:lang w:eastAsia="zh-CN" w:bidi="en-US"/>
                </w:rPr>
                <w:t>UAB „Ukmergės vandenys“</w:t>
              </w:r>
            </w:p>
            <w:p>
              <w:pPr>
                <w:widowControl w:val="0"/>
                <w:tabs>
                  <w:tab w:val="left" w:pos="3802"/>
                </w:tabs>
                <w:suppressAutoHyphens/>
                <w:rPr>
                  <w:szCs w:val="24"/>
                  <w:lang w:eastAsia="zh-CN" w:bidi="en-US"/>
                </w:rPr>
              </w:pPr>
              <w:r>
                <w:rPr>
                  <w:szCs w:val="24"/>
                  <w:lang w:eastAsia="zh-CN" w:bidi="en-US"/>
                </w:rPr>
                <w:t>UAB „Utenos vandenys“</w:t>
              </w:r>
            </w:p>
            <w:p>
              <w:pPr>
                <w:widowControl w:val="0"/>
                <w:tabs>
                  <w:tab w:val="left" w:pos="3802"/>
                </w:tabs>
                <w:suppressAutoHyphens/>
                <w:rPr>
                  <w:szCs w:val="24"/>
                  <w:lang w:eastAsia="zh-CN" w:bidi="en-US"/>
                </w:rPr>
              </w:pPr>
              <w:r>
                <w:rPr>
                  <w:szCs w:val="24"/>
                  <w:lang w:eastAsia="zh-CN" w:bidi="en-US"/>
                </w:rPr>
                <w:t>UAB „Varėnos vandenys“</w:t>
              </w:r>
            </w:p>
            <w:p>
              <w:pPr>
                <w:widowControl w:val="0"/>
                <w:tabs>
                  <w:tab w:val="left" w:pos="3802"/>
                </w:tabs>
                <w:suppressAutoHyphens/>
                <w:rPr>
                  <w:szCs w:val="24"/>
                  <w:lang w:eastAsia="zh-CN" w:bidi="en-US"/>
                </w:rPr>
              </w:pPr>
              <w:r>
                <w:rPr>
                  <w:szCs w:val="24"/>
                  <w:lang w:eastAsia="zh-CN" w:bidi="en-US"/>
                </w:rPr>
                <w:t>UAB „Vilkaviškio vandenys“</w:t>
              </w:r>
            </w:p>
            <w:p>
              <w:pPr>
                <w:widowControl w:val="0"/>
                <w:tabs>
                  <w:tab w:val="left" w:pos="3802"/>
                </w:tabs>
                <w:suppressAutoHyphens/>
                <w:rPr>
                  <w:szCs w:val="24"/>
                  <w:lang w:eastAsia="zh-CN" w:bidi="en-US"/>
                </w:rPr>
              </w:pPr>
              <w:r>
                <w:rPr>
                  <w:szCs w:val="24"/>
                  <w:lang w:eastAsia="zh-CN" w:bidi="en-US"/>
                </w:rPr>
                <w:t>UAB „Vilniaus vandenys“</w:t>
              </w:r>
            </w:p>
            <w:p>
              <w:pPr>
                <w:widowControl w:val="0"/>
                <w:tabs>
                  <w:tab w:val="left" w:pos="3802"/>
                </w:tabs>
                <w:suppressAutoHyphens/>
                <w:rPr>
                  <w:szCs w:val="24"/>
                  <w:lang w:eastAsia="zh-CN" w:bidi="en-US"/>
                </w:rPr>
              </w:pPr>
              <w:r>
                <w:rPr>
                  <w:szCs w:val="24"/>
                  <w:lang w:eastAsia="zh-CN" w:bidi="en-US"/>
                </w:rPr>
                <w:t xml:space="preserve">UAB „Nemėžio komunalininkas“ </w:t>
              </w:r>
            </w:p>
            <w:p>
              <w:pPr>
                <w:widowControl w:val="0"/>
                <w:tabs>
                  <w:tab w:val="left" w:pos="3802"/>
                </w:tabs>
                <w:suppressAutoHyphens/>
                <w:rPr>
                  <w:szCs w:val="24"/>
                  <w:lang w:eastAsia="zh-CN" w:bidi="en-US"/>
                </w:rPr>
              </w:pPr>
              <w:r>
                <w:rPr>
                  <w:szCs w:val="24"/>
                  <w:lang w:eastAsia="zh-CN" w:bidi="en-US"/>
                </w:rPr>
                <w:t>UAB „Nemenčinės komunalininkas“</w:t>
              </w:r>
            </w:p>
            <w:p>
              <w:pPr>
                <w:widowControl w:val="0"/>
                <w:tabs>
                  <w:tab w:val="left" w:pos="3802"/>
                </w:tabs>
                <w:suppressAutoHyphens/>
                <w:rPr>
                  <w:szCs w:val="24"/>
                  <w:lang w:eastAsia="zh-CN" w:bidi="en-US"/>
                </w:rPr>
              </w:pPr>
              <w:r>
                <w:rPr>
                  <w:szCs w:val="24"/>
                  <w:lang w:eastAsia="zh-CN" w:bidi="en-US"/>
                </w:rPr>
                <w:t>VĮ „Visagino energija“</w:t>
              </w:r>
            </w:p>
            <w:p>
              <w:pPr>
                <w:widowControl w:val="0"/>
                <w:suppressAutoHyphens/>
                <w:rPr>
                  <w:szCs w:val="24"/>
                  <w:lang w:eastAsia="zh-CN" w:bidi="en-US"/>
                </w:rPr>
              </w:pPr>
            </w:p>
          </w:sdtContent>
        </w:sdt>
      </w:sdtContent>
    </w:sdt>
    <w:sectPr>
      <w:headerReference w:type="even" r:id="rId7"/>
      <w:headerReference w:type="default" r:id="rId8"/>
      <w:footerReference w:type="even" r:id="rId9"/>
      <w:footerReference w:type="default" r:id="rId10"/>
      <w:headerReference w:type="first" r:id="rId11"/>
      <w:footerReference w:type="first" r:id="rId12"/>
      <w:footnotePr>
        <w:numRestart w:val="eachPage"/>
      </w:footnotePr>
      <w:pgSz w:w="11906" w:h="16838"/>
      <w:pgMar w:top="671" w:right="567" w:bottom="851" w:left="1701" w:header="567" w:footer="230" w:gutter="0"/>
      <w:cols w:space="720"/>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Andale Sans UI;Times New Roman" w:cs="Tahoma"/>
          <w:szCs w:val="24"/>
          <w:lang w:eastAsia="zh-CN" w:bidi="en-US"/>
        </w:rPr>
      </w:pPr>
      <w:r>
        <w:rPr>
          <w:rFonts w:eastAsia="Andale Sans UI;Times New Roman" w:cs="Tahoma"/>
          <w:szCs w:val="24"/>
          <w:lang w:eastAsia="zh-CN" w:bidi="en-US"/>
        </w:rPr>
        <w:separator/>
      </w:r>
    </w:p>
  </w:endnote>
  <w:endnote w:type="continuationSeparator" w:id="0">
    <w:p>
      <w:pPr>
        <w:widowControl w:val="0"/>
        <w:suppressAutoHyphens/>
        <w:rPr>
          <w:rFonts w:eastAsia="Andale Sans UI;Times New Roman" w:cs="Tahoma"/>
          <w:szCs w:val="24"/>
          <w:lang w:eastAsia="zh-CN" w:bidi="en-US"/>
        </w:rPr>
      </w:pPr>
      <w:r>
        <w:rPr>
          <w:rFonts w:eastAsia="Andale Sans UI;Times New Roman" w:cs="Tahoma"/>
          <w:szCs w:val="24"/>
          <w:lang w:eastAsia="zh-CN"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Times New Roman">
    <w:panose1 w:val="00000000000000000000"/>
    <w:charset w:val="00"/>
    <w:family w:val="roman"/>
    <w:notTrueType/>
    <w:pitch w:val="default"/>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Times New Roman" w:cs="Tahoma"/>
        <w:szCs w:val="24"/>
        <w:lang w:eastAsia="zh-CN"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Times New Roman" w:cs="Tahoma"/>
        <w:szCs w:val="24"/>
        <w:lang w:eastAsia="zh-CN"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jc w:val="right"/>
      <w:rPr>
        <w:rFonts w:eastAsia="Andale Sans UI;Times New Roman" w:cs="Tahoma"/>
        <w:szCs w:val="24"/>
        <w:lang w:eastAsia="zh-CN"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Andale Sans UI;Times New Roman" w:cs="Tahoma"/>
          <w:sz w:val="12"/>
          <w:szCs w:val="24"/>
          <w:lang w:eastAsia="zh-CN" w:bidi="en-US"/>
        </w:rPr>
      </w:pPr>
      <w:r>
        <w:rPr>
          <w:rFonts w:eastAsia="Andale Sans UI;Times New Roman" w:cs="Tahoma"/>
          <w:szCs w:val="24"/>
          <w:lang w:eastAsia="zh-CN" w:bidi="en-US"/>
        </w:rPr>
        <w:separator/>
      </w:r>
    </w:p>
  </w:footnote>
  <w:footnote w:type="continuationSeparator" w:id="0">
    <w:p>
      <w:pPr>
        <w:widowControl w:val="0"/>
        <w:suppressAutoHyphens/>
        <w:rPr>
          <w:rFonts w:eastAsia="Andale Sans UI;Times New Roman" w:cs="Tahoma"/>
          <w:sz w:val="12"/>
          <w:szCs w:val="24"/>
          <w:lang w:eastAsia="zh-CN" w:bidi="en-US"/>
        </w:rPr>
      </w:pPr>
      <w:r>
        <w:rPr>
          <w:rFonts w:eastAsia="Andale Sans UI;Times New Roman" w:cs="Tahoma"/>
          <w:szCs w:val="24"/>
          <w:lang w:eastAsia="zh-CN" w:bidi="en-US"/>
        </w:rPr>
        <w:continuationSeparator/>
      </w:r>
    </w:p>
  </w:footnote>
  <w:footnote w:id="1">
    <w:p>
      <w:pPr>
        <w:widowControl w:val="0"/>
        <w:suppressAutoHyphens/>
        <w:jc w:val="both"/>
        <w:rPr>
          <w:rFonts w:eastAsia="Andale Sans UI;Times New Roman" w:cs="Tahoma"/>
          <w:sz w:val="20"/>
          <w:lang w:eastAsia="zh-CN" w:bidi="en-US"/>
        </w:rPr>
      </w:pPr>
      <w:r>
        <w:rPr>
          <w:rFonts w:eastAsia="Andale Sans UI;Times New Roman" w:cs="Tahoma"/>
          <w:sz w:val="20"/>
          <w:lang w:eastAsia="zh-CN" w:bidi="en-US"/>
        </w:rPr>
        <w:footnoteRef/>
      </w:r>
      <w:r>
        <w:rPr>
          <w:rFonts w:eastAsia="Andale Sans UI;Times New Roman" w:cs="Tahoma"/>
          <w:sz w:val="18"/>
          <w:szCs w:val="18"/>
          <w:lang w:eastAsia="zh-CN" w:bidi="en-US"/>
        </w:rPr>
        <w:t xml:space="preserve"> „1. Lietuvos Respublikos Vyriausybė, aplinkos ministras, sveikatos apsaugos ministras ir Valstybinė energetikos reguliavimo taryba priima šio įstatymo įgyvendinamuosius teisės aktus.“</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Times New Roman" w:cs="Tahoma"/>
        <w:szCs w:val="24"/>
        <w:lang w:eastAsia="zh-CN"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Times New Roman" w:cs="Tahoma"/>
        <w:szCs w:val="24"/>
        <w:lang w:eastAsia="zh-CN" w:bidi="en-US"/>
      </w:rPr>
    </w:pPr>
    <w:r>
      <w:rPr>
        <w:rFonts w:eastAsia="Andale Sans UI;Times New Roman" w:cs="Tahoma"/>
        <w:szCs w:val="24"/>
        <w:lang w:val="en-US"/>
      </w:rPr>
      <mc:AlternateContent>
        <mc:Choice Requires="wps">
          <w:drawing>
            <wp:anchor distT="0" distB="0" distL="0" distR="0" simplePos="0" relativeHeight="6" behindDoc="0" locked="0" layoutInCell="0" allowOverlap="1">
              <wp:simplePos x="0" y="0"/>
              <wp:positionH relativeFrom="margin">
                <wp:align>center</wp:align>
              </wp:positionH>
              <wp:positionV relativeFrom="paragraph">
                <wp:posOffset>635</wp:posOffset>
              </wp:positionV>
              <wp:extent cx="76835" cy="168910"/>
              <wp:effectExtent l="0" t="0" r="0" b="0"/>
              <wp:wrapSquare wrapText="largest"/>
              <wp:docPr id="2" name="Frame1"/>
              <wp:cNvGraphicFramePr/>
              <a:graphic xmlns:a="http://schemas.openxmlformats.org/drawingml/2006/main">
                <a:graphicData uri="http://schemas.microsoft.com/office/word/2010/wordprocessingShape">
                  <wps:wsp>
                    <wps:cNvSpPr txBox="1"/>
                    <wps:spPr>
                      <a:xfrm>
                        <a:off x="0" y="0"/>
                        <a:ext cx="76835" cy="168910"/>
                      </a:xfrm>
                      <a:prstGeom prst="rect">
                        <a:avLst/>
                      </a:prstGeom>
                      <a:solidFill>
                        <a:srgbClr val="FFFFFF">
                          <a:alpha val="0"/>
                        </a:srgbClr>
                      </a:solidFill>
                    </wps:spPr>
                    <wps:txbx>
                      <w:txbxContent>
                        <w:p>
                          <w:pPr>
                            <w:widowControl w:val="0"/>
                            <w:suppressLineNumbers/>
                            <w:tabs>
                              <w:tab w:val="center" w:pos="4800"/>
                              <w:tab w:val="right" w:pos="9601"/>
                            </w:tabs>
                            <w:suppressAutoHyphens/>
                            <w:rPr>
                              <w:rFonts w:eastAsia="Andale Sans UI;Times New Roman"/>
                              <w:szCs w:val="24"/>
                              <w:lang w:eastAsia="zh-CN" w:bidi="en-US"/>
                            </w:rPr>
                          </w:pPr>
                          <w:r>
                            <w:rPr>
                              <w:rFonts w:eastAsia="Andale Sans UI;Times New Roman"/>
                              <w:szCs w:val="24"/>
                              <w:lang w:eastAsia="zh-CN" w:bidi="en-US"/>
                            </w:rPr>
                            <w:fldChar w:fldCharType="begin"/>
                          </w:r>
                          <w:r>
                            <w:rPr>
                              <w:rFonts w:eastAsia="Andale Sans UI;Times New Roman"/>
                              <w:szCs w:val="24"/>
                              <w:lang w:eastAsia="zh-CN" w:bidi="en-US"/>
                            </w:rPr>
                            <w:instrText xml:space="preserve"> PAGE </w:instrText>
                          </w:r>
                          <w:r>
                            <w:rPr>
                              <w:rFonts w:eastAsia="Andale Sans UI;Times New Roman"/>
                              <w:szCs w:val="24"/>
                              <w:lang w:eastAsia="zh-CN" w:bidi="en-US"/>
                            </w:rPr>
                            <w:fldChar w:fldCharType="separate"/>
                          </w:r>
                          <w:r>
                            <w:rPr>
                              <w:rFonts w:eastAsia="Andale Sans UI;Times New Roman"/>
                              <w:szCs w:val="24"/>
                              <w:lang w:eastAsia="zh-CN" w:bidi="en-US"/>
                            </w:rPr>
                            <w:t>5</w:t>
                          </w:r>
                          <w:r>
                            <w:rPr>
                              <w:rFonts w:eastAsia="Andale Sans UI;Times New Roman"/>
                              <w:szCs w:val="24"/>
                              <w:lang w:eastAsia="zh-CN" w:bidi="en-US"/>
                            </w:rPr>
                            <w:fldChar w:fldCharType="end"/>
                          </w:r>
                        </w:p>
                      </w:txbxContent>
                    </wps:txbx>
                    <wps:bodyPr lIns="0" tIns="0" rIns="0" bIns="0" anchor="t">
                      <a:noAutofit/>
                    </wps:bodyPr>
                  </wps:wsp>
                </a:graphicData>
              </a:graphic>
            </wp:anchor>
          </w:drawing>
        </mc:Choice>
        <mc:Fallback>
          <w:pict>
            <v:shapetype id="_x0000_t202" coordsize="21600,21600" o:spt="202" path="m,l,21600r21600,l21600,xe">
              <v:stroke joinstyle="miter"/>
              <v:path gradientshapeok="t" o:connecttype="rect"/>
            </v:shapetype>
            <v:shape id="Frame1" o:spid="_x0000_s1026" type="#_x0000_t202" style="position:absolute;margin-left:0;margin-top:.05pt;width:6.05pt;height:13.3pt;z-index:6;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6Q6ENswEAAGQDAAAOAAAAZHJzL2Uyb0RvYy54bWysU82O0zAQviPxDpbvNE0RpURNV8CqCAnB SgsP4Dh2Y8n2WGNvk749Y6fpruCGyMGeP38z38xkfzc5y84KowHf8nq15kx5Cb3xp5b/+nl8s+Ms JuF7YcGrll9U5HeH16/2Y2jUBgawvUJGID42Y2j5kFJoqirKQTkRVxCUJ6cGdCKRiqeqRzESurPV Zr3eViNgHxCkipGs97OTHwq+1kqmH1pHlZhtOdWWyonl7PJZHfaiOaEIg5HXMsQ/VOGE8ZT0BnUv kmBPaP6CckYiRNBpJcFVoLWRqnAgNvX6DzaPgwiqcKHmxHBrU/x/sPL7+QGZ6Vu+4cwLRyM6Il11 7swYYkMBj4FC0vQJJprwYo9kzIQnjS7fRIWRn3p8ufVVTYlJMr7f7t6+40ySp97uPtSl7dXz24Ax fVHgWBZajjS10kxx/hYT1UGhS0hOFcGa/misLQqeus8W2VnQhI/lm9/aMIjZuqSLc2jBe4FRZZoz nSylqZuu3DvoL0TdfvXU8bw9i4CL0C2C8HIA2qu5cA8fnxJoU4rPoDMSZc4KjbLUcF27vCsv9RL1 /HMcfgMAAP//AwBQSwMEFAAGAAgAAAAhAGJpG0fYAAAAAwEAAA8AAABkcnMvZG93bnJldi54bWxM j0FvwjAMhe+T+A+RkbiNlCIB65oixrRdp3WTuJrGNFUbp2oCdP9+6Wk7Wc/Peu9zvh9tJ240+Max gtUyAUFcOd1wreD76+1xB8IHZI2dY1LwQx72xewhx0y7O3/SrQy1iCHsM1RgQugzKX1lyKJfup44 ehc3WAxRDrXUA95juO1kmiQbabHh2GCwp6Ohqi2vVsH6I92e/Hv5euxP9NTu/Et7YaPUYj4enkEE GsPfMUz4ER2KyHR2V9ZedAriI2HaislL4zwrSDdbkEUu/7MXvwAAAP//AwBQSwECLQAUAAYACAAA ACEAtoM4kv4AAADhAQAAEwAAAAAAAAAAAAAAAAAAAAAAW0NvbnRlbnRfVHlwZXNdLnhtbFBLAQIt ABQABgAIAAAAIQA4/SH/1gAAAJQBAAALAAAAAAAAAAAAAAAAAC8BAABfcmVscy8ucmVsc1BLAQIt ABQABgAIAAAAIQA6Q6ENswEAAGQDAAAOAAAAAAAAAAAAAAAAAC4CAABkcnMvZTJvRG9jLnhtbFBL AQItABQABgAIAAAAIQBiaRtH2AAAAAMBAAAPAAAAAAAAAAAAAAAAAA0EAABkcnMvZG93bnJldi54 bWxQSwUGAAAAAAQABADzAAAAEgUAAAAA " o:allowincell="f" stroked="f">
              <v:fill opacity="0"/>
              <v:textbox inset="0,0,0,0">
                <w:txbxContent>
                  <w:p>
                    <w:pPr>
                      <w:widowControl w:val="0"/>
                      <w:suppressLineNumbers/>
                      <w:tabs>
                        <w:tab w:val="center" w:leader="none" w:pos="4800"/>
                        <w:tab w:val="right" w:leader="none" w:pos="9601"/>
                      </w:tabs>
                      <w:suppressAutoHyphens w:val="1"/>
                      <w:rPr>
                        <w:rFonts w:ascii="Times New Roman" w:hAnsi="Times New Roman" w:eastAsia="Andale Sans UI;Times New Roman" w:cs="Times New Roman"/>
                        <w:szCs w:val="24"/>
                        <w:lang w:eastAsia="zh-CN" w:bidi="en-US"/>
                      </w:rPr>
                    </w:pPr>
                    <w:r>
                      <w:rPr>
                        <w:rFonts w:ascii="Times New Roman" w:hAnsi="Times New Roman" w:eastAsia="Andale Sans UI;Times New Roman" w:cs="Times New Roman"/>
                        <w:szCs w:val="24"/>
                        <w:lang w:eastAsia="zh-CN" w:bidi="en-US"/>
                      </w:rPr>
                      <w:fldChar w:fldCharType="begin"/>
                    </w:r>
                    <w:r>
                      <w:rPr>
                        <w:rFonts w:ascii="Times New Roman" w:hAnsi="Times New Roman" w:eastAsia="Andale Sans UI;Times New Roman" w:cs="Times New Roman"/>
                        <w:szCs w:val="24"/>
                        <w:lang w:eastAsia="zh-CN" w:bidi="en-US"/>
                      </w:rPr>
                      <w:instrText xml:space="preserve"> PAGE </w:instrText>
                    </w:r>
                    <w:r>
                      <w:rPr>
                        <w:rFonts w:ascii="Times New Roman" w:hAnsi="Times New Roman" w:eastAsia="Andale Sans UI;Times New Roman" w:cs="Times New Roman"/>
                        <w:szCs w:val="24"/>
                        <w:lang w:eastAsia="zh-CN" w:bidi="en-US"/>
                      </w:rPr>
                      <w:fldChar w:fldCharType="separate"/>
                    </w:r>
                    <w:r>
                      <w:rPr>
                        <w:rFonts w:ascii="Times New Roman" w:hAnsi="Times New Roman" w:eastAsia="Andale Sans UI;Times New Roman" w:cs="Times New Roman"/>
                        <w:szCs w:val="24"/>
                        <w:lang w:eastAsia="zh-CN" w:bidi="en-US"/>
                      </w:rPr>
                      <w:t>5</w:t>
                    </w:r>
                    <w:r>
                      <w:rPr>
                        <w:rFonts w:ascii="Times New Roman" w:hAnsi="Times New Roman" w:eastAsia="Andale Sans UI;Times New Roman" w:cs="Times New Roman"/>
                        <w:szCs w:val="24"/>
                        <w:lang w:eastAsia="zh-CN" w:bidi="en-US"/>
                      </w:rPr>
                      <w:fldChar w:fldCharType="end"/>
                    </w:r>
                  </w:p>
                </w:txbxContent>
              </v:textbox>
              <w10:wrap type="square" side="largest" anchorx="margin"/>
            </v:shape>
          </w:pict>
        </mc:Fallback>
      </mc:AlternateContent>
    </w:r>
  </w:p>
  <w:p>
    <w:pPr>
      <w:widowControl w:val="0"/>
      <w:suppressLineNumbers/>
      <w:tabs>
        <w:tab w:val="center" w:pos="4800"/>
        <w:tab w:val="right" w:pos="9601"/>
      </w:tabs>
      <w:suppressAutoHyphens/>
      <w:rPr>
        <w:rFonts w:eastAsia="Andale Sans UI;Times New Roman" w:cs="Tahoma"/>
        <w:szCs w:val="24"/>
        <w:lang w:eastAsia="zh-CN"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Times New Roman" w:cs="Tahoma"/>
        <w:szCs w:val="24"/>
        <w:lang w:eastAsia="zh-CN"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567"/>
  <w:doNotHyphenateCaps/>
  <w:characterSpacingControl w:val="doNotCompress"/>
  <w:footnotePr>
    <w:numRestart w:val="eachPage"/>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13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4CFAF2A-63E3-4CA5-AD8B-D6347DFFF3E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8e5e25ffa0ec4d36b4e319ead1a97359" PartId="9cb7171809c74b5e9c0eb19847dd6e1b"/>
  <Part Type="pastraipa" DocPartId="1791532667d3409fa63d5d0db3db87df" PartId="781c193bdcc14ac2b1abf499185bb099"/>
  <Part Type="pastraipa" DocPartId="f3cff648e4574345a0d3d6f72ab7721f" PartId="3e2b897674414cd981c926abcd8708fa"/>
  <Part Type="pastraipa" DocPartId="9cfcc60e4027408e8bc460daac32f023" PartId="d5164338cb394e22aeaa6f2b1ab0ff18"/>
  <Part Type="pastraipa" DocPartId="94b3bfc7a1a44a8e8975ede1cf905e4b" PartId="f6178e478a274f4a83f215692b89680b"/>
  <Part Type="pastraipa" DocPartId="56141bd2de7641c2aad9d9e0e83d2439" PartId="a8a0efc47f914b57ba50db5bd891cd9a"/>
  <Part Type="pastraipa" DocPartId="e67853a3bd5c45c495920ec75fc59337" PartId="26cb648a41ae4045a576ccaa2f226d3c"/>
  <Part Type="pastraipa" DocPartId="7982a938219c4b308884d0550b107f6d" PartId="a7cb58a2b5374075a76c0d3f22149065"/>
  <Part Type="pastraipa" DocPartId="749d5bd4680b40bb9fe5cde2939846d9" PartId="1d3ab786a1e44e87944229d814b93288"/>
  <Part Type="pastraipa" DocPartId="01ade425967f494285db87052a398460" PartId="c8b6abcf2edd428dae554ecd76bc34f6"/>
  <Part Type="pastraipa" DocPartId="6d944a22e191421c9888ad8550cd0fba" PartId="38bef624e0754dc4954cdcff7f4f0ad9"/>
  <Part Type="pastraipa" DocPartId="939c7c14633a478abb55f5475dc27fcf" PartId="6b11ff6be6304c1381a3fcc20dd9e4d9"/>
  <Part Type="pastraipa" DocPartId="701f5219db684e72b4336031ea96bc37" PartId="1fcacc8781b9497fa28a14aa683095db"/>
  <Part Type="pastraipa" DocPartId="4afda1ec781b49e79ebc1f75b01aac70" PartId="697999df69eb44eaac47c7aa699aef47"/>
  <Part Type="pastraipa" DocPartId="f309942805a242a694ae066e552c9453" PartId="57b690ae046149548c7c182faa798e38"/>
  <Part Type="pastraipa" DocPartId="3a9f28efa47b49c7997df2eb209406f3" PartId="e16f6c594cbe4861bdda7cfc3009ae58"/>
  <Part Type="pastraipa" DocPartId="62e521fd7d7440b9ae559487e3201b67" PartId="b20f6e3ba3634d389cc9bb604f85e8f7"/>
  <Part Type="pastraipa" DocPartId="247295db895d47928f82fa98b428ec8d" PartId="81fd06045f6344ecb53806ca19ca684d"/>
  <Part Type="pastraipa" DocPartId="31a91ddb18244000a0a50af9066d1cb0" PartId="bb3e72d421864b0896348a9701f2ec35"/>
  <Part Type="pastraipa" DocPartId="07a73888593a4366aafa42185a9cba37" PartId="96b9620a93784cf68cc724531637b3a6"/>
  <Part Type="pastraipa" DocPartId="d6a7300d8d744e6e9ffa92722f8b3af9" PartId="05034db9295f43738aa2e5aac3bf0e94"/>
  <Part Type="pastraipa" DocPartId="c01129a8765c496d90ae67902f9a8e7c" PartId="fae3bcdfe3684091a50bd4a43207d4a8"/>
  <Part Type="pastraipa" DocPartId="530b6405d7c745929d2f16ecb2ff0ada" PartId="22384dc9c7674a6eb204398f30c3bc4c"/>
  <Part Type="pastraipa" DocPartId="ea8cf3aa5f8c4333b0107b5c4976b45b" PartId="f35d16b4a3b14fd6b997a4ac9a3f1064"/>
  <Part Type="pastraipa" DocPartId="4d07433d69e54c748ba12c81106efd93" PartId="3f32cf8860374c0e9c6ccbb6d2749165"/>
  <Part Type="pastraipa" DocPartId="afc9624108a54e5e9bd34d1b76ff638c" PartId="d688c0b3a9894ca7bfcb64f9f9b90507"/>
  <Part Type="pastraipa" DocPartId="cd6fe7789578492f8a8ef999efe5db8b" PartId="e37bab1c505d4f72b337c415cc5642c6"/>
  <Part Type="pastraipa" DocPartId="68c47d017c294c028401946f2e5761f7" PartId="d19904a51b284df1bec56e2658cc0933"/>
  <Part Type="pastraipa" DocPartId="5e4cf8ed7f9f47dd965bbb494a56d0db" PartId="cf8734f1ce974f69be8000eb347983a5"/>
  <Part Type="pastraipa" DocPartId="3ea8c749e3814651bf529959353309b2" PartId="3fd232c2f08e4bfc8698b22ba3f81e85">
    <Part Type="punktas" Nr="1" Abbr="1 p." DocPartId="7ea59bc0ebcc48028199c9b04d9ee10f" PartId="8e36a3c521544640906ab227cb013c1b"/>
    <Part Type="punktas" Nr="2" Abbr="2 p." DocPartId="f4a02aed5d17422db9f91a4e7b11edd3" PartId="2a06e3ec87054a4eab1464585a9b1b2e"/>
    <Part Type="punktas" Nr="3" Abbr="3 p." DocPartId="945eebb742ff4a3b9a6c6ec5e9d45fa9" PartId="a6b5f04c3c414bd280a7821d35e61fbc"/>
    <Part Type="punktas" Nr="4" Abbr="4 p." DocPartId="dbb6ff4a849044d68d277a2bf641c153" PartId="2470c6dcc68b45439c05becb05870fd9"/>
    <Part Type="signatura" DocPartId="cd4d75dd1f6b4e51aef0f937b2548401" PartId="7aaf2bcbc6ea4243835cc6b9d6ca56ef"/>
  </Part>
</Parts>
</file>

<file path=customXml/itemProps1.xml><?xml version="1.0" encoding="utf-8"?>
<ds:datastoreItem xmlns:ds="http://schemas.openxmlformats.org/officeDocument/2006/customXml" ds:itemID="{6B6D5E39-A922-40D6-9C91-36FE95831BC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1532</Words>
  <Characters>11186</Characters>
  <Application>Microsoft Office Word</Application>
  <DocSecurity>4</DocSecurity>
  <Lines>238</Lines>
  <Paragraphs>136</Paragraphs>
  <ScaleCrop>false</ScaleCrop>
  <Company>LRS Kanceliarija</Company>
  <LinksUpToDate>false</LinksUpToDate>
  <CharactersWithSpaces>12582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2023-01-31T13:54:00Z</dcterms:created>
  <dc:creator>i.valunas</dc:creator>
  <dc:language>lt-LT</dc:language>
  <lastModifiedBy>adlibuser</lastModifiedBy>
  <lastPrinted>2019-03-26T10:15:00Z</lastPrinted>
  <dcterms:modified xsi:type="dcterms:W3CDTF">2023-01-31T13:54:00Z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DISCdDocAuthor">
    <vt:lpwstr>j.vaisnoriene</vt:lpwstr>
  </property>
  <property fmtid="{D5CDD505-2E9C-101B-9397-08002B2CF9AE}" pid="3" name="DISProperties">
    <vt:lpwstr>DISidcName,DISdID,DISCdDocAuthor,VDVISDokPavadinimas,VDVISDokTipas,DIScgiUrl,DISTaskPaneUrl,DISdUser,DISdDocName</vt:lpwstr>
  </property>
  <property fmtid="{D5CDD505-2E9C-101B-9397-08002B2CF9AE}" pid="4" name="DISTaskPaneUrl">
    <vt:lpwstr>https://vdvis.am.lt/cs/idcplg?IdcService=DESKTOP_DOC_INFO&amp;dDocName=AM_4223439&amp;dID=4270060&amp;ClientControlled=DocMan,taskpane&amp;coreContentOnly=1</vt:lpwstr>
  </property>
  <property fmtid="{D5CDD505-2E9C-101B-9397-08002B2CF9AE}" pid="5" name="DIScgiUrl">
    <vt:lpwstr>https://vdvis.am.lt/cs/idcplg</vt:lpwstr>
  </property>
  <property fmtid="{D5CDD505-2E9C-101B-9397-08002B2CF9AE}" pid="6" name="DISdDocName">
    <vt:lpwstr>AM_4223439</vt:lpwstr>
  </property>
  <property fmtid="{D5CDD505-2E9C-101B-9397-08002B2CF9AE}" pid="7" name="DISdID">
    <vt:lpwstr>4270060</vt:lpwstr>
  </property>
  <property fmtid="{D5CDD505-2E9C-101B-9397-08002B2CF9AE}" pid="8" name="DISdUser">
    <vt:lpwstr>j.vaisnoriene</vt:lpwstr>
  </property>
  <property fmtid="{D5CDD505-2E9C-101B-9397-08002B2CF9AE}" pid="9" name="DISidcName">
    <vt:lpwstr>vdvis_dev</vt:lpwstr>
  </property>
  <property fmtid="{D5CDD505-2E9C-101B-9397-08002B2CF9AE}" pid="10" name="LikedBy">
    <vt:lpwstr/>
  </property>
  <property fmtid="{D5CDD505-2E9C-101B-9397-08002B2CF9AE}" pid="11" name="LikesCount">
    <vt:lpwstr/>
  </property>
  <property fmtid="{D5CDD505-2E9C-101B-9397-08002B2CF9AE}" pid="12" name="RatedBy">
    <vt:lpwstr/>
  </property>
  <property fmtid="{D5CDD505-2E9C-101B-9397-08002B2CF9AE}" pid="13" name="Ratings">
    <vt:lpwstr/>
  </property>
  <property fmtid="{D5CDD505-2E9C-101B-9397-08002B2CF9AE}" pid="14" name="VDVISDokPavadinimas">
    <vt:lpwstr>DĖL ĮSAKYMŲ PROJEKTŲ DERINIMO</vt:lpwstr>
  </property>
  <property fmtid="{D5CDD505-2E9C-101B-9397-08002B2CF9AE}" pid="15" name="VDVISDokTipas">
    <vt:lpwstr>Raštas</vt:lpwstr>
  </property>
</Properties>
</file>