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f3d2c5a1f4498e829d55cb1e2a921d"/>
        <w:lock w:val="sdtLocked"/>
        <w:richText/>
      </w:sdtPr>
      <w:sdtContent>
        <w:p w14:paraId="4BA5798C" w14:textId="77777777">
          <w:pPr>
            <w:jc w:val="center"/>
            <w:rPr>
              <w:szCs w:val="24"/>
              <w:lang w:eastAsia="lt-LT"/>
            </w:rPr>
          </w:pPr>
          <w:r>
            <w:rPr>
              <w:b/>
              <w:bCs/>
              <w:color w:val="000000"/>
              <w:szCs w:val="24"/>
              <w:lang w:eastAsia="lt-LT"/>
            </w:rPr>
            <w:t xml:space="preserve">NUMATOMO TEISINIO REGULIAVIMO POVEIKIO VERTINIMO PAŽYMA </w:t>
          </w:r>
        </w:p>
        <w:p w14:paraId="2634C01C" w14:textId="77777777">
          <w:pPr>
            <w:rPr>
              <w:szCs w:val="24"/>
              <w:lang w:eastAsia="lt-LT"/>
            </w:rPr>
          </w:pPr>
        </w:p>
        <w:tbl>
          <w:tblPr>
            <w:tblW w:w="0" w:type="auto"/>
            <w:tblCellMar>
              <w:left w:w="0" w:type="dxa"/>
              <w:right w:w="0" w:type="dxa"/>
            </w:tblCellMar>
            <w:tblLook w:val="04A0" w:firstRow="1" w:lastRow="0" w:firstColumn="1" w:lastColumn="0" w:noHBand="0" w:noVBand="1"/>
          </w:tblPr>
          <w:tblGrid>
            <w:gridCol w:w="2410"/>
            <w:gridCol w:w="7162"/>
          </w:tblGrid>
          <w:tr w14:paraId="4F29EA24" w14:textId="77777777">
            <w:tc>
              <w:tcPr>
                <w:tcW w:w="2410" w:type="dxa"/>
                <w:shd w:val="clear" w:color="auto" w:fill="DBE5F1"/>
                <w:tcMar>
                  <w:top w:w="0" w:type="dxa"/>
                  <w:left w:w="108" w:type="dxa"/>
                  <w:bottom w:w="0" w:type="dxa"/>
                  <w:right w:w="108" w:type="dxa"/>
                </w:tcMar>
                <w:hideMark/>
              </w:tcPr>
              <w:p w14:paraId="50BABA41" w14:textId="77777777">
                <w:pPr>
                  <w:rPr>
                    <w:szCs w:val="24"/>
                    <w:lang w:eastAsia="lt-LT"/>
                  </w:rPr>
                </w:pPr>
                <w:r>
                  <w:rPr>
                    <w:b/>
                    <w:bCs/>
                    <w:szCs w:val="24"/>
                    <w:shd w:val="clear" w:color="auto" w:fill="DBE5F1"/>
                    <w:lang w:eastAsia="lt-LT"/>
                  </w:rPr>
                  <w:t>Projekto pavadinimas</w:t>
                </w:r>
              </w:p>
            </w:tc>
            <w:tc>
              <w:tcPr>
                <w:tcW w:w="7162" w:type="dxa"/>
                <w:shd w:val="clear" w:color="auto" w:fill="DBE5F1"/>
                <w:tcMar>
                  <w:top w:w="0" w:type="dxa"/>
                  <w:left w:w="108" w:type="dxa"/>
                  <w:bottom w:w="0" w:type="dxa"/>
                  <w:right w:w="108" w:type="dxa"/>
                </w:tcMar>
                <w:hideMark/>
              </w:tcPr>
              <w:p w14:paraId="26881F6A" w14:textId="18B22394">
                <w:pPr>
                  <w:tabs>
                    <w:tab w:val="left" w:pos="851"/>
                  </w:tabs>
                  <w:jc w:val="both"/>
                  <w:rPr>
                    <w:szCs w:val="24"/>
                  </w:rPr>
                </w:pPr>
                <w:r>
                  <w:rPr>
                    <w:rFonts w:eastAsia="Arial Unicode MS"/>
                    <w:color w:val="000000"/>
                    <w:szCs w:val="24"/>
                    <w:lang w:eastAsia="lt-LT" w:bidi="en-US"/>
                  </w:rPr>
                  <w:t>Lietuvos Respublikos aplinkos ministro įsakymo „Dėl Teisėkūros poveikio aplinkai ir klimato kaitai (</w:t>
                </w:r>
                <w:r>
                  <w:rPr>
                    <w:rFonts w:eastAsia="Arial Unicode MS"/>
                    <w:i/>
                    <w:iCs/>
                    <w:color w:val="000000"/>
                    <w:szCs w:val="24"/>
                    <w:lang w:eastAsia="lt-LT" w:bidi="en-US"/>
                  </w:rPr>
                  <w:t>ex ante</w:t>
                </w:r>
                <w:r>
                  <w:rPr>
                    <w:rFonts w:eastAsia="Arial Unicode MS"/>
                    <w:color w:val="000000"/>
                    <w:szCs w:val="24"/>
                    <w:lang w:eastAsia="lt-LT" w:bidi="en-US"/>
                  </w:rPr>
                  <w:t>) vertinimo tvarkos aprašo patvirtinimo“ projektas</w:t>
                </w:r>
              </w:p>
            </w:tc>
          </w:tr>
        </w:tbl>
        <w:p w14:paraId="16084F9B" w14:textId="77777777">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2410"/>
            <w:gridCol w:w="7162"/>
          </w:tblGrid>
          <w:tr w14:paraId="432C7FEF" w14:textId="77777777">
            <w:tc>
              <w:tcPr>
                <w:tcW w:w="2410" w:type="dxa"/>
                <w:shd w:val="clear" w:color="auto" w:fill="DBE5F1"/>
                <w:tcMar>
                  <w:top w:w="0" w:type="dxa"/>
                  <w:left w:w="108" w:type="dxa"/>
                  <w:bottom w:w="0" w:type="dxa"/>
                  <w:right w:w="108" w:type="dxa"/>
                </w:tcMar>
                <w:hideMark/>
              </w:tcPr>
              <w:p w14:paraId="57E2AFB2" w14:textId="77777777">
                <w:pPr>
                  <w:rPr>
                    <w:szCs w:val="24"/>
                    <w:lang w:eastAsia="lt-LT"/>
                  </w:rPr>
                </w:pPr>
                <w:r>
                  <w:rPr>
                    <w:b/>
                    <w:bCs/>
                    <w:szCs w:val="24"/>
                    <w:shd w:val="clear" w:color="auto" w:fill="DBE5F1"/>
                    <w:lang w:eastAsia="lt-LT"/>
                  </w:rPr>
                  <w:t>Projekto rengėjas</w:t>
                </w:r>
              </w:p>
            </w:tc>
            <w:tc>
              <w:tcPr>
                <w:tcW w:w="7162" w:type="dxa"/>
                <w:shd w:val="clear" w:color="auto" w:fill="DBE5F1"/>
                <w:tcMar>
                  <w:top w:w="0" w:type="dxa"/>
                  <w:left w:w="108" w:type="dxa"/>
                  <w:bottom w:w="0" w:type="dxa"/>
                  <w:right w:w="108" w:type="dxa"/>
                </w:tcMar>
                <w:hideMark/>
              </w:tcPr>
              <w:p w14:paraId="2E7B16F5" w14:textId="4338ED6E">
                <w:pPr>
                  <w:jc w:val="both"/>
                  <w:rPr>
                    <w:szCs w:val="24"/>
                    <w:lang w:eastAsia="lt-LT"/>
                  </w:rPr>
                </w:pPr>
                <w:r>
                  <w:rPr>
                    <w:szCs w:val="24"/>
                    <w:lang w:eastAsia="lt-LT"/>
                  </w:rPr>
                  <w:t>Lietuvos Respublikos aplinkos ministerija</w:t>
                </w:r>
              </w:p>
            </w:tc>
          </w:tr>
        </w:tbl>
        <w:p w14:paraId="1D34BFE1" w14:textId="77777777">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2410"/>
            <w:gridCol w:w="7162"/>
          </w:tblGrid>
          <w:tr w14:paraId="45266A9D" w14:textId="77777777">
            <w:tc>
              <w:tcPr>
                <w:tcW w:w="2410" w:type="dxa"/>
                <w:shd w:val="clear" w:color="auto" w:fill="DBE5F1" w:themeFill="accent1" w:themeFillTint="33"/>
                <w:tcMar>
                  <w:top w:w="0" w:type="dxa"/>
                  <w:left w:w="108" w:type="dxa"/>
                  <w:bottom w:w="0" w:type="dxa"/>
                  <w:right w:w="108" w:type="dxa"/>
                </w:tcMar>
                <w:hideMark/>
              </w:tcPr>
              <w:p w14:paraId="0BB1DC3B" w14:textId="77777777">
                <w:pPr>
                  <w:rPr>
                    <w:szCs w:val="24"/>
                    <w:lang w:eastAsia="lt-LT"/>
                  </w:rPr>
                </w:pPr>
                <w:r>
                  <w:rPr>
                    <w:b/>
                    <w:bCs/>
                    <w:szCs w:val="24"/>
                    <w:lang w:eastAsia="lt-LT"/>
                  </w:rPr>
                  <w:t>Projekto tikslas</w:t>
                </w:r>
              </w:p>
            </w:tc>
            <w:tc>
              <w:tcPr>
                <w:tcW w:w="7162" w:type="dxa"/>
                <w:shd w:val="clear" w:color="auto" w:fill="DBE5F1" w:themeFill="accent1" w:themeFillTint="33"/>
                <w:tcMar>
                  <w:top w:w="0" w:type="dxa"/>
                  <w:left w:w="108" w:type="dxa"/>
                  <w:bottom w:w="0" w:type="dxa"/>
                  <w:right w:w="108" w:type="dxa"/>
                </w:tcMar>
                <w:hideMark/>
              </w:tcPr>
              <w:p w14:paraId="415A6D78" w14:textId="4072BBD1">
                <w:pPr>
                  <w:jc w:val="both"/>
                  <w:rPr>
                    <w:rFonts w:eastAsia="Calibri"/>
                    <w:szCs w:val="24"/>
                  </w:rPr>
                </w:pPr>
                <w:r>
                  <w:rPr>
                    <w:rFonts w:eastAsia="Calibri"/>
                    <w:szCs w:val="24"/>
                  </w:rPr>
                  <w:t xml:space="preserve">2022 m. gruodžio 8 d. priimtas Lietuvos Respublikos teisėkūros pagrindų įstatymo (toliau –TPĮ) Nr. XI-2220 15 straipsnio pakeitimo įstatymas  (toliau – TPĮ pakeitimo įstatymas), kuriuo patikslinta TPĮ 15 straipsnio 2 dalis, joje įtvirtinant, kad numatomo teisinio reguliavimo poveikio vertinimo atlikimo metu būtų nustatomas galimas teigiamas ir neigiamas poveikis ne tik aplinkai, bet ir klimato kaitai. TPĮ pakeitimo įstatyme numatytas poreikis priimti įgyvendinamuosius teisės aktus. 2024 m. sausio 17 d. priimtas TPĮ įgyvendinantis </w:t>
                </w:r>
                <w:r>
                  <w:rPr>
                    <w:rFonts w:eastAsia="Calibri"/>
                    <w:color w:val="0000FF"/>
                    <w:szCs w:val="24"/>
                    <w:u w:val="single"/>
                  </w:rPr>
                  <w:t>Vyriausybės 2003 m. vasario 26 d. nutarimo Nr. 276 „Dėl Numatomo teisinio reguliavimo poveikio vertinimo metodikos patvirtinimo“ pakeitimas</w:t>
                </w:r>
                <w:r>
                  <w:rPr>
                    <w:rFonts w:eastAsia="Calibri"/>
                    <w:szCs w:val="24"/>
                  </w:rPr>
                  <w:t xml:space="preserve"> (toliau – Nutarimas), kuriuo numatytas išsamesnis teisėkūros inciatyvų poveikio aplinkai ir klimato kaitai vertinimas, atliekamas vadovaujantis aplinkos ministro nustatyta tvarka. Priėmus šį įsakymo projektą bus nustatyta detalesnė numatomo teisinio reguliavimo poveikio vertinimo atlikimo tvarka, atliepianti TPĮ pakeitimo įstatymą, Nutarimo nuostatas ir praktikoje egzistuojančius numatomo teisinio reguliavimo poveikio vertinimo iššūkius, pvz., poveikio vertinimas aplinkosauginiu ir klimato kaitos požiūriu atliekamas tik teisės akto projekto rengėjo nuožiūra, nesant metodinių rekomendacijų, todėl praktikoje dažniausiai poveikis aplinkai ir klimato kaitai nėra vertinamas arba yra vertinamas paviršutiniškai. Įsakymo projektu siekiama sudaryti sąlygas teisės aktų projektų rengėjams efektyviai ir objektyviai atlikti kokybinį ir (ar) kiekybinį poveikio aplinkai ir klimato kaitai vertinimą.</w:t>
                </w:r>
              </w:p>
            </w:tc>
          </w:tr>
        </w:tbl>
        <w:p w14:paraId="6DD4D097" w14:textId="77777777">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9606"/>
          </w:tblGrid>
          <w:tr w14:paraId="477D2194" w14:textId="77777777">
            <w:trPr>
              <w:trHeight w:val="415"/>
            </w:trPr>
            <w:tc>
              <w:tcPr>
                <w:tcW w:w="9606" w:type="dxa"/>
                <w:shd w:val="clear" w:color="auto" w:fill="DBE5F1"/>
                <w:tcMar>
                  <w:top w:w="0" w:type="dxa"/>
                  <w:left w:w="108" w:type="dxa"/>
                  <w:bottom w:w="0" w:type="dxa"/>
                  <w:right w:w="108" w:type="dxa"/>
                </w:tcMar>
                <w:hideMark/>
              </w:tcPr>
              <w:p w14:paraId="18531C9B" w14:textId="77777777">
                <w:pPr>
                  <w:jc w:val="center"/>
                  <w:rPr>
                    <w:szCs w:val="24"/>
                    <w:lang w:eastAsia="lt-LT"/>
                  </w:rPr>
                </w:pPr>
                <w:r>
                  <w:rPr>
                    <w:b/>
                    <w:bCs/>
                    <w:szCs w:val="24"/>
                    <w:lang w:eastAsia="lt-LT"/>
                  </w:rPr>
                  <w:t>Siūlomo projekto poveikio įvertinimas (teigiamos ir (ar) neigiamos pasekmės)</w:t>
                </w:r>
              </w:p>
            </w:tc>
          </w:tr>
        </w:tbl>
        <w:p w14:paraId="267DF83E" w14:textId="77777777">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2552"/>
            <w:gridCol w:w="7054"/>
          </w:tblGrid>
          <w:tr w14:paraId="79CDB92B" w14:textId="77777777">
            <w:trPr>
              <w:trHeight w:val="174"/>
            </w:trPr>
            <w:tc>
              <w:tcPr>
                <w:tcW w:w="2552" w:type="dxa"/>
                <w:shd w:val="clear" w:color="auto" w:fill="DBE5F1"/>
                <w:tcMar>
                  <w:top w:w="0" w:type="dxa"/>
                  <w:left w:w="108" w:type="dxa"/>
                  <w:bottom w:w="0" w:type="dxa"/>
                  <w:right w:w="108" w:type="dxa"/>
                </w:tcMar>
                <w:hideMark/>
              </w:tcPr>
              <w:p w14:paraId="49A93552" w14:textId="77777777">
                <w:pPr>
                  <w:rPr>
                    <w:szCs w:val="24"/>
                    <w:lang w:eastAsia="lt-LT"/>
                  </w:rPr>
                </w:pPr>
                <w:r>
                  <w:rPr>
                    <w:b/>
                    <w:bCs/>
                    <w:szCs w:val="24"/>
                    <w:lang w:eastAsia="lt-LT"/>
                  </w:rPr>
                  <w:t xml:space="preserve">Poveikis </w:t>
                </w:r>
                <w:r>
                  <w:rPr>
                    <w:b/>
                    <w:color w:val="000000"/>
                    <w:szCs w:val="24"/>
                    <w:lang w:eastAsia="lt-LT"/>
                  </w:rPr>
                  <w:t>aplinkai ir klimato kaitai</w:t>
                </w:r>
              </w:p>
            </w:tc>
            <w:tc>
              <w:tcPr>
                <w:tcW w:w="7054" w:type="dxa"/>
                <w:tcMar>
                  <w:top w:w="0" w:type="dxa"/>
                  <w:left w:w="108" w:type="dxa"/>
                  <w:bottom w:w="0" w:type="dxa"/>
                  <w:right w:w="108" w:type="dxa"/>
                </w:tcMar>
                <w:hideMark/>
              </w:tcPr>
              <w:p w14:paraId="7B6F599C" w14:textId="38CC8101">
                <w:pPr>
                  <w:jc w:val="both"/>
                  <w:rPr>
                    <w:szCs w:val="24"/>
                  </w:rPr>
                </w:pPr>
                <w:r>
                  <w:rPr>
                    <w:szCs w:val="24"/>
                  </w:rPr>
                  <w:t>Teigiamas. Sukūrus vieningą poveikio aplinkai ir klimato kaitai vertinimo sistemą, teisės aktų projekto rengėjai, atsižvelgiant į teisėkūros iniciatyvos pobūdį, bus įpareigoti kokybiškai ir (ar) kiekybiškai vertinti jos poveikį aplinkai ir klimato kaitai, tuo būdu valdant</w:t>
                </w:r>
                <w:r>
                  <w:rPr>
                    <w:szCs w:val="24"/>
                    <w:lang w:eastAsia="lt-LT"/>
                  </w:rPr>
                  <w:t xml:space="preserve"> žalingą sprendimų priėmimo praktiką, kai vieni sprendimai skatina siekti kuo mažesnio neigiamo poveikio aplinkai ir faktiškai leidžia sumažinti ŠESD išmetimus, išvengti kito neigiamo poveikio aplinkai, o kiti – neigiamą poveikį aplinkai didina. </w:t>
                </w:r>
              </w:p>
            </w:tc>
          </w:tr>
        </w:tbl>
        <w:p w14:paraId="64459E6E" w14:textId="77777777">
          <w:pPr>
            <w:ind w:firstLine="62"/>
            <w:rPr>
              <w:sz w:val="16"/>
              <w:szCs w:val="16"/>
              <w:lang w:eastAsia="lt-LT"/>
            </w:rPr>
          </w:pPr>
        </w:p>
        <w:tbl>
          <w:tblPr>
            <w:tblW w:w="9606" w:type="dxa"/>
            <w:tblCellMar>
              <w:left w:w="0" w:type="dxa"/>
              <w:right w:w="0" w:type="dxa"/>
            </w:tblCellMar>
            <w:tblLook w:val="04A0" w:firstRow="1" w:lastRow="0" w:firstColumn="1" w:lastColumn="0" w:noHBand="0" w:noVBand="1"/>
          </w:tblPr>
          <w:tblGrid>
            <w:gridCol w:w="2552"/>
            <w:gridCol w:w="7054"/>
          </w:tblGrid>
          <w:tr w14:paraId="16AAA8E8" w14:textId="77777777">
            <w:tc>
              <w:tcPr>
                <w:tcW w:w="2552" w:type="dxa"/>
                <w:shd w:val="clear" w:color="auto" w:fill="DBE5F1"/>
                <w:tcMar>
                  <w:top w:w="0" w:type="dxa"/>
                  <w:left w:w="108" w:type="dxa"/>
                  <w:bottom w:w="0" w:type="dxa"/>
                  <w:right w:w="108" w:type="dxa"/>
                </w:tcMar>
                <w:hideMark/>
              </w:tcPr>
              <w:p w14:paraId="5DDBCCE2" w14:textId="77777777">
                <w:pPr>
                  <w:rPr>
                    <w:szCs w:val="24"/>
                    <w:lang w:eastAsia="lt-LT"/>
                  </w:rPr>
                </w:pPr>
                <w:r>
                  <w:rPr>
                    <w:b/>
                    <w:bCs/>
                    <w:szCs w:val="24"/>
                    <w:lang w:eastAsia="lt-LT"/>
                  </w:rPr>
                  <w:t>Poveikis valstybės finansams</w:t>
                </w:r>
              </w:p>
            </w:tc>
            <w:tc>
              <w:tcPr>
                <w:tcW w:w="7054" w:type="dxa"/>
                <w:tcMar>
                  <w:top w:w="0" w:type="dxa"/>
                  <w:left w:w="108" w:type="dxa"/>
                  <w:bottom w:w="0" w:type="dxa"/>
                  <w:right w:w="108" w:type="dxa"/>
                </w:tcMar>
                <w:hideMark/>
              </w:tcPr>
              <w:p w14:paraId="544FDBA8" w14:textId="2E221674">
                <w:pPr>
                  <w:jc w:val="both"/>
                  <w:rPr>
                    <w:szCs w:val="24"/>
                    <w:highlight w:val="yellow"/>
                    <w:lang w:eastAsia="lt-LT"/>
                  </w:rPr>
                </w:pPr>
                <w:r>
                  <w:rPr>
                    <w:szCs w:val="24"/>
                    <w:lang w:eastAsia="lt-LT"/>
                  </w:rPr>
                  <w:t>Tiesioginis poveikis nenumatomas. Tačiau atvejais, kai aplinkos būklės ir klimato kaitos rodiklių galimo pokyčio analizė bus atliekama kaip sąnaudų ir naudos analizės dalis, siekiant nustatyti optimalią teisėkūros iniciatyvos alternatyvą, siūlomi pokyčiai suteiks galimybę objektyviau vykdyti lėšų skirstymą aplinkosauginiu požiūriu.</w:t>
                </w:r>
              </w:p>
            </w:tc>
          </w:tr>
        </w:tbl>
        <w:p w14:paraId="2C1E7CD6" w14:textId="77777777">
          <w:pPr>
            <w:rPr>
              <w:sz w:val="16"/>
              <w:szCs w:val="16"/>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7054"/>
          </w:tblGrid>
          <w:tr w14:paraId="6ADB127B" w14:textId="77777777">
            <w:tc>
              <w:tcPr>
                <w:tcW w:w="2552" w:type="dxa"/>
                <w:tcBorders>
                  <w:top w:val="nil"/>
                  <w:left w:val="nil"/>
                  <w:bottom w:val="nil"/>
                  <w:right w:val="nil"/>
                </w:tcBorders>
                <w:shd w:val="clear" w:color="auto" w:fill="DBE5F1"/>
              </w:tcPr>
              <w:p w14:paraId="28A7EC32" w14:textId="77777777">
                <w:pPr>
                  <w:shd w:val="clear" w:color="auto" w:fill="DBE5F1"/>
                  <w:rPr>
                    <w:b/>
                    <w:szCs w:val="24"/>
                    <w:lang w:eastAsia="lt-LT"/>
                  </w:rPr>
                </w:pPr>
                <w:r>
                  <w:rPr>
                    <w:b/>
                    <w:szCs w:val="24"/>
                    <w:lang w:eastAsia="lt-LT"/>
                  </w:rPr>
                  <w:t>Poveikis administracinei naštai</w:t>
                </w:r>
              </w:p>
            </w:tc>
            <w:tc>
              <w:tcPr>
                <w:tcW w:w="7054" w:type="dxa"/>
                <w:tcBorders>
                  <w:top w:val="nil"/>
                  <w:left w:val="nil"/>
                  <w:bottom w:val="nil"/>
                  <w:right w:val="nil"/>
                </w:tcBorders>
                <w:hideMark/>
              </w:tcPr>
              <w:p w14:paraId="4D1CF475" w14:textId="77777777">
                <w:pPr>
                  <w:jc w:val="both"/>
                  <w:rPr>
                    <w:sz w:val="22"/>
                    <w:szCs w:val="22"/>
                    <w:lang w:eastAsia="lt-LT"/>
                  </w:rPr>
                </w:pPr>
                <w:r>
                  <w:rPr>
                    <w:szCs w:val="24"/>
                    <w:lang w:eastAsia="lt-LT"/>
                  </w:rPr>
                  <w:t>Nenumatomas. Nepaisant to, kad sukuriamas papildomas mechanizmas poveikiui vertinti, tuo pačiu bus numatytos gairės šiam vertinimui atlikti, suvienodinant skirtingas institucijose egzistuojančias praktikas.</w:t>
                </w:r>
              </w:p>
            </w:tc>
          </w:tr>
        </w:tbl>
        <w:p w14:paraId="7160DAB0" w14:textId="77777777">
          <w:pPr>
            <w:rPr>
              <w:sz w:val="16"/>
              <w:szCs w:val="16"/>
              <w:lang w:eastAsia="lt-LT"/>
            </w:rPr>
          </w:pPr>
        </w:p>
        <w:tbl>
          <w:tblPr>
            <w:tblW w:w="9606" w:type="dxa"/>
            <w:tblLook w:val="00A0" w:firstRow="1" w:lastRow="0" w:firstColumn="1" w:lastColumn="0" w:noHBand="0" w:noVBand="0"/>
          </w:tblPr>
          <w:tblGrid>
            <w:gridCol w:w="9606"/>
          </w:tblGrid>
          <w:tr w14:paraId="7A3BDC3D" w14:textId="77777777">
            <w:trPr>
              <w:trHeight w:val="399"/>
            </w:trPr>
            <w:tc>
              <w:tcPr>
                <w:tcW w:w="9606" w:type="dxa"/>
                <w:shd w:val="clear" w:color="auto" w:fill="DBE5F1"/>
                <w:hideMark/>
              </w:tcPr>
              <w:p w14:paraId="2BB28242" w14:textId="77777777">
                <w:pPr>
                  <w:rPr>
                    <w:b/>
                    <w:szCs w:val="24"/>
                    <w:lang w:eastAsia="lt-LT"/>
                  </w:rPr>
                </w:pPr>
                <w:r>
                  <w:rPr>
                    <w:b/>
                    <w:szCs w:val="24"/>
                    <w:lang w:eastAsia="lt-LT"/>
                  </w:rPr>
                  <w:t>Kita svarbi informacija</w:t>
                </w:r>
              </w:p>
            </w:tc>
          </w:tr>
        </w:tbl>
        <w:p w14:paraId="657D0E30" w14:textId="77777777">
          <w:pPr>
            <w:jc w:val="both"/>
            <w:rPr>
              <w:b/>
              <w:bCs/>
              <w:sz w:val="16"/>
              <w:szCs w:val="16"/>
              <w:lang w:eastAsia="lt-LT"/>
            </w:rPr>
          </w:pPr>
        </w:p>
        <w:sdt>
          <w:sdtPr>
            <w:alias w:val="lentele"/>
            <w:tag w:val="part_d9b506e3385a4fb08e63887bd8cc3b3f"/>
            <w:lock w:val="sdtLocked"/>
            <w:richText/>
          </w:sdtPr>
          <w:sdtContent>
            <w:p w14:paraId="0996355C" w14:textId="77777777">
              <w:pPr>
                <w:jc w:val="both"/>
                <w:rPr>
                  <w:b/>
                  <w:bCs/>
                  <w:szCs w:val="24"/>
                  <w:lang w:eastAsia="lt-LT"/>
                </w:rPr>
              </w:pPr>
              <w:sdt>
                <w:sdtPr>
                  <w:alias w:val="Pavadinimas"/>
                  <w:tag w:val="title_d9b506e3385a4fb08e63887bd8cc3b3f"/>
                  <w:lock w:val="sdtLocked"/>
                  <w:richText/>
                </w:sdtPr>
                <w:sdtContent>
                  <w:r>
                    <w:rPr>
                      <w:b/>
                      <w:bCs/>
                      <w:szCs w:val="24"/>
                      <w:lang w:eastAsia="lt-LT"/>
                    </w:rPr>
                    <w:t>Informacija apie asmenį ir instituciją, atsakingą už poveikio vertinimą</w:t>
                  </w:r>
                </w:sdtContent>
              </w:sdt>
            </w:p>
            <w:p w14:paraId="096BB748" w14:textId="77777777">
              <w:pPr>
                <w:jc w:val="both"/>
                <w:rPr>
                  <w:b/>
                  <w:bCs/>
                  <w:sz w:val="16"/>
                  <w:szCs w:val="16"/>
                  <w:lang w:eastAsia="lt-LT"/>
                </w:rPr>
              </w:pPr>
            </w:p>
            <w:tbl>
              <w:tblPr>
                <w:tblW w:w="487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6610"/>
              </w:tblGrid>
              <w:tr w14:paraId="05845055" w14:textId="77777777">
                <w:tc>
                  <w:tcPr>
                    <w:tcW w:w="1475" w:type="pc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hideMark/>
                  </w:tcPr>
                  <w:p w14:paraId="6289CFCE" w14:textId="77777777">
                    <w:pPr>
                      <w:rPr>
                        <w:szCs w:val="24"/>
                        <w:lang w:eastAsia="lt-LT"/>
                      </w:rPr>
                    </w:pPr>
                    <w:r>
                      <w:rPr>
                        <w:szCs w:val="24"/>
                        <w:lang w:eastAsia="lt-LT"/>
                      </w:rPr>
                      <w:t>Vardas ir pavardė</w:t>
                    </w:r>
                  </w:p>
                </w:tc>
                <w:tc>
                  <w:tcPr>
                    <w:tcW w:w="3525" w:type="pct"/>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hideMark/>
                  </w:tcPr>
                  <w:p w14:paraId="5BF5F351" w14:textId="07F4DC42">
                    <w:pPr>
                      <w:rPr>
                        <w:szCs w:val="24"/>
                        <w:lang w:eastAsia="lt-LT"/>
                      </w:rPr>
                    </w:pPr>
                    <w:r>
                      <w:rPr>
                        <w:szCs w:val="24"/>
                        <w:lang w:eastAsia="lt-LT"/>
                      </w:rPr>
                      <w:t>Aurimas Saladžius</w:t>
                    </w:r>
                  </w:p>
                </w:tc>
              </w:tr>
              <w:tr w14:paraId="4E222193" w14:textId="77777777">
                <w:tc>
                  <w:tcPr>
                    <w:tcW w:w="1475" w:type="pct"/>
                    <w:tcBorders>
                      <w:top w:val="nil"/>
                      <w:left w:val="single" w:sz="8" w:space="0" w:color="auto"/>
                      <w:bottom w:val="single" w:sz="8" w:space="0" w:color="auto"/>
                      <w:right w:val="single" w:sz="8" w:space="0" w:color="auto"/>
                    </w:tcBorders>
                    <w:shd w:val="clear" w:color="auto" w:fill="auto"/>
                    <w:tcMar>
                      <w:top w:w="28" w:type="dxa"/>
                      <w:left w:w="108" w:type="dxa"/>
                      <w:bottom w:w="28" w:type="dxa"/>
                      <w:right w:w="108" w:type="dxa"/>
                    </w:tcMar>
                    <w:hideMark/>
                  </w:tcPr>
                  <w:p w14:paraId="400A818E" w14:textId="77777777">
                    <w:pPr>
                      <w:rPr>
                        <w:szCs w:val="24"/>
                        <w:lang w:eastAsia="lt-LT"/>
                      </w:rPr>
                    </w:pPr>
                    <w:r>
                      <w:rPr>
                        <w:szCs w:val="24"/>
                        <w:lang w:eastAsia="lt-LT"/>
                      </w:rPr>
                      <w:t>Pareigos</w:t>
                    </w:r>
                  </w:p>
                </w:tc>
                <w:tc>
                  <w:tcPr>
                    <w:tcW w:w="3525" w:type="pct"/>
                    <w:tcBorders>
                      <w:top w:val="nil"/>
                      <w:left w:val="nil"/>
                      <w:bottom w:val="single" w:sz="8" w:space="0" w:color="auto"/>
                      <w:right w:val="single" w:sz="8" w:space="0" w:color="auto"/>
                    </w:tcBorders>
                    <w:shd w:val="clear" w:color="auto" w:fill="auto"/>
                    <w:tcMar>
                      <w:top w:w="28" w:type="dxa"/>
                      <w:left w:w="108" w:type="dxa"/>
                      <w:bottom w:w="28" w:type="dxa"/>
                      <w:right w:w="108" w:type="dxa"/>
                    </w:tcMar>
                    <w:hideMark/>
                  </w:tcPr>
                  <w:p w14:paraId="6E18F2A9" w14:textId="34E66DE8">
                    <w:pPr>
                      <w:jc w:val="both"/>
                      <w:rPr>
                        <w:szCs w:val="24"/>
                        <w:lang w:eastAsia="lt-LT"/>
                      </w:rPr>
                    </w:pPr>
                    <w:r>
                      <w:rPr>
                        <w:szCs w:val="24"/>
                        <w:lang w:eastAsia="lt-LT"/>
                      </w:rPr>
                      <w:t>Darnaus vystymosi ir strateginių pokyčių grupės vadovas</w:t>
                    </w:r>
                  </w:p>
                </w:tc>
              </w:tr>
              <w:tr w14:paraId="2ADC35A5" w14:textId="77777777">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14:paraId="0E6ED8B3" w14:textId="37AB65F7">
                    <w:pPr>
                      <w:rPr>
                        <w:szCs w:val="24"/>
                        <w:lang w:eastAsia="lt-LT"/>
                      </w:rPr>
                    </w:pPr>
                    <w:r>
                      <w:rPr>
                        <w:szCs w:val="24"/>
                        <w:lang w:eastAsia="lt-LT"/>
                      </w:rPr>
                      <w:t>Institucija</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14:paraId="4D7C0BC4" w14:textId="348491EE">
                    <w:pPr>
                      <w:jc w:val="both"/>
                      <w:rPr>
                        <w:szCs w:val="24"/>
                        <w:lang w:eastAsia="lt-LT"/>
                      </w:rPr>
                    </w:pPr>
                    <w:r>
                      <w:rPr>
                        <w:bCs/>
                        <w:szCs w:val="24"/>
                        <w:lang w:eastAsia="lt-LT"/>
                      </w:rPr>
                      <w:t>Lietuvos Respublikos aplinkos ministerija</w:t>
                    </w:r>
                  </w:p>
                </w:tc>
              </w:tr>
              <w:tr w14:paraId="736F90DE" w14:textId="77777777">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14:paraId="5D02D3CE" w14:textId="77777777">
                    <w:pPr>
                      <w:rPr>
                        <w:szCs w:val="24"/>
                        <w:lang w:eastAsia="lt-LT"/>
                      </w:rPr>
                    </w:pPr>
                    <w:r>
                      <w:rPr>
                        <w:szCs w:val="24"/>
                        <w:lang w:eastAsia="lt-LT"/>
                      </w:rPr>
                      <w:t>Telefono numeris ir elektroninio pašto adresas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14:paraId="50847002" w14:textId="3E9AEE5A">
                    <w:pPr>
                      <w:widowControl w:val="0"/>
                      <w:suppressAutoHyphens/>
                      <w:jc w:val="both"/>
                      <w:rPr>
                        <w:rFonts w:eastAsia="Andale Sans UI"/>
                        <w:szCs w:val="24"/>
                        <w:lang w:eastAsia="lt-LT" w:bidi="en-US"/>
                      </w:rPr>
                    </w:pPr>
                    <w:r>
                      <w:rPr>
                        <w:rFonts w:eastAsia="Andale Sans UI"/>
                        <w:szCs w:val="24"/>
                        <w:lang w:eastAsia="lt-LT" w:bidi="en-US"/>
                      </w:rPr>
                      <w:t>8 696 59321</w:t>
                    </w:r>
                  </w:p>
                  <w:p w14:paraId="03C9E555" w14:textId="05D655FE">
                    <w:pPr>
                      <w:widowControl w:val="0"/>
                      <w:suppressAutoHyphens/>
                      <w:jc w:val="both"/>
                      <w:rPr>
                        <w:rFonts w:eastAsia="Andale Sans UI"/>
                        <w:szCs w:val="24"/>
                        <w:lang w:eastAsia="lt-LT" w:bidi="en-US"/>
                      </w:rPr>
                    </w:pPr>
                    <w:r>
                      <w:rPr>
                        <w:rFonts w:eastAsia="Andale Sans UI"/>
                        <w:color w:val="0000FF"/>
                        <w:szCs w:val="24"/>
                        <w:u w:val="single"/>
                        <w:lang w:eastAsia="lt-LT" w:bidi="en-US"/>
                      </w:rPr>
                      <w:t>aurimas.saladzius@am.lt</w:t>
                    </w:r>
                  </w:p>
                </w:tc>
              </w:tr>
            </w:tbl>
            <w:p w14:paraId="1A158E2F" w14:textId="77777777">
              <w:pPr>
                <w:rPr>
                  <w:sz w:val="16"/>
                  <w:szCs w:val="16"/>
                </w:rPr>
              </w:pPr>
            </w:p>
          </w:sdtContent>
        </w:sdt>
        <w:sdt>
          <w:sdtPr>
            <w:alias w:val="pabaiga"/>
            <w:tag w:val="part_c20dec52576b42d8840fdce9f6f3d66e"/>
            <w:lock w:val="sdtLocked"/>
            <w:richText/>
          </w:sdtPr>
          <w:sdtContent>
            <w:p w14:paraId="47FC6C87" w14:textId="77777777">
              <w:pPr>
                <w:jc w:val="center"/>
                <w:rPr>
                  <w:szCs w:val="24"/>
                  <w:lang w:eastAsia="lt-LT"/>
                </w:rPr>
              </w:pPr>
              <w:r>
                <w:rPr>
                  <w:szCs w:val="22"/>
                  <w:lang w:eastAsia="lt-LT"/>
                </w:rPr>
                <w:t>––––––––––––––––</w:t>
              </w:r>
            </w:p>
          </w:sdtContent>
        </w:sdt>
      </w:sdtContent>
    </w:sdt>
    <w:sectPr>
      <w:pgSz w:w="11906" w:h="16838"/>
      <w:pgMar w:top="993"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44B3D"/>
  <w15:docId w15:val="{1F939B51-174C-4430-ABD3-3B7C0DEA09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7504973">
      <w:bodyDiv w:val="1"/>
      <w:marLeft w:val="225"/>
      <w:marRight w:val="225"/>
      <w:marTop w:val="0"/>
      <w:marBottom w:val="0"/>
      <w:divBdr>
        <w:top w:val="none" w:sz="0" w:space="0" w:color="auto"/>
        <w:left w:val="none" w:sz="0" w:space="0" w:color="auto"/>
        <w:bottom w:val="none" w:sz="0" w:space="0" w:color="auto"/>
        <w:right w:val="none" w:sz="0" w:space="0" w:color="auto"/>
      </w:divBdr>
      <w:divsChild>
        <w:div w:id="1163207053">
          <w:marLeft w:val="0"/>
          <w:marRight w:val="0"/>
          <w:marTop w:val="0"/>
          <w:marBottom w:val="0"/>
          <w:divBdr>
            <w:top w:val="none" w:sz="0" w:space="0" w:color="auto"/>
            <w:left w:val="none" w:sz="0" w:space="0" w:color="auto"/>
            <w:bottom w:val="none" w:sz="0" w:space="0" w:color="auto"/>
            <w:right w:val="none" w:sz="0" w:space="0" w:color="auto"/>
          </w:divBdr>
        </w:div>
      </w:divsChild>
    </w:div>
    <w:div w:id="1289243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Virginija Kalesinskienė</DisplayName>
        <AccountId>83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72d322462d2843dc9b8b01dca1bcb2b4" PartId="c3f3d2c5a1f4498e829d55cb1e2a921d">
    <Part Type="lentele" Title="Informacija apie asmenį ir instituciją, atsakingą už poveikio vertinimą" DocPartId="e1e9832bfdab4013a78e0b89e6359e9b" PartId="d9b506e3385a4fb08e63887bd8cc3b3f"/>
    <Part Type="pabaiga" DocPartId="257b0923c7914f2da18321ebe9082786" PartId="c20dec52576b42d8840fdce9f6f3d66e"/>
  </Part>
</Parts>
</file>

<file path=customXml/itemProps1.xml><?xml version="1.0" encoding="utf-8"?>
<ds:datastoreItem xmlns:ds="http://schemas.openxmlformats.org/officeDocument/2006/customXml" ds:itemID="{48316205-5208-44D1-B2B0-F80954878CFF}">
  <ds:schemaRefs>
    <ds:schemaRef ds:uri="http://schemas.microsoft.com/sharepoint/v3/contenttype/forms"/>
  </ds:schemaRefs>
</ds:datastoreItem>
</file>

<file path=customXml/itemProps2.xml><?xml version="1.0" encoding="utf-8"?>
<ds:datastoreItem xmlns:ds="http://schemas.openxmlformats.org/officeDocument/2006/customXml" ds:itemID="{5C5A6E79-C320-4F09-A5F7-8D7F1B4D78B0}">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3"/>
    <ds:schemaRef ds:uri="19cf09c5-daa1-4028-a0ff-74a0be4ec5cc"/>
    <ds:schemaRef ds:uri="http://purl.org/dc/terms/"/>
    <ds:schemaRef ds:uri="http://schemas.openxmlformats.org/package/2006/metadata/core-properties"/>
    <ds:schemaRef ds:uri="f5aad5d0-9c26-490e-8743-a6c7ceabd501"/>
    <ds:schemaRef ds:uri="http://www.w3.org/XML/1998/namespace"/>
  </ds:schemaRefs>
</ds:datastoreItem>
</file>

<file path=customXml/itemProps3.xml><?xml version="1.0" encoding="utf-8"?>
<ds:datastoreItem xmlns:ds="http://schemas.openxmlformats.org/officeDocument/2006/customXml" ds:itemID="{A7E7F0AE-EA44-487E-987B-6E844C10CA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F84F389-D1AE-4F42-8435-52690480BD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431</Words>
  <Characters>3174</Characters>
  <Application>Microsoft Office Word</Application>
  <DocSecurity>4</DocSecurity>
  <Lines>83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2024-01-29T12:47:00Z</dcterms:created>
  <dc:creator>v.siaudinyte</dc:creator>
  <lastModifiedBy>adlibuser</lastModifiedBy>
  <lastPrinted>2016-02-17T13:00:00Z</lastPrinted>
  <dcterms:modified xsi:type="dcterms:W3CDTF">2024-01-29T12:47:00Z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