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c872896b3a44afaf45fe9e6df88055"/>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b/>
              <w:bCs/>
              <w:szCs w:val="24"/>
              <w:highlight w:val="yellow"/>
            </w:rPr>
            <w:t>. TSP-217</w:t>
          </w:r>
          <w:r>
            <w:rPr>
              <w:b/>
              <w:bCs/>
              <w:szCs w:val="24"/>
            </w:rPr>
            <w:t>,</w:t>
          </w:r>
          <w:r>
            <w:rPr>
              <w:b/>
              <w:bCs/>
              <w:szCs w:val="24"/>
              <w:highlight w:val="yellow"/>
            </w:rPr>
            <w:t>TSP-229,</w:t>
          </w:r>
          <w:r>
            <w:rPr>
              <w:b/>
              <w:bCs/>
              <w:szCs w:val="24"/>
            </w:rPr>
            <w:t xml:space="preserve"> </w:t>
          </w:r>
          <w:r>
            <w:rPr>
              <w:b/>
              <w:bCs/>
              <w:szCs w:val="24"/>
              <w:highlight w:val="yellow"/>
            </w:rPr>
            <w:t>TSP-224,</w:t>
          </w:r>
          <w:r>
            <w:rPr>
              <w:b/>
              <w:bCs/>
              <w:szCs w:val="24"/>
            </w:rPr>
            <w:t xml:space="preserve"> </w:t>
          </w:r>
          <w:r>
            <w:rPr>
              <w:b/>
              <w:bCs/>
              <w:szCs w:val="24"/>
              <w:highlight w:val="yellow"/>
            </w:rPr>
            <w:t>TSP-230, TSP-225,</w:t>
          </w:r>
          <w:r>
            <w:rPr>
              <w:b/>
              <w:bCs/>
              <w:szCs w:val="24"/>
            </w:rPr>
            <w:t xml:space="preserve"> </w:t>
          </w:r>
          <w:r>
            <w:rPr>
              <w:b/>
              <w:bCs/>
              <w:szCs w:val="24"/>
              <w:highlight w:val="yellow"/>
            </w:rPr>
            <w:t>TSP-226,</w:t>
          </w:r>
          <w:r>
            <w:rPr>
              <w:b/>
              <w:bCs/>
              <w:szCs w:val="24"/>
            </w:rPr>
            <w:t xml:space="preserve"> </w:t>
          </w:r>
          <w:r>
            <w:rPr>
              <w:b/>
              <w:bCs/>
              <w:szCs w:val="24"/>
              <w:highlight w:val="yellow"/>
            </w:rPr>
            <w:t>TSP-227, TSP-228, TSP-218</w:t>
          </w:r>
          <w:r>
            <w:rPr>
              <w:b/>
              <w:bCs/>
              <w:szCs w:val="24"/>
            </w:rPr>
            <w:t xml:space="preserve">, </w:t>
          </w:r>
          <w:r>
            <w:rPr>
              <w:b/>
              <w:bCs/>
              <w:szCs w:val="24"/>
              <w:highlight w:val="yellow"/>
            </w:rPr>
            <w:t>TSP-219</w:t>
          </w:r>
          <w:r>
            <w:rPr>
              <w:b/>
              <w:bCs/>
              <w:szCs w:val="24"/>
            </w:rPr>
            <w:t xml:space="preserve">, </w:t>
          </w:r>
          <w:r>
            <w:rPr>
              <w:b/>
              <w:bCs/>
              <w:szCs w:val="24"/>
              <w:highlight w:val="yellow"/>
            </w:rPr>
            <w:t>TSP-220, TSP-204,</w:t>
          </w:r>
          <w:r>
            <w:rPr>
              <w:b/>
              <w:bCs/>
              <w:szCs w:val="24"/>
            </w:rPr>
            <w:t xml:space="preserve"> </w:t>
          </w:r>
          <w:r>
            <w:rPr>
              <w:b/>
              <w:bCs/>
              <w:szCs w:val="24"/>
              <w:highlight w:val="yellow"/>
            </w:rPr>
            <w:t>TSP-221</w:t>
          </w:r>
          <w:r>
            <w:rPr>
              <w:b/>
              <w:bCs/>
              <w:szCs w:val="24"/>
            </w:rPr>
            <w:t xml:space="preserve">, </w:t>
          </w:r>
          <w:r>
            <w:rPr>
              <w:b/>
              <w:bCs/>
              <w:szCs w:val="24"/>
              <w:highlight w:val="yellow"/>
            </w:rPr>
            <w:t>TSP-216,</w:t>
          </w:r>
          <w:r>
            <w:rPr>
              <w:b/>
              <w:bCs/>
              <w:szCs w:val="24"/>
            </w:rPr>
            <w:t xml:space="preserve"> </w:t>
          </w:r>
          <w:r>
            <w:rPr>
              <w:b/>
              <w:bCs/>
              <w:szCs w:val="24"/>
              <w:highlight w:val="yellow"/>
            </w:rPr>
            <w:t>TSP-234, TSP-206, TSP-207, TSP-208</w:t>
          </w:r>
        </w:p>
        <w:p>
          <w:pPr>
            <w:rPr>
              <w:sz w:val="14"/>
              <w:szCs w:val="14"/>
            </w:rPr>
          </w:pPr>
        </w:p>
        <w:p>
          <w:pPr>
            <w:spacing w:line="360" w:lineRule="auto"/>
            <w:ind w:left="-720"/>
            <w:jc w:val="center"/>
            <w:rPr>
              <w:szCs w:val="24"/>
            </w:rPr>
          </w:pPr>
          <w:r>
            <w:rPr>
              <w:szCs w:val="24"/>
            </w:rPr>
            <w:t>2024-04-23</w:t>
          </w:r>
        </w:p>
        <w:sdt>
          <w:sdtPr>
            <w:alias w:val="preambule"/>
            <w:tag w:val="part_b7b80b7c8cf1418e9eb2923ed873658a"/>
            <w:lock w:val="sdtLocked"/>
            <w:richText/>
          </w:sdtPr>
          <w:sdtContent>
            <w:p>
              <w:pPr>
                <w:spacing w:line="259" w:lineRule="auto"/>
                <w:ind w:firstLine="434"/>
                <w:jc w:val="both"/>
                <w:rPr>
                  <w:b/>
                  <w:bCs/>
                  <w:szCs w:val="24"/>
                </w:rPr>
              </w:pPr>
              <w:r>
                <w:rPr>
                  <w:szCs w:val="24"/>
                </w:rPr>
                <w:t>Vadovaudamiesi Savivaldybių administracinės priežiūros įstatymu atlikome 2024-05-02  Šiaulių miesto savivaldybės tarybos posėdžiui teikiamų sprendimų projektų Nr. TSP-217,TSP-229, TSP-224, TSP-230, TSP-225, TSP-226, TSP-227, TSP-228, TSP-218, TSP-219, TSP-TSP-220, TSP-204, TSP-221, TSP-216, TSP-234, TSP-206, TSP-207, TSP-208, TSP-207 išankstinę priežiūrą (toliau – Sprendimų projektai).</w:t>
              </w:r>
            </w:p>
            <w:p>
              <w:pPr>
                <w:rPr>
                  <w:sz w:val="14"/>
                  <w:szCs w:val="14"/>
                </w:rPr>
              </w:pPr>
            </w:p>
          </w:sdtContent>
        </w:sdt>
        <w:sdt>
          <w:sdtPr>
            <w:alias w:val="pastraipa"/>
            <w:tag w:val="part_0484e9f544b444a18139b2f5ed4dabed"/>
            <w:lock w:val="sdtLocked"/>
            <w:richText/>
          </w:sdtPr>
          <w:sdtContent>
            <w:p>
              <w:pPr>
                <w:ind w:firstLine="434"/>
                <w:jc w:val="both"/>
                <w:rPr>
                  <w:rFonts w:eastAsia="Lucida Sans Unicode"/>
                  <w:szCs w:val="24"/>
                  <w:shd w:val="clear" w:color="auto" w:fill="FFFFFF"/>
                </w:rPr>
              </w:pPr>
              <w:r>
                <w:rPr>
                  <w:szCs w:val="24"/>
                </w:rPr>
                <w:t xml:space="preserve">Nustatyta, kad visuose Sprendimų projektais  tvirtinamuose Nuostatuose nurodyta, jog Mero kompetencija yra nustatyti maksimalų etatų skaičių įstaigose</w:t>
              </w:r>
              <w:r>
                <w:rPr>
                  <w:rFonts w:eastAsia="Lucida Sans Unicode"/>
                  <w:szCs w:val="24"/>
                  <w:shd w:val="clear" w:color="auto" w:fill="FFFFFF"/>
                </w:rPr>
                <w:t>.</w:t>
              </w:r>
            </w:p>
            <w:p>
              <w:pPr>
                <w:jc w:val="both"/>
                <w:rPr>
                  <w:szCs w:val="24"/>
                </w:rPr>
              </w:pPr>
            </w:p>
            <w:p>
              <w:pPr>
                <w:ind w:firstLine="426"/>
                <w:jc w:val="both"/>
                <w:rPr>
                  <w:szCs w:val="24"/>
                  <w14:ligatures w14:val="standardContextual"/>
                </w:rPr>
              </w:pPr>
              <w:r>
                <w:rPr>
                  <w:color w:val="000000"/>
                  <w:szCs w:val="24"/>
                </w:rPr>
                <w:t xml:space="preserve">Atkreipiame Jūsų dėmesį, kad </w:t>
              </w:r>
              <w:r>
                <w:rPr>
                  <w:szCs w:val="24"/>
                </w:rPr>
                <w:t xml:space="preserve">LR Biudžetinių įstaigų įstatymo (toliau - BĮĮ) </w:t>
              </w:r>
              <w:r>
                <w:rPr>
                  <w:color w:val="000000"/>
                  <w:szCs w:val="24"/>
                </w:rPr>
                <w:t>5 straipsnio 3 dalis nustato, kokias funkcijas atlieka Biudžetinės įstaigos savininko teises ir pareigas įgyvendinanti institucija t.y.:</w:t>
              </w:r>
              <w:r>
                <w:rPr>
                  <w:szCs w:val="24"/>
                  <w14:ligatures w14:val="standardContextual"/>
                </w:rPr>
                <w:t xml:space="preserve"> </w:t>
              </w:r>
              <w:r>
                <w:rPr>
                  <w:color w:val="000000"/>
                  <w:szCs w:val="24"/>
                </w:rPr>
                <w:t>1) tvirtina biudžetinės įstaigos nuostatus;</w:t>
              </w:r>
              <w:r>
                <w:rPr>
                  <w:szCs w:val="24"/>
                  <w14:ligatures w14:val="standardContextual"/>
                </w:rPr>
                <w:t xml:space="preserve"> </w:t>
              </w:r>
              <w:r>
                <w:rPr>
                  <w:color w:val="000000"/>
                  <w:szCs w:val="24"/>
                </w:rPr>
                <w:t>2) priima į pareigas ir atleidžia iš jų ar nušalina nuo pareigų biudžetinės įstaigos vadovą;</w:t>
              </w:r>
              <w:r>
                <w:rPr>
                  <w:szCs w:val="24"/>
                  <w14:ligatures w14:val="standardContextual"/>
                </w:rPr>
                <w:t xml:space="preserve"> </w:t>
              </w:r>
              <w:r>
                <w:rPr>
                  <w:color w:val="000000"/>
                  <w:szCs w:val="24"/>
                </w:rPr>
                <w:t>3) skiria ir atšaukia biudžetinės įstaigos stebėtojų tarybos (toliau – stebėtojų taryba) narius, jeigu biudžetinė įstaiga turi stebėtojų tarybą;</w:t>
              </w:r>
              <w:r>
                <w:rPr>
                  <w:szCs w:val="24"/>
                  <w14:ligatures w14:val="standardContextual"/>
                </w:rPr>
                <w:t xml:space="preserve"> </w:t>
              </w:r>
              <w:r>
                <w:rPr>
                  <w:color w:val="000000"/>
                  <w:szCs w:val="24"/>
                </w:rPr>
                <w:t>4) priima sprendimą dėl biudžetinės įstaigos buveinės pakeitimo;</w:t>
              </w:r>
              <w:r>
                <w:rPr>
                  <w:szCs w:val="24"/>
                  <w14:ligatures w14:val="standardContextual"/>
                </w:rPr>
                <w:t xml:space="preserve"> </w:t>
              </w:r>
              <w:r>
                <w:rPr>
                  <w:color w:val="000000"/>
                  <w:szCs w:val="24"/>
                </w:rPr>
                <w:t>5) priima sprendimą dėl biudžetinės įstaigos pertvarkymo, reorganizavimo ar likvidavimo;</w:t>
              </w:r>
              <w:r>
                <w:rPr>
                  <w:szCs w:val="24"/>
                  <w14:ligatures w14:val="standardContextual"/>
                </w:rPr>
                <w:t xml:space="preserve"> </w:t>
              </w:r>
              <w:r>
                <w:rPr>
                  <w:color w:val="000000"/>
                  <w:szCs w:val="24"/>
                </w:rPr>
                <w:t>6) priima sprendimą dėl biudžetinės įstaigos filialo steigimo ir jo veiklos nutraukimo;</w:t>
              </w:r>
              <w:r>
                <w:rPr>
                  <w:szCs w:val="24"/>
                  <w14:ligatures w14:val="standardContextual"/>
                </w:rPr>
                <w:t xml:space="preserve"> </w:t>
              </w:r>
              <w:r>
                <w:rPr>
                  <w:color w:val="000000"/>
                  <w:szCs w:val="24"/>
                </w:rPr>
                <w:t>7) skiria ir atleidžia likvidatorių arba sudaro likvidacinę komisiją ir nutraukia jos įgaliojimus;</w:t>
              </w:r>
              <w:r>
                <w:rPr>
                  <w:szCs w:val="24"/>
                  <w14:ligatures w14:val="standardContextual"/>
                </w:rPr>
                <w:t xml:space="preserve"> </w:t>
              </w:r>
              <w:r>
                <w:rPr>
                  <w:color w:val="000000"/>
                  <w:szCs w:val="24"/>
                </w:rPr>
                <w:t>8) sprendžia kitus šiame įstatyme, kituose įstatymuose ir biudžetinės įstaigos nuostatuose jos kompetencijai priskirtus klausimus”.</w:t>
              </w:r>
            </w:p>
            <w:p>
              <w:pPr>
                <w:ind w:firstLine="426"/>
                <w:jc w:val="both"/>
                <w:rPr>
                  <w:kern w:val="2"/>
                  <w:szCs w:val="24"/>
                </w:rPr>
              </w:pPr>
              <w:r>
                <w:rPr>
                  <w:kern w:val="2"/>
                  <w:szCs w:val="24"/>
                </w:rPr>
                <w:t xml:space="preserve">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w:t>
              </w:r>
            </w:p>
            <w:p>
              <w:pPr>
                <w:ind w:firstLine="567"/>
                <w:jc w:val="both"/>
                <w:rPr>
                  <w:kern w:val="2"/>
                  <w:szCs w:val="24"/>
                </w:rPr>
              </w:pPr>
              <w:r>
                <w:rPr>
                  <w:kern w:val="2"/>
                  <w:szCs w:val="24"/>
                </w:rPr>
                <w:t>Atsižvelgiant į Pakeitimo įstatymo nuostatas, darytina išvada, kad Vietos savivaldos įstatymas nesuteikia teisės Merui nustatyti maksimalų etatų skaičių įstaigose.</w:t>
              </w:r>
            </w:p>
            <w:p>
              <w:pPr>
                <w:overflowPunct w:val="0"/>
                <w:spacing w:line="259" w:lineRule="auto"/>
                <w:ind w:firstLine="709"/>
                <w:jc w:val="both"/>
                <w:textAlignment w:val="baseline"/>
                <w:rPr>
                  <w:color w:val="000000"/>
                  <w:szCs w:val="24"/>
                </w:rPr>
              </w:pPr>
              <w:r>
                <w:rPr>
                  <w:color w:val="000000"/>
                  <w:szCs w:val="24"/>
                </w:rPr>
                <w:t>Tarptautinių žodžių žodyne nurodoma, kad etatas yra laikomas pareigybiniu vienetu, o atsižvelgiant į</w:t>
              </w:r>
              <w:r>
                <w:rPr>
                  <w:szCs w:val="24"/>
                  <w:lang w:eastAsia="lt-LT"/>
                </w:rPr>
                <w:t xml:space="preserve"> </w:t>
              </w:r>
              <w:r>
                <w:rPr>
                  <w:color w:val="000000"/>
                  <w:szCs w:val="24"/>
                </w:rPr>
                <w:t>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w:t>
              </w:r>
            </w:p>
            <w:p>
              <w:pPr>
                <w:rPr>
                  <w:sz w:val="14"/>
                  <w:szCs w:val="14"/>
                </w:rPr>
              </w:pPr>
            </w:p>
            <w:p>
              <w:pPr>
                <w:overflowPunct w:val="0"/>
                <w:spacing w:line="259" w:lineRule="auto"/>
                <w:ind w:firstLine="709"/>
                <w:jc w:val="both"/>
                <w:textAlignment w:val="baseline"/>
                <w:rPr>
                  <w:color w:val="000000"/>
                  <w:szCs w:val="24"/>
                </w:rPr>
              </w:pPr>
              <w:r>
                <w:rPr>
                  <w:color w:val="000000"/>
                  <w:szCs w:val="24"/>
                </w:rPr>
                <w:t>Be kita ko, Lietuvos Respublikos biudžetinių įstaigų darbuotojų darbo apmokėjimo ir komisijų narių atlygio už darbą įstatymo 4 straipsnio 1 dalis taip pat nurodo, kad „</w:t>
              </w:r>
              <w:r>
                <w:rPr>
                  <w:i/>
                  <w:iCs/>
                  <w:szCs w:val="24"/>
                </w:rPr>
                <w:t>Biudžetinės įstaigos pareigybių skaičių ir pareigybių sąrašą</w:t>
              </w:r>
              <w:r>
                <w:rPr>
                  <w:szCs w:val="24"/>
                </w:rPr>
                <w:t xml:space="preserve">, naudodamasis ekonomikos ir inovacijų ministro patvirtintu Lietuvos profesijų klasifikatoriaus kodu ir pritaikydamas profesijos pavadinimą konkrečiai pareigybei įvardyti, </w:t>
              </w:r>
              <w:r>
                <w:rPr>
                  <w:i/>
                  <w:iCs/>
                  <w:szCs w:val="24"/>
                </w:rPr>
                <w:t>nustato biudžetinės įstaigos vadovas</w:t>
              </w:r>
              <w:r>
                <w:rPr>
                  <w:szCs w:val="24"/>
                </w:rPr>
                <w:t>, konsultuodamasis su darbuotojų atstovais.“</w:t>
              </w:r>
            </w:p>
            <w:p>
              <w:pPr>
                <w:rPr>
                  <w:sz w:val="14"/>
                  <w:szCs w:val="14"/>
                </w:rPr>
              </w:pPr>
            </w:p>
            <w:p>
              <w:pPr>
                <w:ind w:firstLine="567"/>
                <w:jc w:val="both"/>
                <w:rPr>
                  <w:kern w:val="2"/>
                  <w:szCs w:val="24"/>
                </w:rPr>
              </w:pPr>
              <w:r>
                <w:rPr>
                  <w:kern w:val="2"/>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w:t>
              </w:r>
            </w:p>
            <w:p>
              <w:pPr>
                <w:ind w:firstLine="567"/>
                <w:jc w:val="both"/>
                <w:rPr>
                  <w:color w:val="000000"/>
                  <w:szCs w:val="24"/>
                </w:rPr>
              </w:pPr>
            </w:p>
            <w:p>
              <w:pPr>
                <w:ind w:firstLine="567"/>
                <w:jc w:val="both"/>
                <w:rPr>
                  <w:szCs w:val="24"/>
                </w:rPr>
              </w:pPr>
              <w:r>
                <w:rPr>
                  <w:szCs w:val="24"/>
                </w:rPr>
                <w:t>Atsižvelgiant į tai, kas pateikta aukščiau, darytina išvada, kad Sprendimų projektais tvirtinami Nuostatai neatitinka BĮĮ bei VSĮ nuostatų, siūlome visus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e9e82ae4531a454480fd1a4865b740f8"/>
            <w:lock w:val="sdtLocked"/>
            <w:richText/>
          </w:sdtPr>
          <w:sdtContent>
            <w:p>
              <w:pPr>
                <w:ind w:firstLine="124"/>
                <w:rPr>
                  <w:szCs w:val="24"/>
                </w:rPr>
              </w:pPr>
              <w:r>
                <w:rPr>
                  <w:szCs w:val="24"/>
                </w:rPr>
                <w:t xml:space="preserve">Vyriausybės atstovo įstaigos Šiaulių ir Telšių apskrityse biuro </w:t>
              </w:r>
            </w:p>
            <w:p>
              <w:pPr>
                <w:ind w:firstLine="124"/>
                <w:rPr>
                  <w:szCs w:val="24"/>
                </w:rPr>
              </w:pPr>
              <w:r>
                <w:rPr>
                  <w:szCs w:val="24"/>
                </w:rPr>
                <w:t xml:space="preserve">Vyriausioji patarėja                                                                                                      Laima Dagienė                                                          </w:t>
              </w: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f85dfc6b2c4dce9c94c83a49a837a1" PartId="16c872896b3a44afaf45fe9e6df88055">
    <Part Type="preambule" DocPartId="148100e6b9dd4362ac7a3949aabcd39b" PartId="b7b80b7c8cf1418e9eb2923ed873658a"/>
    <Part Type="pastraipa" DocPartId="76360615b10a447e9326ac8af93dd421" PartId="0484e9f544b444a18139b2f5ed4dabed"/>
    <Part Type="signatura" DocPartId="44b9cfa0d4be44418246798160c1e3e7" PartId="e9e82ae4531a454480fd1a4865b740f8"/>
  </Part>
</Parts>
</file>

<file path=customXml/itemProps1.xml><?xml version="1.0" encoding="utf-8"?>
<ds:datastoreItem xmlns:ds="http://schemas.openxmlformats.org/officeDocument/2006/customXml" ds:itemID="{28337EE6-389C-4BDB-BEEB-E2CE4615E1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4164</Characters>
  <Application>Microsoft Office Word</Application>
  <DocSecurity>4</DocSecurity>
  <Lines>64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2024-04-23T12:06:00Z</dcterms:created>
  <dc:creator>Jūratė Šimkuvienė</dc:creator>
  <lastModifiedBy>adlibuser</lastModifiedBy>
  <dcterms:modified xsi:type="dcterms:W3CDTF">2024-04-23T12:06:00Z</dcterms:modified>
  <revision>2</revision>
</coreProperties>
</file>