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95e55b2cbed40b3a292e39a795f598d"/>
        <w:lock w:val="sdtLocked"/>
        <w:richText/>
      </w:sdtPr>
      <w:sdtContent>
        <w:p>
          <w:pPr>
            <w:tabs>
              <w:tab w:val="center" w:pos="4819"/>
              <w:tab w:val="left" w:pos="7371"/>
              <w:tab w:val="right" w:pos="9638"/>
            </w:tabs>
            <w:suppressAutoHyphens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ab/>
            <w:t xml:space="preserve">                                                                                                 Projekto</w:t>
          </w:r>
        </w:p>
        <w:p>
          <w:pPr>
            <w:tabs>
              <w:tab w:val="left" w:pos="7230"/>
              <w:tab w:val="right" w:pos="9638"/>
            </w:tabs>
            <w:suppressAutoHyphens/>
            <w:ind w:firstLine="7230"/>
            <w:jc w:val="center"/>
            <w:rPr>
              <w:szCs w:val="24"/>
              <w:lang w:val="x-none" w:eastAsia="ar-SA"/>
            </w:rPr>
          </w:pPr>
          <w:r>
            <w:rPr>
              <w:b/>
              <w:szCs w:val="24"/>
              <w:lang w:val="x-none" w:eastAsia="ar-SA"/>
            </w:rPr>
            <w:t>lyginamasis variantas</w:t>
          </w:r>
        </w:p>
        <w:p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</w:sdtContent>
    </w:sdt>
    <w:sdt>
      <w:sdtPr>
        <w:alias w:val="patvirtinta"/>
        <w:tag w:val="part_accb89bfc909456cb023a4e610db8b14"/>
        <w:lock w:val="sdtLocked"/>
        <w:richText/>
      </w:sdtPr>
      <w:sdtContent>
        <w:p>
          <w:pPr>
            <w:tabs>
              <w:tab w:val="left" w:pos="6804"/>
            </w:tabs>
            <w:ind w:left="5387"/>
            <w:rPr>
              <w:szCs w:val="24"/>
              <w:lang w:eastAsia="ar-SA"/>
            </w:rPr>
          </w:pPr>
          <w:r>
            <w:rPr>
              <w:caps/>
              <w:szCs w:val="24"/>
              <w:lang w:eastAsia="ar-SA"/>
            </w:rPr>
            <w:t>Patvirtinta</w:t>
          </w:r>
          <w:r>
            <w:rPr>
              <w:szCs w:val="24"/>
              <w:lang w:eastAsia="ar-SA"/>
            </w:rPr>
            <w:br/>
            <w:t>Šiaulių miesto savivaldybės tarybos</w:t>
            <w:br/>
            <w:t>2020 m. gruodžio 3 d. sprendimu Nr. T-455</w:t>
          </w:r>
        </w:p>
        <w:sdt>
          <w:sdtPr>
            <w:alias w:val="Pavadinimas"/>
            <w:tag w:val="title_accb89bfc909456cb023a4e610db8b14"/>
            <w:lock w:val="sdtLocked"/>
            <w:richText/>
          </w:sdtPr>
          <w:sdtContent>
            <w:p>
              <w:pPr>
                <w:suppressAutoHyphens/>
                <w:ind w:left="4091" w:firstLine="1296"/>
                <w:jc w:val="both"/>
                <w:rPr>
                  <w:rFonts w:eastAsia="Calibri"/>
                  <w:b/>
                  <w:szCs w:val="24"/>
                  <w:lang w:eastAsia="ar-SA"/>
                </w:rPr>
              </w:pPr>
              <w:r>
                <w:rPr>
                  <w:rFonts w:eastAsia="Calibri"/>
                  <w:b/>
                  <w:szCs w:val="24"/>
                  <w:shd w:val="clear" w:color="auto" w:fill="FFFFFF"/>
                  <w:lang w:eastAsia="ar-SA"/>
                </w:rPr>
                <w:t>(Šiaulių miesto savivaldybės tarybos</w:t>
              </w:r>
              <w:r>
                <w:rPr>
                  <w:rFonts w:eastAsia="Calibri"/>
                  <w:b/>
                  <w:szCs w:val="24"/>
                  <w:lang w:eastAsia="ar-SA"/>
                </w:rPr>
                <w:t xml:space="preserve"> </w:t>
              </w:r>
            </w:p>
            <w:p>
              <w:pPr>
                <w:suppressAutoHyphens/>
                <w:ind w:firstLine="5580"/>
                <w:jc w:val="both"/>
                <w:rPr>
                  <w:rFonts w:eastAsia="Calibri"/>
                  <w:b/>
                  <w:szCs w:val="24"/>
                  <w:lang w:eastAsia="ar-SA"/>
                </w:rPr>
              </w:pPr>
              <w:r>
                <w:rPr>
                  <w:rFonts w:eastAsia="Calibri"/>
                  <w:b/>
                  <w:szCs w:val="24"/>
                  <w:lang w:eastAsia="ar-SA"/>
                </w:rPr>
                <w:t xml:space="preserve">2023 m.                   d. sprendimo Nr.</w:t>
              </w:r>
            </w:p>
            <w:p>
              <w:pPr>
                <w:suppressAutoHyphens/>
                <w:ind w:firstLine="5580"/>
                <w:jc w:val="both"/>
                <w:rPr>
                  <w:rFonts w:eastAsia="Calibri"/>
                  <w:b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Calibri"/>
                  <w:b/>
                  <w:szCs w:val="24"/>
                  <w:lang w:eastAsia="ar-SA"/>
                </w:rPr>
                <w:t>redakcija)</w:t>
              </w:r>
              <w:r>
                <w:rPr>
                  <w:rFonts w:eastAsia="Calibri"/>
                  <w:b/>
                  <w:szCs w:val="24"/>
                  <w:shd w:val="clear" w:color="auto" w:fill="FFFFFF"/>
                  <w:lang w:eastAsia="ar-SA"/>
                </w:rPr>
                <w:t xml:space="preserve"> </w:t>
              </w:r>
            </w:p>
          </w:sdtContent>
        </w:sdt>
        <w:p>
          <w:pPr>
            <w:jc w:val="center"/>
            <w:rPr>
              <w:b/>
              <w:szCs w:val="24"/>
              <w:lang w:eastAsia="lt-LT"/>
            </w:rPr>
          </w:pPr>
        </w:p>
        <w:sdt>
          <w:sdtPr>
            <w:alias w:val="skirsnis"/>
            <w:tag w:val="part_8591103fdf6a491182c5385ca7269d2d"/>
            <w:lock w:val="sdtLocked"/>
            <w:richText/>
          </w:sdtPr>
          <w:sdtContent>
            <w:p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8591103fdf6a491182c5385ca7269d2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ŠIAULIŲ MIESTO SAVIVALDYBĖS NEFORMALIOJO VAIKŲ  ŠVIETIMO TEIKĖJŲ VEIKLOS KOKYBĖS ĮSIVERTINIMO IR IŠORINIO VERTINIMO TVARKOS APRAŠAS</w:t>
                  </w:r>
                </w:sdtContent>
              </w:sdt>
            </w:p>
            <w:p>
              <w:pPr>
                <w:jc w:val="center"/>
                <w:rPr>
                  <w:b/>
                  <w:bCs/>
                  <w:caps/>
                  <w:szCs w:val="24"/>
                  <w:lang w:eastAsia="lt-LT"/>
                </w:rPr>
              </w:pPr>
            </w:p>
          </w:sdtContent>
        </w:sdt>
        <w:sdt>
          <w:sdtPr>
            <w:alias w:val="skyrius"/>
            <w:tag w:val="part_f6ecbfe0c5614976bc85b5e8fda33584"/>
            <w:lock w:val="sdtLocked"/>
            <w:richText/>
          </w:sdtPr>
          <w:sdtContent>
            <w:p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f6ecbfe0c5614976bc85b5e8fda3358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SKYRIUS</w:t>
              </w:r>
            </w:p>
            <w:p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f6ecbfe0c5614976bc85b5e8fda3358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BENDROSIOS NUOSTATOS</w:t>
                  </w:r>
                </w:sdtContent>
              </w:sdt>
            </w:p>
            <w:p>
              <w:pPr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1 p."/>
                <w:tag w:val="part_9bae6c3b346044dca51d91002554d46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eastAsia="Calibri"/>
                      <w:bCs/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9bae6c3b346044dca51d91002554d464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Cs/>
                          <w:szCs w:val="24"/>
                          <w:lang w:eastAsia="en-GB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bCs/>
                      <w:szCs w:val="24"/>
                      <w:lang w:eastAsia="en-GB"/>
                    </w:rPr>
                    <w:t xml:space="preserve">. Šiaulių miesto savivaldybės neformaliojo vaikų švietimo teikėjų veiklos kokybės įsivertinimo ir  išorinio vertinimo tvarkos aprašas (toliau – Aprašas) nustato neformaliojo vaikų švietimo ir formalųjį švietimą papildančio ugdymo mokyklų,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kitų neformaliojo vaikų švietimo teikėjų (įstaigų, įmonių, laisvųjų mokytojų, organizacijų ir kt.; </w:t>
                  </w:r>
                  <w:r>
                    <w:rPr>
                      <w:rFonts w:eastAsia="Calibri"/>
                      <w:bCs/>
                      <w:szCs w:val="24"/>
                      <w:lang w:eastAsia="lt-LT"/>
                    </w:rPr>
                    <w:t>toliau – NVŠ teikėjai)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, kurių neformaliojo vaikų švietimo programos registruotos Kvalifikacijos tobulinimo programų ir renginių registre ir veikia Šiaulių mieste, </w:t>
                  </w:r>
                  <w:r>
                    <w:rPr>
                      <w:rFonts w:eastAsia="Calibri"/>
                      <w:bCs/>
                      <w:szCs w:val="24"/>
                      <w:lang w:eastAsia="en-GB"/>
                    </w:rPr>
                    <w:t>veiklos kokybės įsivertinimo ir išorinio vertinimo organizavimą ir vykdymą.</w:t>
                  </w:r>
                </w:p>
              </w:sdtContent>
            </w:sdt>
            <w:sdt>
              <w:sdtPr>
                <w:alias w:val="2 p."/>
                <w:tag w:val="part_c906e5ed4e9646edb33308c5cb215f2d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eastAsia="Calibri"/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c906e5ed4e9646edb33308c5cb215f2d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  <w:lang w:eastAsia="en-GB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en-GB"/>
                    </w:rPr>
                    <w:t xml:space="preserve">. NVŠ teikėjų veiklos kokybės išorinis vertinimas (toliau – išorinis </w:t>
                  </w:r>
                  <w:r>
                    <w:rPr>
                      <w:rFonts w:eastAsia="Calibri"/>
                      <w:bCs/>
                      <w:szCs w:val="24"/>
                      <w:lang w:eastAsia="en-GB"/>
                    </w:rPr>
                    <w:t>vertinimas</w:t>
                  </w:r>
                  <w:r>
                    <w:rPr>
                      <w:rFonts w:eastAsia="Calibri"/>
                      <w:szCs w:val="24"/>
                      <w:lang w:eastAsia="en-GB"/>
                    </w:rPr>
                    <w:t>) yra švietimo priežiūros dalis, kurios paskirtis yra stebėti švietimo prieinamumą ir kokybę, skatinti NVŠ teikėjų veiklos tobulinimą ir vykdyti atskaitomybę.</w:t>
                  </w:r>
                </w:p>
              </w:sdtContent>
            </w:sdt>
            <w:sdt>
              <w:sdtPr>
                <w:alias w:val="3 p."/>
                <w:tag w:val="part_49d59a71bf4f4321a9a222460112c9fa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49d59a71bf4f4321a9a222460112c9f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en-GB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en-GB"/>
                    </w:rPr>
                    <w:t>. Išorinis vertinimas vykdomas vadovaujantis Lietuvos Respublikos švietimo įstatymu, kitais neformalųjį švietimą reglamentuojančiais teisės aktais ir Aprašu.</w:t>
                  </w:r>
                </w:p>
              </w:sdtContent>
            </w:sdt>
            <w:sdt>
              <w:sdtPr>
                <w:alias w:val="4 p."/>
                <w:tag w:val="part_c3f6ca2a766e499cb7b040b78686f5d0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c3f6ca2a766e499cb7b040b78686f5d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en-GB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en-GB"/>
                    </w:rPr>
                    <w:t>. Apraše vartojamos sąvokos:</w:t>
                  </w:r>
                </w:p>
                <w:sdt>
                  <w:sdtPr>
                    <w:alias w:val="4.1 pp."/>
                    <w:tag w:val="part_721781f75a2b4af6bd0cf9041e6a3d0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en-GB"/>
                        </w:rPr>
                      </w:pPr>
                      <w:sdt>
                        <w:sdtPr>
                          <w:alias w:val="Numeris"/>
                          <w:tag w:val="nr_721781f75a2b4af6bd0cf9041e6a3d0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  <w:lang w:eastAsia="en-GB"/>
                            </w:rPr>
                            <w:t>4.1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eastAsia="en-GB"/>
                        </w:rPr>
                        <w:t>.</w:t>
                      </w:r>
                      <w:r>
                        <w:rPr>
                          <w:b/>
                          <w:szCs w:val="24"/>
                          <w:lang w:eastAsia="en-GB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NVŠ teikėjų veiklos kokybės įsivertinimas </w:t>
                      </w:r>
                      <w:r>
                        <w:rPr>
                          <w:szCs w:val="24"/>
                          <w:lang w:eastAsia="lt-LT"/>
                        </w:rPr>
                        <w:t>(toliau – įsivertinimas)</w:t>
                      </w:r>
                      <w:r>
                        <w:rPr>
                          <w:szCs w:val="24"/>
                          <w:lang w:eastAsia="en-GB"/>
                        </w:rPr>
                        <w:t xml:space="preserve"> – procesas, per kurį NVŠ teikėjo bendruomenės nariai analizuoja NVŠ teikėjo veiklos kokybę ir ją vertina pagal Šiaulių miesto savivaldybės (toliau – Savivaldybė) tarybos nustatytas veiklos sritis, rodiklius, jų aspektus, rodiklių įsivertinimo / vertinimo lygius ir veiklos kokybės vertinimo lygius (1 ir 2 priedai);</w:t>
                      </w:r>
                    </w:p>
                  </w:sdtContent>
                </w:sdt>
                <w:sdt>
                  <w:sdtPr>
                    <w:alias w:val="4.2 pp."/>
                    <w:tag w:val="part_de1bbe874a8f42979967082f278756b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en-GB"/>
                        </w:rPr>
                      </w:pPr>
                      <w:sdt>
                        <w:sdtPr>
                          <w:alias w:val="Numeris"/>
                          <w:tag w:val="nr_de1bbe874a8f42979967082f278756b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  <w:lang w:eastAsia="en-GB"/>
                            </w:rPr>
                            <w:t>4.2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eastAsia="en-GB"/>
                        </w:rPr>
                        <w:t>.</w:t>
                      </w:r>
                      <w:r>
                        <w:rPr>
                          <w:b/>
                          <w:szCs w:val="24"/>
                          <w:lang w:eastAsia="en-GB"/>
                        </w:rPr>
                        <w:t xml:space="preserve"> NVŠ teikėjų veiklos kokybės įsivertinimo protokolas </w:t>
                      </w:r>
                      <w:r>
                        <w:rPr>
                          <w:szCs w:val="24"/>
                          <w:lang w:eastAsia="en-GB"/>
                        </w:rPr>
                        <w:t xml:space="preserve">– </w:t>
                      </w:r>
                      <w:r>
                        <w:rPr>
                          <w:szCs w:val="24"/>
                          <w:lang w:eastAsia="lt-LT"/>
                        </w:rPr>
                        <w:t>Savivaldybės</w:t>
                      </w:r>
                      <w:r>
                        <w:rPr>
                          <w:strike/>
                          <w:szCs w:val="24"/>
                          <w:lang w:eastAsia="lt-LT"/>
                        </w:rPr>
                        <w:t xml:space="preserve"> administracijos direktoriaus įsakymu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mero potvarkiu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patvirtintos</w:t>
                      </w:r>
                      <w:r>
                        <w:rPr>
                          <w:szCs w:val="24"/>
                          <w:lang w:eastAsia="en-GB"/>
                        </w:rPr>
                        <w:t xml:space="preserve"> formos protokolas, kuriame NVŠ teikėjo bendruomenės nariai fiksuoja veiklos kokybės įsivertinimo rezultatus;</w:t>
                      </w:r>
                    </w:p>
                  </w:sdtContent>
                </w:sdt>
                <w:sdt>
                  <w:sdtPr>
                    <w:alias w:val="4.3 pp."/>
                    <w:tag w:val="part_8062fd39f2d949c3bcc6b39e3753322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en-GB"/>
                        </w:rPr>
                      </w:pPr>
                      <w:sdt>
                        <w:sdtPr>
                          <w:alias w:val="Numeris"/>
                          <w:tag w:val="nr_8062fd39f2d949c3bcc6b39e3753322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en-GB"/>
                            </w:rPr>
                            <w:t>4.3</w:t>
                          </w:r>
                        </w:sdtContent>
                      </w:sdt>
                      <w:r>
                        <w:rPr>
                          <w:szCs w:val="24"/>
                          <w:lang w:eastAsia="en-GB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szCs w:val="24"/>
                          <w:lang w:eastAsia="en-GB"/>
                        </w:rPr>
                        <w:t xml:space="preserve">išorinis vertinimas – </w:t>
                      </w:r>
                      <w:r>
                        <w:rPr>
                          <w:szCs w:val="24"/>
                          <w:lang w:eastAsia="en-GB"/>
                        </w:rPr>
                        <w:t>vertinamam NVŠ teikėjui nepriklausančių arba vertinamojoje veikloje nedalyvaujančių asmenų atliekamas vertinimas;</w:t>
                      </w:r>
                    </w:p>
                  </w:sdtContent>
                </w:sdt>
                <w:sdt>
                  <w:sdtPr>
                    <w:alias w:val="4.4 pp."/>
                    <w:tag w:val="part_dfe2cd6ec7ae40869242546058af496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en-GB"/>
                        </w:rPr>
                      </w:pPr>
                      <w:sdt>
                        <w:sdtPr>
                          <w:alias w:val="Numeris"/>
                          <w:tag w:val="nr_dfe2cd6ec7ae40869242546058af496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en-GB"/>
                            </w:rPr>
                            <w:t>4.4</w:t>
                          </w:r>
                        </w:sdtContent>
                      </w:sdt>
                      <w:r>
                        <w:rPr>
                          <w:szCs w:val="24"/>
                          <w:lang w:eastAsia="en-GB"/>
                        </w:rPr>
                        <w:t>.</w:t>
                      </w:r>
                      <w:r>
                        <w:rPr>
                          <w:b/>
                          <w:bCs/>
                          <w:szCs w:val="24"/>
                          <w:lang w:eastAsia="en-GB"/>
                        </w:rPr>
                        <w:t xml:space="preserve"> NVŠ teikėjų išorinio vertinimo grupė </w:t>
                      </w:r>
                      <w:r>
                        <w:rPr>
                          <w:szCs w:val="24"/>
                          <w:lang w:eastAsia="en-GB"/>
                        </w:rPr>
                        <w:t xml:space="preserve">– Savivaldybės </w:t>
                      </w:r>
                      <w:r>
                        <w:rPr>
                          <w:strike/>
                          <w:szCs w:val="24"/>
                          <w:lang w:eastAsia="lt-LT"/>
                        </w:rPr>
                        <w:t>administracijos direktoriaus įsakymu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mero potvarkiu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en-GB"/>
                        </w:rPr>
                        <w:t>sudaryta vertinimo grupė konkretaus NVŠ teikėjo veiklai vertinti.</w:t>
                      </w:r>
                    </w:p>
                    <w:p>
                      <w:pPr>
                        <w:ind w:firstLine="720"/>
                        <w:jc w:val="both"/>
                        <w:rPr>
                          <w:szCs w:val="24"/>
                          <w:lang w:eastAsia="en-GB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718100434698484d8117eaa799935785"/>
            <w:lock w:val="sdtLocked"/>
            <w:richText/>
          </w:sdtPr>
          <w:sdtContent>
            <w:p>
              <w:pPr>
                <w:jc w:val="center"/>
                <w:rPr>
                  <w:b/>
                  <w:bCs/>
                  <w:szCs w:val="24"/>
                  <w:lang w:eastAsia="en-GB"/>
                </w:rPr>
              </w:pPr>
              <w:sdt>
                <w:sdtPr>
                  <w:alias w:val="Numeris"/>
                  <w:tag w:val="nr_718100434698484d8117eaa799935785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en-GB"/>
                    </w:rPr>
                    <w:t>II</w:t>
                  </w:r>
                </w:sdtContent>
              </w:sdt>
              <w:r>
                <w:rPr>
                  <w:b/>
                  <w:bCs/>
                  <w:szCs w:val="24"/>
                  <w:lang w:eastAsia="en-GB"/>
                </w:rPr>
                <w:t xml:space="preserve"> SKYRIUS </w:t>
              </w:r>
            </w:p>
            <w:p>
              <w:pPr>
                <w:jc w:val="center"/>
                <w:rPr>
                  <w:b/>
                  <w:bCs/>
                  <w:szCs w:val="24"/>
                  <w:lang w:eastAsia="en-GB"/>
                </w:rPr>
              </w:pPr>
              <w:sdt>
                <w:sdtPr>
                  <w:alias w:val="Pavadinimas"/>
                  <w:tag w:val="title_718100434698484d8117eaa79993578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ĮSIVERTINIMO IR</w:t>
                  </w:r>
                  <w:r>
                    <w:rPr>
                      <w:b/>
                      <w:bCs/>
                      <w:szCs w:val="24"/>
                      <w:lang w:eastAsia="en-GB"/>
                    </w:rPr>
                    <w:t xml:space="preserve"> IŠORINIO VERTINIMO ORGANIZAVIMAS IR VYKDYMAS</w:t>
                  </w:r>
                </w:sdtContent>
              </w:sdt>
            </w:p>
            <w:p>
              <w:pPr>
                <w:jc w:val="both"/>
                <w:rPr>
                  <w:b/>
                  <w:szCs w:val="24"/>
                  <w:lang w:eastAsia="en-GB"/>
                </w:rPr>
              </w:pPr>
            </w:p>
            <w:sdt>
              <w:sdtPr>
                <w:alias w:val="5 p."/>
                <w:tag w:val="part_8bbe52aad27f468499362554debb4730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bbe52aad27f468499362554debb473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NVŠ teikėjo vadovas (išskyrus</w:t>
                  </w:r>
                  <w:r>
                    <w:rPr>
                      <w:szCs w:val="24"/>
                      <w:lang w:eastAsia="en-GB"/>
                    </w:rPr>
                    <w:t xml:space="preserve"> NVŠ teikėjus, kurių savininkė (viena iš dalininkių) nėra Savivaldybė</w:t>
                  </w:r>
                  <w:r>
                    <w:rPr>
                      <w:szCs w:val="24"/>
                      <w:lang w:eastAsia="lt-LT"/>
                    </w:rPr>
                    <w:t>) kasmet:</w:t>
                  </w:r>
                </w:p>
                <w:sdt>
                  <w:sdtPr>
                    <w:alias w:val="5.1 pp."/>
                    <w:tag w:val="part_44cdc762ec5c4a2d909939e4ab78842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4cdc762ec5c4a2d909939e4ab78842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en-GB"/>
                            </w:rPr>
                            <w:t>5.1</w:t>
                          </w:r>
                        </w:sdtContent>
                      </w:sdt>
                      <w:r>
                        <w:rPr>
                          <w:szCs w:val="24"/>
                          <w:lang w:eastAsia="en-GB"/>
                        </w:rPr>
                        <w:t>. sudaro darbo grupę iš NVŠ teikėjo bendruomenės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ir socialinių partnerių</w:t>
                      </w:r>
                      <w:r>
                        <w:rPr>
                          <w:szCs w:val="24"/>
                          <w:lang w:eastAsia="en-GB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atstovų (pagal poreikį) ir </w:t>
                      </w:r>
                      <w:r>
                        <w:rPr>
                          <w:szCs w:val="24"/>
                          <w:lang w:eastAsia="en-GB"/>
                        </w:rPr>
                        <w:t xml:space="preserve">sąlygas darbo grupei  NVŠ teikėjo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veiklos kokybės įsivertinimui </w:t>
                      </w:r>
                      <w:r>
                        <w:rPr>
                          <w:szCs w:val="24"/>
                          <w:lang w:eastAsia="en-GB"/>
                        </w:rPr>
                        <w:t>atlikti;</w:t>
                      </w:r>
                    </w:p>
                  </w:sdtContent>
                </w:sdt>
                <w:sdt>
                  <w:sdtPr>
                    <w:alias w:val="5.2 pp."/>
                    <w:tag w:val="part_62f764d18a184df09344060e348b7f5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en-GB"/>
                        </w:rPr>
                      </w:pPr>
                      <w:sdt>
                        <w:sdtPr>
                          <w:alias w:val="Numeris"/>
                          <w:tag w:val="nr_62f764d18a184df09344060e348b7f5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en-GB"/>
                            </w:rPr>
                            <w:t>5.2</w:t>
                          </w:r>
                        </w:sdtContent>
                      </w:sdt>
                      <w:r>
                        <w:rPr>
                          <w:szCs w:val="24"/>
                          <w:lang w:eastAsia="en-GB"/>
                        </w:rPr>
                        <w:t xml:space="preserve">. inicijuoja kasmetinį NVŠ teikėjo </w:t>
                      </w:r>
                      <w:r>
                        <w:rPr>
                          <w:szCs w:val="24"/>
                          <w:lang w:eastAsia="lt-LT"/>
                        </w:rPr>
                        <w:t>veiklos kokybės įsivertinimo</w:t>
                      </w:r>
                      <w:r>
                        <w:rPr>
                          <w:szCs w:val="24"/>
                          <w:lang w:eastAsia="en-GB"/>
                        </w:rPr>
                        <w:t xml:space="preserve"> rezultatų pristatymą bendruomenės nariams;</w:t>
                      </w:r>
                    </w:p>
                  </w:sdtContent>
                </w:sdt>
                <w:sdt>
                  <w:sdtPr>
                    <w:alias w:val="5.3 pp."/>
                    <w:tag w:val="part_48a392aff7314538be4d2a19c6bafb6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Cs w:val="24"/>
                          <w:lang w:eastAsia="en-GB"/>
                        </w:rPr>
                      </w:pPr>
                      <w:sdt>
                        <w:sdtPr>
                          <w:alias w:val="Numeris"/>
                          <w:tag w:val="nr_48a392aff7314538be4d2a19c6bafb6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iki kovo 1 dienos NVŠ teikėjų veiklą koordinuojančiam Savivaldybės administracijos skyriui (toliau – Švietimo skyrius) pateikia praėjusių metų veiklos </w:t>
                      </w:r>
                      <w:r>
                        <w:rPr>
                          <w:bCs/>
                          <w:szCs w:val="24"/>
                          <w:lang w:eastAsia="en-GB"/>
                        </w:rPr>
                        <w:t xml:space="preserve">kokybės įsivertinimo protokolą. </w:t>
                      </w:r>
                    </w:p>
                  </w:sdtContent>
                </w:sdt>
              </w:sdtContent>
            </w:sdt>
            <w:sdt>
              <w:sdtPr>
                <w:alias w:val="6 p."/>
                <w:tag w:val="part_a27cbb9f969e48b4a643649c8b7bdb4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27cbb9f969e48b4a643649c8b7bdb4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en-GB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  <w:lang w:eastAsia="en-GB"/>
                    </w:rPr>
                    <w:t>. NVŠ teikėjai, kurių savininkė (viena iš dalininkių) nėra Savivaldybė</w:t>
                  </w:r>
                  <w:r>
                    <w:rPr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6.1 pp."/>
                    <w:tag w:val="part_b884cd496c4f4d949450091745d4c18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Cs w:val="24"/>
                          <w:lang w:eastAsia="en-GB"/>
                        </w:rPr>
                      </w:pPr>
                      <w:sdt>
                        <w:sdtPr>
                          <w:alias w:val="Numeris"/>
                          <w:tag w:val="nr_b884cd496c4f4d949450091745d4c18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kasmet iki kovo 1 dienos gali teikti Švietimo skyriui praėjusių metų veiklos </w:t>
                      </w:r>
                      <w:r>
                        <w:rPr>
                          <w:bCs/>
                          <w:szCs w:val="24"/>
                          <w:lang w:eastAsia="en-GB"/>
                        </w:rPr>
                        <w:t>kokybės įsivertinimo protokolą;</w:t>
                      </w:r>
                    </w:p>
                  </w:sdtContent>
                </w:sdt>
                <w:sdt>
                  <w:sdtPr>
                    <w:alias w:val="6.2 pp."/>
                    <w:tag w:val="part_320ce3669b2f42c9b5755181d1a22cc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Cs w:val="24"/>
                          <w:lang w:eastAsia="en-GB"/>
                        </w:rPr>
                      </w:pPr>
                      <w:sdt>
                        <w:sdtPr>
                          <w:alias w:val="Numeris"/>
                          <w:tag w:val="nr_320ce3669b2f42c9b5755181d1a22cc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  <w:lang w:eastAsia="en-GB"/>
                            </w:rPr>
                            <w:t>6.2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eastAsia="en-GB"/>
                        </w:rPr>
                        <w:t xml:space="preserve">. pateikę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praėjusių metų veiklos </w:t>
                      </w:r>
                      <w:r>
                        <w:rPr>
                          <w:bCs/>
                          <w:szCs w:val="24"/>
                          <w:lang w:eastAsia="en-GB"/>
                        </w:rPr>
                        <w:t xml:space="preserve">kokybės įsivertinimo protokolą, gali teikti Švietimo skyriui </w:t>
                      </w:r>
                      <w:r>
                        <w:rPr>
                          <w:szCs w:val="24"/>
                          <w:lang w:eastAsia="lt-LT"/>
                        </w:rPr>
                        <w:t>prašymą dėl įtraukimo į NVŠ teikėjų išorinio vertinimo planą.</w:t>
                      </w:r>
                    </w:p>
                  </w:sdtContent>
                </w:sdt>
              </w:sdtContent>
            </w:sdt>
            <w:sdt>
              <w:sdtPr>
                <w:alias w:val="7 p."/>
                <w:tag w:val="part_487a935d522d40e8bf8b22bddc60d110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bCs/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487a935d522d40e8bf8b22bddc60d11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Švietimo skyrius, atsižvelgdamas</w:t>
                  </w:r>
                  <w:r>
                    <w:rPr>
                      <w:szCs w:val="24"/>
                      <w:lang w:eastAsia="en-GB"/>
                    </w:rPr>
                    <w:t xml:space="preserve"> į NVŠ teikėjų, kurių savininkė (viena iš dalininkių) nėra Savivaldybė</w:t>
                  </w:r>
                  <w:r>
                    <w:rPr>
                      <w:szCs w:val="24"/>
                      <w:lang w:eastAsia="lt-LT"/>
                    </w:rPr>
                    <w:t xml:space="preserve">, NVŠ programų įgyvendinimo priežiūros rezultatus (pvz., veikla itin sėkminga arba neveiksminga, neperspektyvi ir t. t.), gali planuoti konkrečių NVŠ teikėjų išorinį vertinimą. </w:t>
                  </w:r>
                </w:p>
              </w:sdtContent>
            </w:sdt>
            <w:sdt>
              <w:sdtPr>
                <w:alias w:val="8 p."/>
                <w:tag w:val="part_66b15a3b33024c33a38367d272091e1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6b15a3b33024c33a38367d272091e1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en-GB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  <w:lang w:eastAsia="en-GB"/>
                    </w:rPr>
                    <w:t xml:space="preserve">. Švietimo skyrius </w:t>
                  </w:r>
                  <w:r>
                    <w:rPr>
                      <w:szCs w:val="24"/>
                      <w:lang w:eastAsia="lt-LT"/>
                    </w:rPr>
                    <w:t>kasmet atlieka pateiktų NVŠ teikėjų veiklos kokybės įsivertinimo protokolų analizę:</w:t>
                  </w:r>
                </w:p>
                <w:sdt>
                  <w:sdtPr>
                    <w:alias w:val="8.1 pp."/>
                    <w:tag w:val="part_d3f15425a6fd4b498a6103c75fe6bef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3f15425a6fd4b498a6103c75fe6bef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atrenka NVŠ teikėjų gerąją patirtį;</w:t>
                      </w:r>
                    </w:p>
                  </w:sdtContent>
                </w:sdt>
                <w:sdt>
                  <w:sdtPr>
                    <w:alias w:val="8.2 pp."/>
                    <w:tag w:val="part_b3335d78af7b414d88967c18e8e48c4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3335d78af7b414d88967c18e8e48c4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išskiria tobulintinus veiklos rodiklius ir (ar) jų aspektus;</w:t>
                      </w:r>
                    </w:p>
                  </w:sdtContent>
                </w:sdt>
                <w:sdt>
                  <w:sdtPr>
                    <w:alias w:val="8.3 pp."/>
                    <w:tag w:val="part_6e1c5dec42df4953bb2f699725d1e59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e1c5dec42df4953bb2f699725d1e59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analizuoja, kaip NVŠ teikėjas panaudoja įsivertinimo rezultatus, planuodamas ir tobulindamas veiklą; </w:t>
                      </w:r>
                    </w:p>
                  </w:sdtContent>
                </w:sdt>
                <w:sdt>
                  <w:sdtPr>
                    <w:alias w:val="8.4 pp."/>
                    <w:tag w:val="part_8e6dd0cfe2dc41b28174b7ab5694d58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e6dd0cfe2dc41b28174b7ab5694d58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bendradarbiaudamas su NVŠ teikėjais, inicijuoja gerosios patirties sklaidą. </w:t>
                      </w:r>
                    </w:p>
                  </w:sdtContent>
                </w:sdt>
              </w:sdtContent>
            </w:sdt>
            <w:sdt>
              <w:sdtPr>
                <w:alias w:val="9 p."/>
                <w:tag w:val="part_15a242d29f334ab893159b3fe543f21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5a242d29f334ab893159b3fe543f21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Išorinis vertinimas atliekamas ne rečiau nei kas 5 metai ir organizuojamas po NVŠ teikėjo įsivertinimo pagal Aprašo 1 priedą.</w:t>
                  </w:r>
                </w:p>
              </w:sdtContent>
            </w:sdt>
            <w:sdt>
              <w:sdtPr>
                <w:alias w:val="10 p."/>
                <w:tag w:val="part_3cfdb4dc38764a428750053d5b45064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cfdb4dc38764a428750053d5b45064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Pirmą kartą išorinis vertinimas atliekamas pagal visus Aprašo 1 priede nurodytus kokybės rodiklius. Vertinant pakartotinai, gali būti atliekamas vienos ar kelių sričių išorinis vertinimas pagal NVŠ teikėjų tikslingai pasirinktus rodiklius.</w:t>
                  </w:r>
                </w:p>
              </w:sdtContent>
            </w:sdt>
            <w:sdt>
              <w:sdtPr>
                <w:alias w:val="11 p."/>
                <w:tag w:val="part_b599b326fbb24a989d35baff2c34c6c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599b326fbb24a989d35baff2c34c6c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en-GB"/>
                    </w:rPr>
                    <w:t>Išorinis vertinimas organizuojamas etapais:</w:t>
                  </w:r>
                </w:p>
                <w:sdt>
                  <w:sdtPr>
                    <w:alias w:val="11.1 pp."/>
                    <w:tag w:val="part_1b12ebc9282e4b8bacb522c1f62bdcb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b12ebc9282e4b8bacb522c1f62bdcb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en-GB"/>
                            </w:rPr>
                            <w:t>1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1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>.1</w:t>
                          </w:r>
                        </w:sdtContent>
                      </w:sdt>
                      <w:r>
                        <w:rPr>
                          <w:szCs w:val="24"/>
                          <w:lang w:eastAsia="en-GB"/>
                        </w:rPr>
                        <w:t>. parengiamieji darbai;</w:t>
                      </w:r>
                    </w:p>
                  </w:sdtContent>
                </w:sdt>
                <w:sdt>
                  <w:sdtPr>
                    <w:alias w:val="11.2 pp."/>
                    <w:tag w:val="part_379f57546b324b3fa040758fcecb93b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79f57546b324b3fa040758fcecb93b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en-GB"/>
                            </w:rPr>
                            <w:t>1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1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>.2</w:t>
                          </w:r>
                        </w:sdtContent>
                      </w:sdt>
                      <w:r>
                        <w:rPr>
                          <w:szCs w:val="24"/>
                          <w:lang w:eastAsia="en-GB"/>
                        </w:rPr>
                        <w:t>. išorinis vertinimas ir ataskaitos rengimas;</w:t>
                      </w:r>
                    </w:p>
                  </w:sdtContent>
                </w:sdt>
                <w:sdt>
                  <w:sdtPr>
                    <w:alias w:val="11.3 pp."/>
                    <w:tag w:val="part_31746e1a824441d18732d687408ca22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en-GB"/>
                        </w:rPr>
                      </w:pPr>
                      <w:sdt>
                        <w:sdtPr>
                          <w:alias w:val="Numeris"/>
                          <w:tag w:val="nr_31746e1a824441d18732d687408ca22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en-GB"/>
                            </w:rPr>
                            <w:t>1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1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>.3</w:t>
                          </w:r>
                        </w:sdtContent>
                      </w:sdt>
                      <w:r>
                        <w:rPr>
                          <w:szCs w:val="24"/>
                          <w:lang w:eastAsia="en-GB"/>
                        </w:rPr>
                        <w:t>. išorinio vertinimo ataskaitos NVŠ teikėjui, kitiems suinteresuotiems asmenims pateikimas ir aptarimas.</w:t>
                      </w:r>
                    </w:p>
                  </w:sdtContent>
                </w:sdt>
              </w:sdtContent>
            </w:sdt>
            <w:sdt>
              <w:sdtPr>
                <w:alias w:val="12 p."/>
                <w:tag w:val="part_969a0dc1debb48fa9aa674620a817ab0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69a0dc1debb48fa9aa674620a817ab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Išorinį vertinimą organizuoja Švietimo skyrius</w:t>
                  </w:r>
                  <w:r>
                    <w:rPr>
                      <w:bCs/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12.1 pp."/>
                    <w:tag w:val="part_9528ca27e2dd484e84eb1cb64a407f4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en-GB"/>
                        </w:rPr>
                      </w:pPr>
                      <w:sdt>
                        <w:sdtPr>
                          <w:alias w:val="Numeris"/>
                          <w:tag w:val="nr_9528ca27e2dd484e84eb1cb64a407f4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iki gruodžio 1 dienos  </w:t>
                      </w:r>
                      <w:r>
                        <w:rPr>
                          <w:szCs w:val="24"/>
                          <w:lang w:eastAsia="en-GB"/>
                        </w:rPr>
                        <w:t xml:space="preserve">parengia išorinio vertinimo planą kitiems kalendoriniams metams; </w:t>
                      </w:r>
                    </w:p>
                  </w:sdtContent>
                </w:sdt>
                <w:sdt>
                  <w:sdtPr>
                    <w:alias w:val="12.2 pp."/>
                    <w:tag w:val="part_000adb7907dd41bd87d14ac547453e9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en-GB"/>
                        </w:rPr>
                      </w:pPr>
                      <w:sdt>
                        <w:sdtPr>
                          <w:alias w:val="Numeris"/>
                          <w:tag w:val="nr_000adb7907dd41bd87d14ac547453e9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en-GB"/>
                            </w:rPr>
                            <w:t>12.2</w:t>
                          </w:r>
                        </w:sdtContent>
                      </w:sdt>
                      <w:r>
                        <w:rPr>
                          <w:szCs w:val="24"/>
                          <w:lang w:eastAsia="en-GB"/>
                        </w:rPr>
                        <w:t>. dėl objektyvių priežasčių (pablogėjus NVŠ teikėjų rezultatams, gavus nusiskundimų iš NVŠ teikėjų bendruomenės narių ir kt.) gali inicijuoti NVŠ teikėjo neeilinį išorinį vertinimą;</w:t>
                      </w:r>
                    </w:p>
                  </w:sdtContent>
                </w:sdt>
                <w:sdt>
                  <w:sdtPr>
                    <w:alias w:val="12.3 pp."/>
                    <w:tag w:val="part_f8e3f12193274400bd9e5ccb852946f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en-GB"/>
                        </w:rPr>
                      </w:pPr>
                      <w:sdt>
                        <w:sdtPr>
                          <w:alias w:val="Numeris"/>
                          <w:tag w:val="nr_f8e3f12193274400bd9e5ccb852946f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en-GB"/>
                            </w:rPr>
                            <w:t>1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2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>.3</w:t>
                          </w:r>
                        </w:sdtContent>
                      </w:sdt>
                      <w:r>
                        <w:rPr>
                          <w:szCs w:val="24"/>
                          <w:lang w:eastAsia="en-GB"/>
                        </w:rPr>
                        <w:t xml:space="preserve">. sudaro </w:t>
                      </w:r>
                      <w:r>
                        <w:rPr>
                          <w:bCs/>
                          <w:szCs w:val="24"/>
                          <w:lang w:eastAsia="en-GB"/>
                        </w:rPr>
                        <w:t>išorinio vertinimo grupes</w:t>
                      </w:r>
                      <w:r>
                        <w:rPr>
                          <w:szCs w:val="24"/>
                          <w:lang w:eastAsia="en-GB"/>
                        </w:rPr>
                        <w:t xml:space="preserve"> ir teikia jas tvirtinti Savivaldybės administracijos direktoriui;</w:t>
                      </w:r>
                    </w:p>
                  </w:sdtContent>
                </w:sdt>
                <w:sdt>
                  <w:sdtPr>
                    <w:alias w:val="12.4 pp."/>
                    <w:tag w:val="part_ed93979e8153459db5fd30ccad6061d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en-GB"/>
                        </w:rPr>
                      </w:pPr>
                      <w:sdt>
                        <w:sdtPr>
                          <w:alias w:val="Numeris"/>
                          <w:tag w:val="nr_ed93979e8153459db5fd30ccad6061d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en-GB"/>
                            </w:rPr>
                            <w:t>1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2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>.4</w:t>
                          </w:r>
                        </w:sdtContent>
                      </w:sdt>
                      <w:r>
                        <w:rPr>
                          <w:szCs w:val="24"/>
                          <w:lang w:eastAsia="en-GB"/>
                        </w:rPr>
                        <w:t>. konsultuoja NVŠ teikėjus ir išorinio vertinimo grupės narius;</w:t>
                      </w:r>
                    </w:p>
                  </w:sdtContent>
                </w:sdt>
                <w:sdt>
                  <w:sdtPr>
                    <w:alias w:val="12.5 pp."/>
                    <w:tag w:val="part_c2fe7ad8879a40cc8ef92d972be7431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en-GB"/>
                        </w:rPr>
                      </w:pPr>
                      <w:sdt>
                        <w:sdtPr>
                          <w:alias w:val="Numeris"/>
                          <w:tag w:val="nr_c2fe7ad8879a40cc8ef92d972be7431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en-GB"/>
                            </w:rPr>
                            <w:t>12.5</w:t>
                          </w:r>
                        </w:sdtContent>
                      </w:sdt>
                      <w:r>
                        <w:rPr>
                          <w:szCs w:val="24"/>
                          <w:lang w:eastAsia="en-GB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per 10 darbo dienų po galutinės NVŠ teikėjo išorinio vertinimo ataskaitos parengimo pateikia Lietuvos mokinių neformaliojo švietimo centrui</w:t>
                      </w:r>
                      <w:r>
                        <w:rPr>
                          <w:szCs w:val="24"/>
                          <w:lang w:eastAsia="en-GB"/>
                        </w:rPr>
                        <w:t xml:space="preserve"> NVŠ teikėjų, kurių veiklos kokybė įvertinta, sąrašą  ir kiekvieno NVŠ teikėjo kokybės vertinimo išvadas pagal Aprašo 3 priedą. </w:t>
                      </w:r>
                    </w:p>
                  </w:sdtContent>
                </w:sdt>
              </w:sdtContent>
            </w:sdt>
            <w:sdt>
              <w:sdtPr>
                <w:alias w:val="13 p."/>
                <w:tag w:val="part_d5df411a38c549f1b6861da12b47175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d5df411a38c549f1b6861da12b47175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en-GB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  <w:lang w:eastAsia="en-GB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Išoriniam vertinimui atlikti Savivaldybės</w:t>
                  </w:r>
                  <w:r>
                    <w:rPr>
                      <w:strike/>
                      <w:szCs w:val="24"/>
                      <w:lang w:eastAsia="lt-LT"/>
                    </w:rPr>
                    <w:t xml:space="preserve"> administracijos direktorius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meras</w:t>
                  </w:r>
                  <w:r>
                    <w:rPr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13.1 pp."/>
                    <w:tag w:val="part_fa9024b1d1504f3ebd60b2a45baf197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a9024b1d1504f3ebd60b2a45baf197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trike/>
                          <w:szCs w:val="24"/>
                          <w:lang w:eastAsia="lt-LT"/>
                        </w:rPr>
                        <w:t xml:space="preserve"> įsakymu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potvarkiu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patvirtina 3–5 narių NVŠ teikėjų išorinio vertinimo grupę </w:t>
                      </w:r>
                      <w:r>
                        <w:rPr>
                          <w:strike/>
                          <w:szCs w:val="24"/>
                          <w:lang w:eastAsia="lt-LT"/>
                        </w:rPr>
                        <w:t>(toliau – Vertinimo grupė)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iš Savivaldybės specialistų, NVŠ konsultantų, švietimo įstaigų atstovų, kurioje mažiausiai vienas narys (grupės vadovas) yra išorės vertintojas, įgijęs NVŠ kokybės vertinimo kompetencijų NVŠ vertintojų </w:t>
                      </w:r>
                      <w:r>
                        <w:rPr>
                          <w:strike/>
                          <w:szCs w:val="24"/>
                          <w:lang w:eastAsia="lt-LT"/>
                        </w:rPr>
                        <w:t>mokymuose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, kurie vadovaujasi Neformaliojo vaikų švietimo kokybės išorės vertintojų etikos principais,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mokymuose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(4 priedas); vertinant mokyklas, vykdančias formalųjį švietimą papildančio ugdymo programas, </w:t>
                      </w:r>
                      <w:r>
                        <w:rPr>
                          <w:strike/>
                          <w:szCs w:val="24"/>
                          <w:lang w:eastAsia="lt-LT"/>
                        </w:rPr>
                        <w:t>Vertinimo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išorinio vertinimo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grupėje būtų asmenys, turintys vertinamos NVŠ programos krypties išsilavinimą;  </w:t>
                      </w:r>
                    </w:p>
                  </w:sdtContent>
                </w:sdt>
                <w:sdt>
                  <w:sdtPr>
                    <w:alias w:val="13.2 pp."/>
                    <w:tag w:val="part_8e1a4487434047d2af51a42e6033006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e1a4487434047d2af51a42e6033006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paskiria asmenį, kuris atlieka išorinio vertinimo koordinatoriaus funkciją. Paskirtas asmuo ne vėliau kaip prieš 10 darbo dienų iki išorinio vertinimo pradžios </w:t>
                      </w:r>
                      <w:r>
                        <w:rPr>
                          <w:strike/>
                          <w:szCs w:val="24"/>
                          <w:lang w:eastAsia="lt-LT"/>
                        </w:rPr>
                        <w:t xml:space="preserve">Vertinimo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išorinio vertinimo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grupės nariams elektroniniu paštu išsiunčia vertinamo NVŠ teikėjo parengtą įsivertinimo medžiagą, derina vertinamojo vizito laiką, darbo sąlygas, padeda organizuoti susitikimus su atrinktomis grupėmis ir pan. Šis asmuo gali būti ir </w:t>
                      </w:r>
                      <w:r>
                        <w:rPr>
                          <w:strike/>
                          <w:szCs w:val="24"/>
                          <w:lang w:eastAsia="lt-LT"/>
                        </w:rPr>
                        <w:t xml:space="preserve">Vertinimo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išorinio vertinimo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grupės nariu, t. y. atlikti tiek išorės vertinimo koordinatoriaus, tiek </w:t>
                      </w:r>
                      <w:r>
                        <w:rPr>
                          <w:strike/>
                          <w:szCs w:val="24"/>
                          <w:lang w:eastAsia="lt-LT"/>
                        </w:rPr>
                        <w:t>Vertinimo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išorinio vertinimo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grupės nario funkcijas.</w:t>
                      </w:r>
                    </w:p>
                  </w:sdtContent>
                </w:sdt>
              </w:sdtContent>
            </w:sdt>
            <w:sdt>
              <w:sdtPr>
                <w:alias w:val="14 p."/>
                <w:tag w:val="part_c9ea954d4248417eac394df91ea8c5fa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9ea954d4248417eac394df91ea8c5f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trike/>
                      <w:szCs w:val="24"/>
                      <w:lang w:eastAsia="lt-LT"/>
                    </w:rPr>
                    <w:t>Vertinimo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Išorinio vertinimo</w:t>
                  </w:r>
                  <w:r>
                    <w:rPr>
                      <w:szCs w:val="24"/>
                      <w:lang w:eastAsia="lt-LT"/>
                    </w:rPr>
                    <w:t xml:space="preserve"> grupė vykdo išorinį vertinimą NVŠ teikėjo įstaigoje 1–2 dienas.</w:t>
                  </w:r>
                </w:p>
              </w:sdtContent>
            </w:sdt>
            <w:sdt>
              <w:sdtPr>
                <w:alias w:val="15 p."/>
                <w:tag w:val="part_2a9ef5e92e1645088f1ed2cd5bce7f0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a9ef5e92e1645088f1ed2cd5bce7f0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Išorinio vertinimo metu analizuojami NVŠ teikėjų įsivertinimo ir kiti pateikti dokumentai, vykdomi pokalbiai su vaikais, tėvais (globėjais, rūpintojais), mokytojais, vadovais. Ugdymo proceso stebėjimas rekomenduojamas tuo atveju, jei </w:t>
                  </w:r>
                  <w:r>
                    <w:rPr>
                      <w:strike/>
                      <w:szCs w:val="24"/>
                      <w:lang w:eastAsia="lt-LT"/>
                    </w:rPr>
                    <w:t xml:space="preserve">Vertinimo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išorinio vertinimo</w:t>
                  </w:r>
                  <w:r>
                    <w:rPr>
                      <w:szCs w:val="24"/>
                      <w:lang w:eastAsia="lt-LT"/>
                    </w:rPr>
                    <w:t xml:space="preserve"> grupės išvados nesutampa su įstaigos NVŠ veiklos įsivertinimo išvadomis. Sprendimą dėl ugdymo proceso stebėjimo priima </w:t>
                  </w:r>
                  <w:r>
                    <w:rPr>
                      <w:strike/>
                      <w:szCs w:val="24"/>
                      <w:lang w:eastAsia="lt-LT"/>
                    </w:rPr>
                    <w:t>Vertinimo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išorinio vertinimo</w:t>
                  </w:r>
                  <w:r>
                    <w:rPr>
                      <w:szCs w:val="24"/>
                      <w:lang w:eastAsia="lt-LT"/>
                    </w:rPr>
                    <w:t xml:space="preserve"> grupė. Ugdymo proceso stebėjimo metu surinkti duomenys fiksuojami protokole nurodant stebėjimo tikslą ir rezultatus (išvadas). </w:t>
                  </w:r>
                </w:p>
              </w:sdtContent>
            </w:sdt>
            <w:sdt>
              <w:sdtPr>
                <w:alias w:val="16 p."/>
                <w:tag w:val="part_fa6ccd80a0784c10b8698799f35c8b0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fa6ccd80a0784c10b8698799f35c8b0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en-GB"/>
                        </w:rPr>
                        <w:t>16</w:t>
                      </w:r>
                    </w:sdtContent>
                  </w:sdt>
                  <w:r>
                    <w:rPr>
                      <w:szCs w:val="24"/>
                      <w:lang w:eastAsia="en-GB"/>
                    </w:rPr>
                    <w:t xml:space="preserve">. Išorinio vertinimo grupė per 10 darbo dienų po </w:t>
                  </w:r>
                  <w:r>
                    <w:rPr>
                      <w:szCs w:val="24"/>
                      <w:lang w:eastAsia="lt-LT"/>
                    </w:rPr>
                    <w:t xml:space="preserve">išorinio vertinimo pateikia NVŠ teikėjui preliminarios išorinio vertinimo ataskaitos ir išvadų projektus, o per 20 darbo dienų NVŠ teikėjui ir Savivaldybės </w:t>
                  </w:r>
                  <w:r>
                    <w:rPr>
                      <w:strike/>
                      <w:szCs w:val="24"/>
                      <w:lang w:eastAsia="lt-LT"/>
                    </w:rPr>
                    <w:t>administracijos direktoriui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merui arba, teisės aktuose nustatytais atvejais, jo įgaliotam asmeniui / valstybės tarnautojui</w:t>
                  </w:r>
                  <w:r>
                    <w:rPr>
                      <w:szCs w:val="24"/>
                      <w:lang w:eastAsia="lt-LT"/>
                    </w:rPr>
                    <w:t xml:space="preserve"> – galutinę išorinio vertinimo ataskaitą ir išvadas </w:t>
                  </w:r>
                  <w:r>
                    <w:rPr>
                      <w:szCs w:val="24"/>
                      <w:lang w:eastAsia="en-GB"/>
                    </w:rPr>
                    <w:t xml:space="preserve">pagal Aprašo 3 priedą. </w:t>
                  </w:r>
                </w:p>
              </w:sdtContent>
            </w:sdt>
            <w:sdt>
              <w:sdtPr>
                <w:alias w:val="17 p."/>
                <w:tag w:val="part_e511cb1e4cf748b68a91c736ea4b7bc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511cb1e4cf748b68a91c736ea4b7bc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Išoriniame vertinime dalyvaujančio NVŠ teikėjo vadovas</w:t>
                  </w:r>
                  <w:r>
                    <w:rPr>
                      <w:bCs/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17.1 pp."/>
                    <w:tag w:val="part_bf02a845b2224af0bcad56999ae4e38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f02a845b2224af0bcad56999ae4e38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17.1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gavęs pranešimą apie planuojamą išorinį vertinimą, informuoja NVŠ teikėjo bendruomenę;</w:t>
                      </w:r>
                    </w:p>
                  </w:sdtContent>
                </w:sdt>
                <w:sdt>
                  <w:sdtPr>
                    <w:alias w:val="17.2 pp."/>
                    <w:tag w:val="part_2aec952804d7413580ed6cc108d2798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aec952804d7413580ed6cc108d2798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17.2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supažindina NVŠ teikėjo bendruomenę su išorinio vertinimo paskirtimi, organizavimo tvarka;</w:t>
                      </w:r>
                    </w:p>
                  </w:sdtContent>
                </w:sdt>
                <w:sdt>
                  <w:sdtPr>
                    <w:alias w:val="17.3 pp."/>
                    <w:tag w:val="part_8d0b4dfe5c0b4f7992aa345027660da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d0b4dfe5c0b4f7992aa345027660da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17.3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pateikia išorinio vertinimo grupės vadovui įsivertinimo protokolą ir kitus reikalingus vertinimui dokumentus,  kitą informaciją;</w:t>
                      </w:r>
                    </w:p>
                  </w:sdtContent>
                </w:sdt>
                <w:sdt>
                  <w:sdtPr>
                    <w:alias w:val="17.4 pp."/>
                    <w:tag w:val="part_ea113c24051e4162af98152007ac7d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a113c24051e4162af98152007ac7d9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17.4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 xml:space="preserve">sudaro sąlygas NVŠ teikėjo bendruomenei ir </w:t>
                      </w:r>
                      <w:r>
                        <w:rPr>
                          <w:szCs w:val="24"/>
                          <w:lang w:eastAsia="lt-LT"/>
                        </w:rPr>
                        <w:t>išorinio vertinimo</w:t>
                      </w:r>
                      <w:r>
                        <w:rPr>
                          <w:i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grupei bendrauti;</w:t>
                      </w:r>
                    </w:p>
                  </w:sdtContent>
                </w:sdt>
                <w:sdt>
                  <w:sdtPr>
                    <w:alias w:val="17.5 pp."/>
                    <w:tag w:val="part_fd29d46f79db4cc586035aae4b49c5d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d29d46f79db4cc586035aae4b49c5d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1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7.5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gavęs preliminarią išorinio vertinimo ataskaitos ir </w:t>
                      </w:r>
                      <w:r>
                        <w:rPr>
                          <w:szCs w:val="24"/>
                          <w:lang w:eastAsia="en-GB"/>
                        </w:rPr>
                        <w:t xml:space="preserve">išvadų </w:t>
                      </w:r>
                      <w:r>
                        <w:rPr>
                          <w:szCs w:val="24"/>
                          <w:lang w:eastAsia="lt-LT"/>
                        </w:rPr>
                        <w:t>projektą, organizuoja jų aptarimą ir pagal poreikį raštu per 5 darbo dienas pateikia išorinio vertinimo grupės vadovui NVŠ teikėjo pastabas dėl išorinio vertinimo ataskaitos ir išvadų;</w:t>
                      </w:r>
                    </w:p>
                  </w:sdtContent>
                </w:sdt>
                <w:sdt>
                  <w:sdtPr>
                    <w:alias w:val="17.6 pp."/>
                    <w:tag w:val="part_0e2a2389474c4562acc0cbeda9690ee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e2a2389474c4562acc0cbeda9690ee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17.6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supažindina NVŠ teikėjo bendruomenės narius su galutine išorinio vertinimo ataskaita ir išvadomis, viešai skelbia informaciją apie atliktą išorinį vertinimą;</w:t>
                      </w:r>
                    </w:p>
                  </w:sdtContent>
                </w:sdt>
                <w:sdt>
                  <w:sdtPr>
                    <w:alias w:val="17.7 pp."/>
                    <w:tag w:val="part_4c7b22fc45854768a6003336f3993b4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c7b22fc45854768a6003336f3993b4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17.7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per 15 darbo dienų nuo galutinės išorinio vertinimo ataskaitos ir išvadų pateikimo,  inicijuoja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 xml:space="preserve"> Priemonių plano išorinio vertinimo išvadoms įgyvendinti (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5 priedas) parengimą ir pateikia Švietimo skyriui. </w:t>
                      </w:r>
                    </w:p>
                    <w:p>
                      <w:pPr>
                        <w:tabs>
                          <w:tab w:val="left" w:pos="0"/>
                        </w:tabs>
                        <w:rPr>
                          <w:b/>
                          <w:bCs/>
                          <w:szCs w:val="24"/>
                          <w:lang w:eastAsia="en-GB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08febec8f07f4159b923e12670bb40fd"/>
            <w:lock w:val="sdtLocked"/>
            <w:richText/>
          </w:sdtPr>
          <w:sdtContent>
            <w:p>
              <w:pPr>
                <w:tabs>
                  <w:tab w:val="left" w:pos="0"/>
                </w:tabs>
                <w:jc w:val="center"/>
                <w:rPr>
                  <w:b/>
                  <w:bCs/>
                  <w:szCs w:val="24"/>
                  <w:lang w:eastAsia="en-GB"/>
                </w:rPr>
              </w:pPr>
              <w:sdt>
                <w:sdtPr>
                  <w:alias w:val="Numeris"/>
                  <w:tag w:val="nr_08febec8f07f4159b923e12670bb40f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en-GB"/>
                    </w:rPr>
                    <w:t>III</w:t>
                  </w:r>
                </w:sdtContent>
              </w:sdt>
              <w:r>
                <w:rPr>
                  <w:b/>
                  <w:bCs/>
                  <w:szCs w:val="24"/>
                  <w:lang w:eastAsia="en-GB"/>
                </w:rPr>
                <w:t xml:space="preserve"> SKYRIUS</w:t>
              </w:r>
            </w:p>
            <w:p>
              <w:pPr>
                <w:tabs>
                  <w:tab w:val="left" w:pos="0"/>
                </w:tabs>
                <w:ind w:firstLine="62"/>
                <w:jc w:val="center"/>
                <w:rPr>
                  <w:b/>
                  <w:bCs/>
                  <w:szCs w:val="24"/>
                  <w:lang w:eastAsia="en-GB"/>
                </w:rPr>
              </w:pPr>
              <w:sdt>
                <w:sdtPr>
                  <w:alias w:val="Pavadinimas"/>
                  <w:tag w:val="title_08febec8f07f4159b923e12670bb40f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en-GB"/>
                    </w:rPr>
                    <w:t>BAIGIAMOSIOS NUOSTATOS</w:t>
                  </w:r>
                </w:sdtContent>
              </w:sdt>
            </w:p>
            <w:p>
              <w:pPr>
                <w:tabs>
                  <w:tab w:val="left" w:pos="0"/>
                </w:tabs>
                <w:jc w:val="center"/>
                <w:rPr>
                  <w:b/>
                  <w:bCs/>
                  <w:szCs w:val="24"/>
                  <w:lang w:eastAsia="en-GB"/>
                </w:rPr>
              </w:pPr>
            </w:p>
            <w:sdt>
              <w:sdtPr>
                <w:alias w:val="18 p."/>
                <w:tag w:val="part_5286fa3fa3bc4d4cb05876fe9a356263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286fa3fa3bc4d4cb05876fe9a35626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18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 xml:space="preserve">. Jeigu NVŠ teikėjo veikla įvertinama neigiamai arba nustatytu laiku NVŠ teikėjas nepateikia </w:t>
                  </w:r>
                  <w:r>
                    <w:rPr>
                      <w:bCs/>
                      <w:szCs w:val="24"/>
                      <w:lang w:eastAsia="lt-LT"/>
                    </w:rPr>
                    <w:t>Priemonių plano išorinio vertinimo išvadoms įgyvendinti</w:t>
                  </w:r>
                  <w:r>
                    <w:rPr>
                      <w:szCs w:val="24"/>
                      <w:lang w:eastAsia="ar-SA"/>
                    </w:rPr>
                    <w:t xml:space="preserve">, </w:t>
                  </w:r>
                  <w:r>
                    <w:rPr>
                      <w:strike/>
                      <w:szCs w:val="24"/>
                      <w:lang w:eastAsia="ar-SA"/>
                    </w:rPr>
                    <w:t>Savivaldybės administracijos direktorius</w:t>
                  </w:r>
                  <w:r>
                    <w:rPr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Savivaldybės meras arba, teisės aktuose nustatytais atvejais, jo įgaliotas asmuo / valstybės tarnautojas</w:t>
                  </w:r>
                  <w:r>
                    <w:rPr>
                      <w:b/>
                      <w:bCs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szCs w:val="24"/>
                      <w:lang w:eastAsia="ar-SA"/>
                    </w:rPr>
                    <w:t>teikia siūlymą dėl NVŠ teikėjo finansavimo perspektyvos.</w:t>
                  </w:r>
                </w:p>
              </w:sdtContent>
            </w:sdt>
            <w:sdt>
              <w:sdtPr>
                <w:alias w:val="19 p."/>
                <w:tag w:val="part_cef7edbac1be4e9f984239cd1c12902a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ef7edbac1be4e9f984239cd1c12902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Išorinio vertinimo išlaidas finansuoja savininkas, savininko teises ir pareigas įgyvendinanti institucija (dalyvių susirinkimas).  Šios išlaidos gali būti finansuojamos ir kitų teisės aktų ar susitarimų nustatyta tvarka.</w:t>
                  </w:r>
                </w:p>
              </w:sdtContent>
            </w:sdt>
            <w:sdt>
              <w:sdtPr>
                <w:alias w:val="20 p."/>
                <w:tag w:val="part_c56476ecc28f4dc681a1b5f69be2020f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ind w:firstLine="720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56476ecc28f4dc681a1b5f69be2020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Už Aprašo įgyvendinimą ir kontrolę yra atsakingas Savivaldybės </w:t>
                  </w:r>
                  <w:r>
                    <w:rPr>
                      <w:strike/>
                      <w:szCs w:val="24"/>
                      <w:lang w:eastAsia="lt-LT"/>
                    </w:rPr>
                    <w:t>administracijos direktorius arba jo įgaliotas asmuo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meras arba, teisės aktuose nustatytais atvejais, jo įgaliotas asmuo / valstybės tarnautojas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  <w:p>
                  <w:pPr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__________________________</w:t>
                  </w:r>
                </w:p>
              </w:sdtContent>
            </w:sdt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  <w:endnote w:type="continuationNotice" w:id="1">
    <w:p>
      <w:pPr>
        <w:rPr>
          <w:lang w:eastAsia="lt-LT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  <w:footnote w:type="continuationNotice" w:id="1">
    <w:p>
      <w:pPr>
        <w:rPr>
          <w:lang w:eastAsia="lt-LT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 PAGE   \* MERGEFORMAT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5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772D9209-726B-4CCC-9FA4-C2EB7A938FC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29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1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17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622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40bffb9a383e4ddf8c10638fe62a2f2a" PartId="295e55b2cbed40b3a292e39a795f598d"/>
  <Part Type="patvirtinta" Title="(Šiaulių miesto savivaldybės tarybos 2023 m. d. sprendimo Nr. redakcija)" DocPartId="a15f662f8a4d46b189f6723edbef4730" PartId="accb89bfc909456cb023a4e610db8b14">
    <Part Type="skirsnis" Title="ŠIAULIŲ MIESTO SAVIVALDYBĖS NEFORMALIOJO VAIKŲ ŠVIETIMO TEIKĖJŲ VEIKLOS KOKYBĖS ĮSIVERTINIMO IR IŠORINIO VERTINIMO TVARKOS APRAŠAS" DocPartId="bc0c3ea9817a41b2bb0a5c2379942f51" PartId="8591103fdf6a491182c5385ca7269d2d"/>
    <Part Type="skyrius" Nr="1" Title="BENDROSIOS NUOSTATOS" DocPartId="999472d0486e4ca7a4557bfe41407850" PartId="f6ecbfe0c5614976bc85b5e8fda33584">
      <Part Type="punktas" Nr="1" Abbr="1 p." DocPartId="c7834e4b504a4b0d90b862c1ec75d801" PartId="9bae6c3b346044dca51d91002554d464"/>
      <Part Type="punktas" Nr="2" Abbr="2 p." DocPartId="e8152504ad6646bc8f1d72fed7099334" PartId="c906e5ed4e9646edb33308c5cb215f2d"/>
      <Part Type="punktas" Nr="3" Abbr="3 p." DocPartId="d32442c0a6704ab7b8c343e6b201d5ec" PartId="49d59a71bf4f4321a9a222460112c9fa"/>
      <Part Type="punktas" Nr="4" Abbr="4 p." DocPartId="79437b57879b4e7aa4c64a46cbcdc4b9" PartId="c3f6ca2a766e499cb7b040b78686f5d0">
        <Part Type="papunktis" Nr="4.1" Abbr="4.1 pp." DocPartId="1246364aef974e4a9756643e53505852" PartId="721781f75a2b4af6bd0cf9041e6a3d01"/>
        <Part Type="papunktis" Nr="4.2" Abbr="4.2 pp." DocPartId="9c348cb8e98f4d9fa6166d141c75f18f" PartId="de1bbe874a8f42979967082f278756b6"/>
        <Part Type="papunktis" Nr="4.3" Abbr="4.3 pp." DocPartId="3afc6561f8274dee9ff722f8ee38abe5" PartId="8062fd39f2d949c3bcc6b39e37533229"/>
        <Part Type="papunktis" Nr="4.4" Abbr="4.4 pp." DocPartId="b6306431662e4bc78eb4e37791a36656" PartId="dfe2cd6ec7ae40869242546058af496d"/>
      </Part>
    </Part>
    <Part Type="skyrius" Nr="2" Title="ĮSIVERTINIMO IR IŠORINIO VERTINIMO ORGANIZAVIMAS IR VYKDYMAS" DocPartId="cbf4b5671e1848398cca697a3f3adab8" PartId="718100434698484d8117eaa799935785">
      <Part Type="punktas" Nr="5" Abbr="5 p." DocPartId="05030b64757741ea9c4112492c16105b" PartId="8bbe52aad27f468499362554debb4730">
        <Part Type="papunktis" Nr="5.1" Abbr="5.1 pp." DocPartId="c2cb1b927155442e81c5a0c4faff390a" PartId="44cdc762ec5c4a2d909939e4ab788425"/>
        <Part Type="papunktis" Nr="5.2" Abbr="5.2 pp." DocPartId="a242c885aaa54cf2b1f05e2077fe57f4" PartId="62f764d18a184df09344060e348b7f5c"/>
        <Part Type="papunktis" Nr="5.3" Abbr="5.3 pp." DocPartId="23249cd033b54ac4ad4c77703a21eb78" PartId="48a392aff7314538be4d2a19c6bafb6d"/>
      </Part>
      <Part Type="punktas" Nr="6" Abbr="6 p." DocPartId="4663275a177f472792809790949143f2" PartId="a27cbb9f969e48b4a643649c8b7bdb49">
        <Part Type="papunktis" Nr="6.1" Abbr="6.1 pp." DocPartId="9d0c42719e0f4e71a31df6575ae529ca" PartId="b884cd496c4f4d949450091745d4c18d"/>
        <Part Type="papunktis" Nr="6.2" Abbr="6.2 pp." DocPartId="6aacc5330f714806866943f6ad9808e2" PartId="320ce3669b2f42c9b5755181d1a22cc0"/>
      </Part>
      <Part Type="punktas" Nr="7" Abbr="7 p." DocPartId="2f4b86579d014eae9ea2263d38c8e4de" PartId="487a935d522d40e8bf8b22bddc60d110"/>
      <Part Type="punktas" Nr="8" Abbr="8 p." DocPartId="9f593b49dcfc42178193212007330fe9" PartId="66b15a3b33024c33a38367d272091e15">
        <Part Type="papunktis" Nr="8.1" Abbr="8.1 pp." DocPartId="c7047ea5ec2c4b929a947ab1a936ee7a" PartId="d3f15425a6fd4b498a6103c75fe6bef0"/>
        <Part Type="papunktis" Nr="8.2" Abbr="8.2 pp." DocPartId="28fef19729fc44a9bcf276d978bcc6ba" PartId="b3335d78af7b414d88967c18e8e48c43"/>
        <Part Type="papunktis" Nr="8.3" Abbr="8.3 pp." DocPartId="8f4ac4ac39a94584b7e4c54162cb9c31" PartId="6e1c5dec42df4953bb2f699725d1e599"/>
        <Part Type="papunktis" Nr="8.4" Abbr="8.4 pp." DocPartId="a38eaedd4c0a49cb8201fe70bde84701" PartId="8e6dd0cfe2dc41b28174b7ab5694d588"/>
      </Part>
      <Part Type="punktas" Nr="9" Abbr="9 p." DocPartId="d85d3235b2eb4cc08cc0476e332a84e9" PartId="15a242d29f334ab893159b3fe543f21e"/>
      <Part Type="punktas" Nr="10" Abbr="10 p." DocPartId="a2132de8c28c43c7897776ed4a469d6e" PartId="3cfdb4dc38764a428750053d5b450645"/>
      <Part Type="punktas" Nr="11" Abbr="11 p." DocPartId="e705c946184646de96e784cdcccdf041" PartId="b599b326fbb24a989d35baff2c34c6cb">
        <Part Type="papunktis" Nr="11.1" Abbr="11.1 pp." DocPartId="e36d650137fe467295e16dfd54c41985" PartId="1b12ebc9282e4b8bacb522c1f62bdcb3"/>
        <Part Type="papunktis" Nr="11.2" Abbr="11.2 pp." DocPartId="be14f9e9d9ed460188f04bb88bc790ac" PartId="379f57546b324b3fa040758fcecb93b5"/>
        <Part Type="papunktis" Nr="11.3" Abbr="11.3 pp." DocPartId="6772baab9c2b424ca243228533186a37" PartId="31746e1a824441d18732d687408ca22d"/>
      </Part>
      <Part Type="punktas" Nr="12" Abbr="12 p." DocPartId="479d7c6de6994b44ad57e6b0784e5176" PartId="969a0dc1debb48fa9aa674620a817ab0">
        <Part Type="papunktis" Nr="12.1" Abbr="12.1 pp." DocPartId="f719b511d63a437b9c31a9c2230ce443" PartId="9528ca27e2dd484e84eb1cb64a407f48"/>
        <Part Type="papunktis" Nr="12.2" Abbr="12.2 pp." DocPartId="c3ec379aa818419786ccf70a521b8f7f" PartId="000adb7907dd41bd87d14ac547453e98"/>
        <Part Type="papunktis" Nr="12.3" Abbr="12.3 pp." DocPartId="4f671045ef5e4335a621fe4867c16cc7" PartId="f8e3f12193274400bd9e5ccb852946f0"/>
        <Part Type="papunktis" Nr="12.4" Abbr="12.4 pp." DocPartId="8c81245bfc85407abce7a169fc938d4b" PartId="ed93979e8153459db5fd30ccad6061d4"/>
        <Part Type="papunktis" Nr="12.5" Abbr="12.5 pp." DocPartId="c7216fe0266642ed899ea80b56abbe3f" PartId="c2fe7ad8879a40cc8ef92d972be7431f"/>
      </Part>
      <Part Type="punktas" Nr="13" Abbr="13 p." DocPartId="6397732ac1ce45c5835b398f1d0bb070" PartId="d5df411a38c549f1b6861da12b471754">
        <Part Type="papunktis" Nr="13.1" Abbr="13.1 pp." DocPartId="dfaf271bcd0c450c8e7300026d40da5d" PartId="fa9024b1d1504f3ebd60b2a45baf197c"/>
        <Part Type="papunktis" Nr="13.2" Abbr="13.2 pp." DocPartId="06e4f05cf4394ccdae9ceb5537119d6b" PartId="8e1a4487434047d2af51a42e6033006e"/>
      </Part>
      <Part Type="punktas" Nr="14" Abbr="14 p." DocPartId="e617fb9234324dd194081bab8a38d064" PartId="c9ea954d4248417eac394df91ea8c5fa"/>
      <Part Type="punktas" Nr="15" Abbr="15 p." DocPartId="8cc3b0efd9a040b0a65fc2a33f5b1fb0" PartId="2a9ef5e92e1645088f1ed2cd5bce7f06"/>
      <Part Type="punktas" Nr="16" Abbr="16 p." DocPartId="b22eb7fa12f14d088d9525e6b8347ccb" PartId="fa6ccd80a0784c10b8698799f35c8b08"/>
      <Part Type="punktas" Nr="17" Abbr="17 p." DocPartId="f5856519ff024feea3c079d293f51e57" PartId="e511cb1e4cf748b68a91c736ea4b7bc4">
        <Part Type="papunktis" Nr="17.1" Abbr="17.1 pp." DocPartId="0e169eb9775e4433a6fa332ff10ac574" PartId="bf02a845b2224af0bcad56999ae4e38e"/>
        <Part Type="papunktis" Nr="17.2" Abbr="17.2 pp." DocPartId="3748f3103a5544d38be9032bee30dc2a" PartId="2aec952804d7413580ed6cc108d2798c"/>
        <Part Type="papunktis" Nr="17.3" Abbr="17.3 pp." DocPartId="a763a2eab17a467486ee1991708f266d" PartId="8d0b4dfe5c0b4f7992aa345027660daa"/>
        <Part Type="papunktis" Nr="17.4" Abbr="17.4 pp." DocPartId="bbaa5581c8d340a1bc3020bc12c33cf8" PartId="ea113c24051e4162af98152007ac7d9f"/>
        <Part Type="papunktis" Nr="17.5" Abbr="17.5 pp." DocPartId="36205a4b3f7d4cec8001012280186cd6" PartId="fd29d46f79db4cc586035aae4b49c5d0"/>
        <Part Type="papunktis" Nr="17.6" Abbr="17.6 pp." DocPartId="e17802e4434040e9bd530d521130e6af" PartId="0e2a2389474c4562acc0cbeda9690eeb"/>
        <Part Type="papunktis" Nr="17.7" Abbr="17.7 pp." DocPartId="2b1eb564bd9b40bcb78e0046ac8e62d2" PartId="4c7b22fc45854768a6003336f3993b40"/>
      </Part>
    </Part>
    <Part Type="skyrius" Nr="3" Title="BAIGIAMOSIOS NUOSTATOS" DocPartId="fe82c4a246d84c16948fbc9f7ddf5254" PartId="08febec8f07f4159b923e12670bb40fd">
      <Part Type="punktas" Nr="18" Abbr="18 p." DocPartId="2994e039dae047f485815ea2f656b46f" PartId="5286fa3fa3bc4d4cb05876fe9a356263"/>
      <Part Type="punktas" Nr="19" Abbr="19 p." DocPartId="e5fd214a73dc459db8786603ed9f7282" PartId="cef7edbac1be4e9f984239cd1c12902a"/>
      <Part Type="punktas" Nr="20" Abbr="20 p." DocPartId="c6f5b6f75b2e4fcda1a501286206e967" PartId="c56476ecc28f4dc681a1b5f69be2020f"/>
    </Part>
  </Part>
</Parts>
</file>

<file path=customXml/itemProps1.xml><?xml version="1.0" encoding="utf-8"?>
<ds:datastoreItem xmlns:ds="http://schemas.openxmlformats.org/officeDocument/2006/customXml" ds:itemID="{3388C217-3B61-4186-B0B1-77B21C3C022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FFB57E7-AE2A-45C3-8E15-F7CBB05E56A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1209</Words>
  <Characters>8590</Characters>
  <Application>Microsoft Office Word</Application>
  <DocSecurity>4</DocSecurity>
  <Lines>145</Lines>
  <Paragraphs>72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PATVIRTINTA</vt:lpstr>
      <vt:lpstr>PATVIRTINTA</vt:lpstr>
    </vt:vector>
  </TitlesOfParts>
  <Company>Svietimo sk</Company>
  <LinksUpToDate>false</LinksUpToDate>
  <CharactersWithSpaces>9727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2023-03-09T08:28:00Z</dcterms:created>
  <dc:creator>Asta</dc:creator>
  <lastModifiedBy>adlibuser</lastModifiedBy>
  <lastPrinted>2013-07-05T08:09:00Z</lastPrinted>
  <dcterms:modified xsi:type="dcterms:W3CDTF">2023-03-09T08:28:00Z</dcterms:modified>
  <revision>2</revision>
  <dc:title>PATVIRTINTA</dc:title>
</coreProperties>
</file>