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421095df68d44a1a0569cfb8e6f309a"/>
        <w:lock w:val="sdtLocked"/>
        <w:richText/>
      </w:sdtPr>
      <w:sdtContent>
        <w:p w14:paraId="39DBC1E5" w14:textId="77777777">
          <w:pPr>
            <w:tabs>
              <w:tab w:val="center" w:pos="4153"/>
              <w:tab w:val="right" w:pos="8306"/>
            </w:tabs>
            <w:overflowPunct w:val="0"/>
            <w:textAlignment w:val="baseline"/>
            <w:rPr>
              <w:rFonts w:ascii="TimesLT" w:hAnsi="TimesLT"/>
              <w:sz w:val="22"/>
            </w:rPr>
          </w:pPr>
        </w:p>
        <w:p w14:paraId="653DBC68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LIETUVOS RESPUBLIKOS VALSTYBINIO SOCIALINIO DRAUDIMO FONDO</w:t>
          </w:r>
        </w:p>
        <w:p w14:paraId="0C71C0B8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BIUDŽETO PROGNOZINIŲ SKAIČIAVIMŲ 2023 – 2024 METAMS</w:t>
          </w:r>
        </w:p>
        <w:p w14:paraId="02FB0BA5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AIŠKINAMASIS RAŠTAS</w:t>
          </w:r>
        </w:p>
        <w:p w14:paraId="73FA6047" w14:textId="77777777">
          <w:pPr>
            <w:overflowPunct w:val="0"/>
            <w:jc w:val="both"/>
            <w:textAlignment w:val="baseline"/>
            <w:rPr>
              <w:rFonts w:ascii="TimesLT" w:hAnsi="TimesLT"/>
              <w:sz w:val="22"/>
            </w:rPr>
          </w:pPr>
        </w:p>
        <w:p w14:paraId="674C6B7E" w14:textId="77777777">
          <w:pPr>
            <w:overflowPunct w:val="0"/>
            <w:jc w:val="both"/>
            <w:textAlignment w:val="baseline"/>
            <w:rPr>
              <w:rFonts w:ascii="TimesLT" w:hAnsi="TimesLT"/>
              <w:sz w:val="22"/>
            </w:rPr>
          </w:pPr>
        </w:p>
        <w:p w14:paraId="79C4C0AC" w14:textId="77777777">
          <w:pPr>
            <w:overflowPunct w:val="0"/>
            <w:ind w:firstLine="1134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Valstybinio socialinio draudimo fondo biudžeto (toliau – Fondo biudžetas) prognoziniai skaičiavimai  2023 – 2024 metams buvo atliekami pagal Finansų ministerijos paskelbtą šalies ekonominės raidos scenarijų 2022 – 2024 m.</w:t>
          </w:r>
        </w:p>
        <w:p w14:paraId="0C208903" w14:textId="77777777">
          <w:pPr>
            <w:overflowPunct w:val="0"/>
            <w:ind w:firstLine="1196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Prognozuojama, kad 2023 bendras apdraustųjų skaičius bus apie 1 512,7 tūkst. žm., t.y. 1,5 tūkst. žm. didesnis nei 2022 m., o 2024 m. – 1508,4 tūkst. žm. t.y. 4,3 tūkst. mažesnis nei 2023 m.</w:t>
          </w:r>
        </w:p>
        <w:p w14:paraId="5734FBC0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Apdraustųjų, visomis socialinio draudimo rūšimis, metinė draudžiamųjų pajamų bazė, nuo kurios skaičiuojamos socialinio draudimo įmokos,  prognozuojama   2023 m. augs 5,7 proc., 2023 m. – 5,2 proc. </w:t>
          </w:r>
        </w:p>
        <w:p w14:paraId="26AACF6A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Asignavimai iš Lietuvos Respublikos valstybės biudžeto  bendrosios pensijos dalies finansavimui  prognozuojama bus 2023 m. – 2 544 119 tūkst. Eur, 2024 m. – 2 712 550 tūkst. Eur. </w:t>
          </w:r>
        </w:p>
        <w:p w14:paraId="01E3E71C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Fondo biudžeto pajamos  2023 m. bus 6 203 179 tūkst. Eur arba 6,3 proc. didesnės negu 2022 m., o išlaidos – 5 922 7802 tūkst. Eur arba 7,0 proc. didesnės nei 2022 m. Prognozuojamos 2024 m. pajamos – 6 555 001 tūkst. Eur arba 5,7 proc. didesnės negu 2023 m., o išlaidos – 6 304 734 tūkst. Eur arba 6,4 proc. didesnės nei 2023 m.</w:t>
          </w:r>
        </w:p>
        <w:p w14:paraId="1F25C93B" w14:textId="77777777">
          <w:pPr>
            <w:overflowPunct w:val="0"/>
            <w:ind w:firstLine="1259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Prognozuojamas socialinio draudimo mokamų pensijų skaičius  2023 m. – 1 008,8 tūkst. arba 0,5 proc. mažesnis nei 2022 m., o 2024 m. – 1 003,6 tūkst. arba 0,5 proc. mažesnis nei 2023 m. </w:t>
          </w:r>
        </w:p>
        <w:p w14:paraId="07A5AEC9" w14:textId="77777777">
          <w:pPr>
            <w:overflowPunct w:val="0"/>
            <w:ind w:firstLine="1259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Išlaidos pensijoms 2023-2024 augs sparčiau nei šalies vidutinis darbo užmokestis. 2023  m. augs 8,3 proc. ir bus 4 603 182 tūkst. Eur. Vidutinė senatvės pensija, turint būtinąjį stažą, 2023 m. sudarys 35,5 proc. apdraustojo vidutinių draudžiamųjų pajamų, nuo kurių skaičiuojamos socialinio draudimo įmokos, </w:t>
          </w:r>
          <w:r>
            <w:rPr>
              <w:color w:val="000000"/>
              <w:szCs w:val="24"/>
            </w:rPr>
            <w:t>arba 47,9 proc. š</w:t>
          </w:r>
          <w:r>
            <w:rPr>
              <w:szCs w:val="24"/>
            </w:rPr>
            <w:t xml:space="preserve">alies  vidutinio neto darbo užmokesčio. 2024 m. išlaidos pensijoms didės 7,4 proc. ir bus 4 942 820 tūkst. Eur. Vidutinė senatvės pensija, turint būtinąjį stažą, 2024 m. bus 36,3 proc. apdraustojo vidutinių draudžiamųjų pajamų, nuo kurių skaičiuojamos socialinio draudimo įmokos </w:t>
          </w:r>
          <w:r>
            <w:rPr>
              <w:color w:val="000000"/>
              <w:szCs w:val="24"/>
            </w:rPr>
            <w:t xml:space="preserve">arba 49,4 </w:t>
          </w:r>
          <w:r>
            <w:rPr>
              <w:szCs w:val="24"/>
            </w:rPr>
            <w:t xml:space="preserve">proc. šalies  vidutinio neto darbo užmokesčio.</w:t>
          </w:r>
        </w:p>
        <w:p w14:paraId="7A2F1109" w14:textId="77777777">
          <w:pPr>
            <w:overflowPunct w:val="0"/>
            <w:ind w:firstLine="1259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Fondo biudžeto išlaidų dalis pensijoms 2023 m. sudarys 77,7 proc., 2024 m. – 78,4 proc. visų Fondo biudžeto išlaidų</w:t>
          </w:r>
        </w:p>
        <w:p w14:paraId="7AAD7310" w14:textId="77777777">
          <w:pPr>
            <w:overflowPunct w:val="0"/>
            <w:ind w:firstLine="1259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2023-2024 m. vienos pensijos kaštus savo įmokomis dengs 1,50 apdraustojo. </w:t>
          </w:r>
        </w:p>
        <w:p w14:paraId="6B24231F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Prognozuojama, kad išlaidų dalis ligos socialiniam draudimui 2023 sudarys 7,6 proc., 2024</w:t>
          </w:r>
          <w:r>
            <w:rPr>
              <w:rFonts w:ascii="TimesLT" w:hAnsi="TimesLT"/>
              <w:sz w:val="22"/>
            </w:rPr>
            <w:t> </w:t>
          </w:r>
          <w:r>
            <w:rPr>
              <w:szCs w:val="24"/>
            </w:rPr>
            <w:t xml:space="preserve">m. – 7,5 proc. visų Fondo biudžeto išlaidų. </w:t>
          </w:r>
        </w:p>
        <w:p w14:paraId="64645545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Išlaidos motinystės socialiniam draudimui 2023 m. sudarys 7,4 proc. o 2024 m.- 7,3 visų išlaidų.</w:t>
          </w:r>
        </w:p>
        <w:p w14:paraId="78281F64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Išlaidos nedarbo socialiniam draudimui mažėjant  nedarbo lygiui 2023 m. sudarys 4,6 proc., 2024 m. – 4,3 proc. visų Fondo biudžeto išlaidų.</w:t>
          </w:r>
        </w:p>
        <w:p w14:paraId="36492BAD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Išlaidų nelaimingų atsitikimų darbe ir profesinių ligų socialiniam draudimui dalis 2023-2024 m. sudarys 0,6 proc. visų Fondo biudžeto išlaidų.</w:t>
          </w:r>
        </w:p>
        <w:p w14:paraId="301D5880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Neatgautinos ir abejotinai atgautinos sumos 2023 – 2024 m.   mažės nuo 10 000 tūkst. Eur 2023 m. iki  8 000 tūkst. Eur 2024 m.  ir  sudarys  atitinkamai  0,2 proc. ir 0,1 proc. visų Fondo biudžeto išlaidų</w:t>
          </w:r>
        </w:p>
        <w:p w14:paraId="70D8F95E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Fondo veiklos sąnaudos prognozuotos įvertinant kainų indeksus, darbuotojų skaičiaus ir jų apmokėjimo normatyvus. Veiklos sąnaudų lyginamoji dalis visose Fondo biudžeto išlaidose 2023-2024 m. sudarys 1,8 proc. visų Fondo biudžeto išlaidų. </w:t>
          </w:r>
        </w:p>
        <w:p w14:paraId="4EE3874E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Prognozuojamas einamųjų metų rezultatas, priskaičiuotoms pajamoms viršijus išlaidas, 2023 m. bus teigiamas  280 377 tūkst. Eur, 2024 m. – teigiamas 250 267 tūkst</w:t>
          </w:r>
          <w:r>
            <w:rPr>
              <w:color w:val="FF0000"/>
              <w:szCs w:val="24"/>
            </w:rPr>
            <w:t xml:space="preserve">. </w:t>
          </w:r>
          <w:r>
            <w:rPr>
              <w:szCs w:val="24"/>
            </w:rPr>
            <w:t xml:space="preserve">Eur. </w:t>
          </w:r>
        </w:p>
        <w:p w14:paraId="09CA946E" w14:textId="77777777">
          <w:pPr>
            <w:overflowPunct w:val="0"/>
            <w:ind w:firstLine="126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Fondo sukauptas rezervas 2023 m. pabaigoje  prognozuojama bus 1 316,7 mln. Eur, 2024 m. pabaigoje – 1 559,7 mln. Eur. t.y. padidės 243,0 mln. Eur.</w:t>
          </w:r>
        </w:p>
        <w:p w14:paraId="3BACF250" w14:textId="77777777">
          <w:pPr>
            <w:overflowPunct w:val="0"/>
            <w:jc w:val="both"/>
            <w:textAlignment w:val="baseline"/>
            <w:rPr>
              <w:b/>
              <w:sz w:val="22"/>
            </w:rPr>
          </w:pPr>
        </w:p>
        <w:p w14:paraId="74D8C34C" w14:textId="77777777">
          <w:pPr>
            <w:overflowPunct w:val="0"/>
            <w:jc w:val="both"/>
            <w:textAlignment w:val="baseline"/>
            <w:rPr>
              <w:b/>
              <w:sz w:val="22"/>
            </w:rPr>
          </w:pPr>
        </w:p>
        <w:p w14:paraId="3AC92B74" w14:textId="77777777">
          <w:pPr>
            <w:overflowPunct w:val="0"/>
            <w:jc w:val="both"/>
            <w:textAlignment w:val="baseline"/>
            <w:rPr>
              <w:sz w:val="22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5211"/>
            <w:gridCol w:w="5211"/>
          </w:tblGrid>
          <w:tr w14:paraId="0F132C46" w14:textId="77777777">
            <w:tc>
              <w:tcPr>
                <w:tcW w:w="5211" w:type="dxa"/>
              </w:tcPr>
              <w:p w14:paraId="5294C9E5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Valstybinio socialinio draudimo fondo </w:t>
                </w:r>
              </w:p>
              <w:p w14:paraId="31123E58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valdybos direktorė</w:t>
                </w:r>
              </w:p>
            </w:tc>
            <w:tc>
              <w:tcPr>
                <w:tcW w:w="5211" w:type="dxa"/>
              </w:tcPr>
              <w:p w14:paraId="23EE7BE1" w14:textId="77777777">
                <w:pPr>
                  <w:overflowPunct w:val="0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Julita Varanauskienė</w:t>
                </w:r>
              </w:p>
            </w:tc>
          </w:tr>
        </w:tbl>
        <w:p w14:paraId="6D96427B" w14:textId="77777777">
          <w:pPr>
            <w:overflowPunct w:val="0"/>
            <w:jc w:val="both"/>
            <w:textAlignment w:val="baseline"/>
            <w:rPr>
              <w:rFonts w:ascii="TimesLT" w:hAnsi="TimesLT"/>
              <w:sz w:val="22"/>
            </w:rPr>
          </w:pP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021" w:right="567" w:bottom="709" w:left="1134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B1CD40" w14:textId="77777777">
      <w:pPr>
        <w:overflowPunct w:val="0"/>
        <w:textAlignment w:val="baseline"/>
        <w:rPr>
          <w:rFonts w:ascii="TimesLT" w:hAnsi="TimesLT"/>
          <w:sz w:val="22"/>
        </w:rPr>
      </w:pPr>
      <w:r>
        <w:rPr>
          <w:rFonts w:ascii="TimesLT" w:hAnsi="TimesLT"/>
          <w:sz w:val="22"/>
        </w:rPr>
        <w:separator/>
      </w:r>
    </w:p>
  </w:endnote>
  <w:endnote w:type="continuationSeparator" w:id="0">
    <w:p w14:paraId="4D8C841B" w14:textId="77777777">
      <w:pPr>
        <w:overflowPunct w:val="0"/>
        <w:textAlignment w:val="baseline"/>
        <w:rPr>
          <w:rFonts w:ascii="TimesLT" w:hAnsi="TimesLT"/>
          <w:sz w:val="22"/>
        </w:rPr>
      </w:pPr>
      <w:r>
        <w:rPr>
          <w:rFonts w:ascii="TimesLT" w:hAnsi="TimesLT"/>
          <w:sz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4F9E61" w14:textId="77777777">
    <w:pPr>
      <w:tabs>
        <w:tab w:val="center" w:pos="4986"/>
        <w:tab w:val="right" w:pos="9972"/>
      </w:tabs>
      <w:overflowPunct w:val="0"/>
      <w:textAlignment w:val="baseline"/>
      <w:rPr>
        <w:rFonts w:ascii="TimesLT" w:hAnsi="TimesLT"/>
        <w:sz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E5251" w14:textId="77777777">
    <w:pPr>
      <w:tabs>
        <w:tab w:val="center" w:pos="4986"/>
        <w:tab w:val="right" w:pos="9972"/>
      </w:tabs>
      <w:overflowPunct w:val="0"/>
      <w:textAlignment w:val="baseline"/>
      <w:rPr>
        <w:rFonts w:ascii="TimesLT" w:hAnsi="TimesLT"/>
        <w:sz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671DE7" w14:textId="77777777">
    <w:pPr>
      <w:tabs>
        <w:tab w:val="center" w:pos="4986"/>
        <w:tab w:val="right" w:pos="9972"/>
      </w:tabs>
      <w:overflowPunct w:val="0"/>
      <w:textAlignment w:val="baseline"/>
      <w:rPr>
        <w:rFonts w:ascii="TimesLT" w:hAnsi="TimesLT"/>
        <w:sz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816CB5" w14:textId="77777777">
      <w:pPr>
        <w:overflowPunct w:val="0"/>
        <w:textAlignment w:val="baseline"/>
        <w:rPr>
          <w:rFonts w:ascii="TimesLT" w:hAnsi="TimesLT"/>
          <w:sz w:val="22"/>
        </w:rPr>
      </w:pPr>
      <w:r>
        <w:rPr>
          <w:rFonts w:ascii="TimesLT" w:hAnsi="TimesLT"/>
          <w:sz w:val="22"/>
        </w:rPr>
        <w:separator/>
      </w:r>
    </w:p>
  </w:footnote>
  <w:footnote w:type="continuationSeparator" w:id="0">
    <w:p w14:paraId="66495644" w14:textId="77777777">
      <w:pPr>
        <w:overflowPunct w:val="0"/>
        <w:textAlignment w:val="baseline"/>
        <w:rPr>
          <w:rFonts w:ascii="TimesLT" w:hAnsi="TimesLT"/>
          <w:sz w:val="22"/>
        </w:rPr>
      </w:pPr>
      <w:r>
        <w:rPr>
          <w:rFonts w:ascii="TimesLT" w:hAnsi="TimesLT"/>
          <w:sz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BDD06" w14:textId="77777777">
    <w:pPr>
      <w:framePr w:wrap="auto" w:vAnchor="text" w:hAnchor="margin" w:xAlign="center" w:y="1"/>
      <w:tabs>
        <w:tab w:val="center" w:pos="4153"/>
        <w:tab w:val="right" w:pos="8306"/>
      </w:tabs>
      <w:overflowPunct w:val="0"/>
      <w:textAlignment w:val="baseline"/>
      <w:rPr>
        <w:rFonts w:ascii="TimesLT" w:hAnsi="TimesLT"/>
        <w:sz w:val="22"/>
      </w:rPr>
    </w:pPr>
    <w:r>
      <w:rPr>
        <w:rFonts w:ascii="TimesLT" w:hAnsi="TimesLT"/>
        <w:sz w:val="22"/>
      </w:rPr>
      <w:fldChar w:fldCharType="begin"/>
    </w:r>
    <w:r>
      <w:rPr>
        <w:rFonts w:ascii="TimesLT" w:hAnsi="TimesLT"/>
        <w:sz w:val="22"/>
      </w:rPr>
      <w:instrText xml:space="preserve">PAGE  </w:instrText>
    </w:r>
    <w:r>
      <w:rPr>
        <w:rFonts w:ascii="TimesLT" w:hAnsi="TimesLT"/>
        <w:sz w:val="22"/>
      </w:rPr>
      <w:fldChar w:fldCharType="end"/>
    </w:r>
  </w:p>
  <w:p w14:paraId="668AD7CA" w14:textId="77777777">
    <w:pPr>
      <w:tabs>
        <w:tab w:val="center" w:pos="4153"/>
        <w:tab w:val="right" w:pos="8306"/>
      </w:tabs>
      <w:overflowPunct w:val="0"/>
      <w:textAlignment w:val="baseline"/>
      <w:rPr>
        <w:rFonts w:ascii="TimesLT" w:hAnsi="TimesLT"/>
        <w:sz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C90A2" w14:textId="77777777">
    <w:pPr>
      <w:framePr w:wrap="auto" w:vAnchor="text" w:hAnchor="margin" w:xAlign="center" w:y="1"/>
      <w:tabs>
        <w:tab w:val="center" w:pos="4153"/>
        <w:tab w:val="right" w:pos="8306"/>
      </w:tabs>
      <w:overflowPunct w:val="0"/>
      <w:textAlignment w:val="baseline"/>
      <w:rPr>
        <w:rFonts w:ascii="TimesLT" w:hAnsi="TimesLT"/>
        <w:sz w:val="16"/>
        <w:szCs w:val="16"/>
      </w:rPr>
    </w:pPr>
    <w:r>
      <w:rPr>
        <w:rFonts w:ascii="TimesLT" w:hAnsi="TimesLT"/>
        <w:sz w:val="16"/>
        <w:szCs w:val="16"/>
      </w:rPr>
      <w:fldChar w:fldCharType="begin"/>
    </w:r>
    <w:r>
      <w:rPr>
        <w:rFonts w:ascii="TimesLT" w:hAnsi="TimesLT"/>
        <w:sz w:val="16"/>
        <w:szCs w:val="16"/>
      </w:rPr>
      <w:instrText xml:space="preserve">PAGE  </w:instrText>
    </w:r>
    <w:r>
      <w:rPr>
        <w:rFonts w:ascii="TimesLT" w:hAnsi="TimesLT"/>
        <w:sz w:val="16"/>
        <w:szCs w:val="16"/>
      </w:rPr>
      <w:fldChar w:fldCharType="separate"/>
    </w:r>
    <w:r>
      <w:rPr>
        <w:rFonts w:ascii="TimesLT" w:hAnsi="TimesLT"/>
        <w:sz w:val="16"/>
        <w:szCs w:val="16"/>
      </w:rPr>
      <w:t>2</w:t>
    </w:r>
    <w:r>
      <w:rPr>
        <w:rFonts w:ascii="TimesLT" w:hAnsi="TimesLT"/>
        <w:sz w:val="16"/>
        <w:szCs w:val="16"/>
      </w:rPr>
      <w:fldChar w:fldCharType="end"/>
    </w:r>
  </w:p>
  <w:p w14:paraId="2A357B7B" w14:textId="77777777">
    <w:pPr>
      <w:tabs>
        <w:tab w:val="center" w:pos="4153"/>
        <w:tab w:val="right" w:pos="8306"/>
      </w:tabs>
      <w:overflowPunct w:val="0"/>
      <w:textAlignment w:val="baseline"/>
      <w:rPr>
        <w:rFonts w:ascii="TimesLT" w:hAnsi="TimesLT"/>
        <w:sz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48EAC" w14:textId="77777777">
    <w:pPr>
      <w:tabs>
        <w:tab w:val="center" w:pos="4153"/>
        <w:tab w:val="right" w:pos="8306"/>
      </w:tabs>
      <w:overflowPunct w:val="0"/>
      <w:textAlignment w:val="baseline"/>
      <w:rPr>
        <w:rFonts w:ascii="TimesLT" w:hAnsi="TimesLT"/>
        <w:sz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765AB56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fb8c924e82b41d094f11ea0751b8cf0" PartId="f421095df68d44a1a0569cfb8e6f309a"/>
</Parts>
</file>

<file path=customXml/itemProps1.xml><?xml version="1.0" encoding="utf-8"?>
<ds:datastoreItem xmlns:ds="http://schemas.openxmlformats.org/officeDocument/2006/customXml" ds:itemID="{ABBEFED0-4AA5-424A-8BC7-0BC61174CB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635EFC-197E-4874-9802-4F541FD210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540</Words>
  <Characters>3109</Characters>
  <Application>Microsoft Office Word</Application>
  <DocSecurity>4</DocSecurity>
  <Lines>56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VALSTYBINIO SOCIALINIO DRAUDIMO FONDO</vt:lpstr>
      <vt:lpstr>LIETUVOS RESPUBLIKOS VALSTYBINIO SOCIALINIO DRAUDIMO FONDO</vt:lpstr>
    </vt:vector>
  </TitlesOfParts>
  <Company>Soc. apsaugos ir darbo min.</Company>
  <LinksUpToDate>false</LinksUpToDate>
  <CharactersWithSpaces>3622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2021-10-14T12:49:00Z</dcterms:created>
  <dc:creator>LR SADM</dc:creator>
  <lastModifiedBy>adlibuser</lastModifiedBy>
  <lastPrinted>2021-09-16T08:15:00Z</lastPrinted>
  <dcterms:modified xsi:type="dcterms:W3CDTF">2021-10-14T12:49:00Z</dcterms:modified>
  <revision>2</revision>
  <dc:title>LIETUVOS RESPUBLIKOS VALSTYBINIO SOCIALINIO DRAUDIMO FONDO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