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ecc47837f224c7496b49d07bbf17dd9"/>
        <w:lock w:val="sdtLocked"/>
        <w:richText/>
      </w:sdtPr>
      <w:sdtContent>
        <w:p>
          <w:pPr>
            <w:jc w:val="center"/>
            <w:rPr>
              <w:b/>
              <w:bCs/>
              <w:caps/>
              <w:szCs w:val="24"/>
              <w:lang w:eastAsia="lt-LT"/>
            </w:rPr>
          </w:pPr>
          <w:r>
            <w:rPr>
              <w:b/>
              <w:bCs/>
              <w:caps/>
              <w:szCs w:val="24"/>
              <w:lang w:eastAsia="lt-LT"/>
            </w:rPr>
            <w:t>AIŠKINAMASIS RAŠTAS</w:t>
          </w:r>
        </w:p>
        <w:p>
          <w:pPr>
            <w:spacing w:line="276" w:lineRule="auto"/>
            <w:jc w:val="center"/>
            <w:rPr>
              <w:b/>
              <w:szCs w:val="24"/>
              <w:lang w:eastAsia="lt-LT"/>
            </w:rPr>
          </w:pPr>
          <w:r>
            <w:rPr>
              <w:rFonts w:eastAsia="Calibri"/>
              <w:b/>
              <w:szCs w:val="24"/>
            </w:rPr>
            <w:t>DĖL VILNIAUS RAJONO SAVIVALDYBĖS TARYBOS SPRENDIMO „</w:t>
          </w:r>
          <w:r>
            <w:rPr>
              <w:b/>
              <w:szCs w:val="24"/>
              <w:lang w:eastAsia="lt-LT"/>
            </w:rPr>
            <w:t xml:space="preserve">DĖL PRITARIMO </w:t>
          </w:r>
          <w:r>
            <w:rPr>
              <w:b/>
              <w:caps/>
              <w:szCs w:val="24"/>
              <w:lang w:eastAsia="lt-LT"/>
            </w:rPr>
            <w:t>vietos projektAMS, finansuotiNIEMS pagal</w:t>
          </w:r>
          <w:r>
            <w:rPr>
              <w:b/>
              <w:szCs w:val="24"/>
              <w:lang w:eastAsia="lt-LT"/>
            </w:rPr>
            <w:t xml:space="preserve"> VIETOS PLĖTROS STRATEGIJOS „VILNIAUS RAJONO VIETOS VEIKLOS GRUPĖS 2023–2028 METŲ VIETOS PLĖTROS STRATEGIJOS“ PRIEMONĘ „STIPRESNIO, ATSPARAUS, APJUNGTO (INTEGRUOTO) IR KLESTINČIO VILNIAUS RAJONO KŪRIMAS“, JŲ FINANSAVIMUI IR ĮGALIOJIMŲ SUTEIKIMUI“ PROJEKTO</w:t>
          </w:r>
        </w:p>
        <w:p>
          <w:pPr>
            <w:rPr>
              <w:sz w:val="18"/>
              <w:szCs w:val="18"/>
            </w:rPr>
          </w:pPr>
        </w:p>
        <w:p>
          <w:pPr>
            <w:jc w:val="center"/>
            <w:rPr>
              <w:b/>
              <w:bCs/>
              <w:szCs w:val="24"/>
            </w:rPr>
          </w:pPr>
        </w:p>
        <w:p>
          <w:pPr>
            <w:ind w:right="-44"/>
            <w:jc w:val="center"/>
            <w:rPr>
              <w:szCs w:val="24"/>
            </w:rPr>
          </w:pPr>
          <w:r>
            <w:rPr>
              <w:szCs w:val="24"/>
            </w:rPr>
            <w:t>2025 m. spalio 7 d.</w:t>
          </w:r>
        </w:p>
        <w:p>
          <w:pPr>
            <w:ind w:right="-44"/>
            <w:jc w:val="center"/>
            <w:rPr>
              <w:szCs w:val="24"/>
            </w:rPr>
          </w:pPr>
          <w:r>
            <w:rPr>
              <w:szCs w:val="24"/>
            </w:rPr>
            <w:t>Vilnius</w:t>
          </w:r>
        </w:p>
        <w:p>
          <w:pPr>
            <w:ind w:right="-44"/>
            <w:rPr>
              <w:rFonts w:eastAsia="Calibri"/>
              <w:szCs w:val="24"/>
            </w:rPr>
          </w:pPr>
        </w:p>
        <w:sdt>
          <w:sdtPr>
            <w:alias w:val="1 p."/>
            <w:tag w:val="part_2deac7954d2b4beda5db54e4dc1c5b51"/>
            <w:lock w:val="sdtLocked"/>
            <w:richText/>
          </w:sdtPr>
          <w:sdtContent>
            <w:p>
              <w:pPr>
                <w:shd w:val="clear" w:color="auto" w:fill="FFFFFF"/>
                <w:tabs>
                  <w:tab w:val="left" w:pos="993"/>
                </w:tabs>
                <w:ind w:left="567"/>
                <w:jc w:val="both"/>
                <w:rPr>
                  <w:rFonts w:eastAsia="Calibri"/>
                  <w:szCs w:val="24"/>
                </w:rPr>
              </w:pPr>
              <w:sdt>
                <w:sdtPr>
                  <w:alias w:val="Numeris"/>
                  <w:tag w:val="nr_2deac7954d2b4beda5db54e4dc1c5b51"/>
                  <w:lock w:val="sdtLocked"/>
                  <w:richText/>
                </w:sdtPr>
                <w:sdtContent>
                  <w:r>
                    <w:rPr>
                      <w:rFonts w:eastAsia="Calibri"/>
                      <w:b/>
                      <w:szCs w:val="24"/>
                    </w:rPr>
                    <w:t>1</w:t>
                  </w:r>
                </w:sdtContent>
              </w:sdt>
              <w:r>
                <w:rPr>
                  <w:rFonts w:eastAsia="Calibri"/>
                  <w:b/>
                  <w:szCs w:val="24"/>
                </w:rPr>
                <w:t>.</w:t>
                <w:tab/>
                <w:t>Projekto rengimą paskatinusios priežastys, parengto projekto tikslai ir uždaviniai:</w:t>
              </w:r>
            </w:p>
            <w:p>
              <w:pPr>
                <w:shd w:val="clear" w:color="auto" w:fill="FFFFFF"/>
                <w:tabs>
                  <w:tab w:val="left" w:pos="993"/>
                </w:tabs>
                <w:ind w:firstLine="709"/>
                <w:jc w:val="both"/>
                <w:rPr>
                  <w:rFonts w:eastAsia="Calibri"/>
                  <w:szCs w:val="24"/>
                </w:rPr>
              </w:pPr>
              <w:r>
                <w:rPr>
                  <w:rFonts w:eastAsia="Calibri"/>
                  <w:szCs w:val="24"/>
                </w:rPr>
                <w:t xml:space="preserve">Siekiama gauti ES finansavimą šiems Vilniaus rajono savivaldybės </w:t>
              </w:r>
              <w:r>
                <w:rPr>
                  <w:rFonts w:eastAsia="Calibri"/>
                  <w:szCs w:val="24"/>
                  <w:lang w:val="x-none"/>
                </w:rPr>
                <w:t xml:space="preserve">administracijos inicijuojamiems vietos projektams: </w:t>
              </w:r>
              <w:r>
                <w:rPr>
                  <w:rFonts w:eastAsia="Calibri"/>
                  <w:bCs/>
                  <w:iCs/>
                  <w:szCs w:val="24"/>
                  <w:lang w:val="x-none"/>
                </w:rPr>
                <w:t xml:space="preserve">„Zujūnų sporto aikštelės atnaujinimas ir modernizavimas“, „Kasmiškių kultūros paskirties pastato atnaujinimas ir modernizavimas, siekiant pritaikyti jį bendruomeninei veiklai“ (toliau –  Vietos projektai). Projektus planuojama įgyvendinti pagal </w:t>
              </w:r>
              <w:r>
                <w:rPr>
                  <w:rFonts w:eastAsia="Calibri"/>
                  <w:szCs w:val="24"/>
                  <w:lang w:val="x-none"/>
                </w:rPr>
                <w:t>Vilniaus rajono vietos veiklos grupės 2023–2028 metų vietos plėtros strategijos priemonę „Stipresnio, atsparaus, apjungto (integruoto) ir klestinčio Vilniaus rajono kūrimas“</w:t>
              </w:r>
              <w:r>
                <w:rPr>
                  <w:rFonts w:eastAsia="Calibri"/>
                  <w:szCs w:val="24"/>
                </w:rPr>
                <w:t>. Didžiausia galima parama vienam projektui 200 000,00 Eurų.</w:t>
              </w:r>
            </w:p>
            <w:p>
              <w:pPr>
                <w:shd w:val="clear" w:color="auto" w:fill="FFFFFF"/>
                <w:tabs>
                  <w:tab w:val="left" w:pos="993"/>
                </w:tabs>
                <w:ind w:firstLine="709"/>
                <w:jc w:val="both"/>
                <w:rPr>
                  <w:rFonts w:eastAsia="Calibri"/>
                  <w:bCs/>
                  <w:iCs/>
                  <w:szCs w:val="24"/>
                  <w:lang w:val="x-none"/>
                </w:rPr>
              </w:pPr>
              <w:r>
                <w:rPr>
                  <w:rFonts w:eastAsia="Calibri"/>
                  <w:szCs w:val="24"/>
                </w:rPr>
                <w:t xml:space="preserve">Projektų lėšomis planuojama sukurti du vietos gyventojų poreikius atliepiančios infrastruktūros objektus, vieną – Zujūnų seniūnijos Zujūnų kaime, kitą – Sudervės seniūnijos Kasmiškių kaime. </w:t>
              </w:r>
              <w:r>
                <w:rPr>
                  <w:rFonts w:eastAsia="Calibri"/>
                  <w:szCs w:val="24"/>
                  <w:lang w:val="x-none"/>
                </w:rPr>
                <w:t xml:space="preserve">Vykdant Vietos projekto </w:t>
              </w:r>
              <w:r>
                <w:rPr>
                  <w:rFonts w:eastAsia="Calibri"/>
                  <w:bCs/>
                  <w:iCs/>
                  <w:szCs w:val="24"/>
                  <w:lang w:val="x-none"/>
                </w:rPr>
                <w:t xml:space="preserve">„Zujūnų sporto aikštelės atnaujinimas ir modernizavimas“ </w:t>
              </w:r>
              <w:r>
                <w:rPr>
                  <w:rFonts w:eastAsia="Calibri"/>
                  <w:szCs w:val="24"/>
                  <w:lang w:val="x-none"/>
                </w:rPr>
                <w:t xml:space="preserve">veiklas </w:t>
              </w:r>
              <w:r>
                <w:rPr>
                  <w:rFonts w:eastAsia="Calibri"/>
                  <w:bCs/>
                  <w:iCs/>
                  <w:szCs w:val="24"/>
                  <w:lang w:val="x-none"/>
                </w:rPr>
                <w:t>yra numatyta įrengti rekreacines ir sporto erdves, atnaujinti esamą sporto aikštelę, įrengti futbolo aikštę, sutvarkyti aplinką bei įrengti apšvietimą. Preliminari investicijų vertė apie 0,7 mln. Eur.</w:t>
              </w:r>
            </w:p>
            <w:p>
              <w:pPr>
                <w:shd w:val="clear" w:color="auto" w:fill="FFFFFF"/>
                <w:tabs>
                  <w:tab w:val="left" w:pos="993"/>
                </w:tabs>
                <w:ind w:firstLine="709"/>
                <w:jc w:val="both"/>
                <w:rPr>
                  <w:rFonts w:eastAsia="Calibri"/>
                  <w:bCs/>
                  <w:iCs/>
                  <w:szCs w:val="24"/>
                  <w:lang w:val="x-none"/>
                </w:rPr>
              </w:pPr>
              <w:r>
                <w:rPr>
                  <w:rFonts w:eastAsia="Calibri"/>
                  <w:szCs w:val="24"/>
                </w:rPr>
                <w:t xml:space="preserve">Vietos projekto </w:t>
              </w:r>
              <w:r>
                <w:rPr>
                  <w:rFonts w:eastAsia="Calibri"/>
                  <w:bCs/>
                  <w:iCs/>
                  <w:szCs w:val="24"/>
                  <w:lang w:val="x-none"/>
                </w:rPr>
                <w:t xml:space="preserve">„Kasmiškių kultūros paskirties pastato atnaujinimas ir modernizavimas, siekiant pritaikyti jį bendruomeninei veiklai“ lėšomis numatoma rekonstruoti seną nenaudojamą buvusios šokių salės pastatą, siekiant jį pritaikyti vietos bendruomenės veiklai vykdyti ir plėtoti. Rekonstruotame pastate </w:t>
              </w:r>
              <w:r>
                <w:rPr>
                  <w:rFonts w:eastAsia="Calibri"/>
                  <w:bCs/>
                  <w:iCs/>
                  <w:szCs w:val="24"/>
                  <w:lang w:val="pl-PL"/>
                </w:rPr>
                <w:t xml:space="preserve">planuojama </w:t>
              </w:r>
              <w:r>
                <w:rPr>
                  <w:rFonts w:eastAsia="Calibri"/>
                  <w:bCs/>
                  <w:iCs/>
                  <w:szCs w:val="24"/>
                </w:rPr>
                <w:t>įrengti renginių salę, virtuvėlę, patalpas bibliotekai, administracijai</w:t>
              </w:r>
              <w:r>
                <w:rPr>
                  <w:rFonts w:eastAsia="Calibri"/>
                  <w:bCs/>
                  <w:iCs/>
                  <w:szCs w:val="24"/>
                  <w:lang w:val="pl-PL"/>
                </w:rPr>
                <w:t xml:space="preserve"> bei prie rekonstruojamo statinio sutvarkyti aplinką, įrengti renginių po atviru dangumi erdvę bei vaikų žaidimo aikštelę. </w:t>
              </w:r>
              <w:r>
                <w:rPr>
                  <w:rFonts w:eastAsia="Calibri"/>
                  <w:bCs/>
                  <w:iCs/>
                  <w:szCs w:val="24"/>
                  <w:lang w:val="x-none"/>
                </w:rPr>
                <w:t>Preliminari investicijų vertė apie 1 mln. Eur.</w:t>
              </w:r>
            </w:p>
            <w:p>
              <w:pPr>
                <w:shd w:val="clear" w:color="auto" w:fill="FFFFFF"/>
                <w:tabs>
                  <w:tab w:val="left" w:pos="993"/>
                </w:tabs>
                <w:ind w:firstLine="709"/>
                <w:jc w:val="both"/>
                <w:rPr>
                  <w:rFonts w:eastAsia="Calibri"/>
                  <w:szCs w:val="24"/>
                  <w:lang w:val="pl-PL"/>
                </w:rPr>
              </w:pPr>
              <w:r>
                <w:rPr>
                  <w:rFonts w:eastAsia="Calibri"/>
                  <w:szCs w:val="24"/>
                </w:rPr>
                <w:t>Vietos</w:t>
              </w:r>
              <w:r>
                <w:rPr>
                  <w:rFonts w:eastAsia="Calibri"/>
                  <w:szCs w:val="24"/>
                  <w:lang w:val="x-none"/>
                </w:rPr>
                <w:t xml:space="preserve"> projektų rezultatai prisidės prie gyvenimo kokybės gerinimo keliose Vilniaus rajono savivaldybės seniūnijų kaimiškose vietovėse, nes vykdant Vietos projektų veiklas bus tvarkomos, įrengiamos viešosios erdvės ir infrastruktūra, siekiant kurti vietos gyventojų poreikius atitinkančią, gyvenimui ir laisvalaikiui saugią, patrauklią ir patogią gyvenamąją aplinką.</w:t>
              </w:r>
            </w:p>
            <w:p>
              <w:pPr>
                <w:tabs>
                  <w:tab w:val="left" w:pos="993"/>
                </w:tabs>
                <w:jc w:val="both"/>
                <w:rPr>
                  <w:rFonts w:eastAsia="Calibri"/>
                  <w:bCs/>
                  <w:szCs w:val="24"/>
                </w:rPr>
              </w:pPr>
            </w:p>
            <w:p>
              <w:pPr>
                <w:rPr>
                  <w:sz w:val="10"/>
                  <w:szCs w:val="10"/>
                </w:rPr>
              </w:pPr>
            </w:p>
          </w:sdtContent>
        </w:sdt>
        <w:sdt>
          <w:sdtPr>
            <w:alias w:val="2 p."/>
            <w:tag w:val="part_5907c89e66894856959b7d6d0fb85b30"/>
            <w:lock w:val="sdtLocked"/>
            <w:richText/>
          </w:sdtPr>
          <w:sdtContent>
            <w:p>
              <w:pPr>
                <w:shd w:val="clear" w:color="auto" w:fill="FFFFFF"/>
                <w:tabs>
                  <w:tab w:val="left" w:pos="993"/>
                </w:tabs>
                <w:ind w:left="1069" w:hanging="360"/>
                <w:jc w:val="both"/>
                <w:rPr>
                  <w:rFonts w:eastAsia="Calibri"/>
                  <w:szCs w:val="24"/>
                </w:rPr>
              </w:pPr>
              <w:sdt>
                <w:sdtPr>
                  <w:alias w:val="Numeris"/>
                  <w:tag w:val="nr_5907c89e66894856959b7d6d0fb85b30"/>
                  <w:lock w:val="sdtLocked"/>
                  <w:richText/>
                </w:sdtPr>
                <w:sdtContent>
                  <w:r>
                    <w:rPr>
                      <w:rFonts w:eastAsia="Calibri"/>
                      <w:b/>
                      <w:szCs w:val="24"/>
                    </w:rPr>
                    <w:t>2</w:t>
                  </w:r>
                </w:sdtContent>
              </w:sdt>
              <w:r>
                <w:rPr>
                  <w:rFonts w:eastAsia="Calibri"/>
                  <w:b/>
                  <w:szCs w:val="24"/>
                </w:rPr>
                <w:t>.</w:t>
                <w:tab/>
              </w:r>
              <w:r>
                <w:rPr>
                  <w:rFonts w:eastAsia="Calibri"/>
                  <w:b/>
                  <w:bCs/>
                  <w:szCs w:val="24"/>
                </w:rPr>
                <w:t>Kaip šiuo metu yra reguliuojami projekte aptarti teisiniai santykiai:</w:t>
              </w:r>
            </w:p>
            <w:p>
              <w:pPr>
                <w:ind w:firstLine="709"/>
                <w:jc w:val="both"/>
                <w:rPr>
                  <w:rFonts w:eastAsia="Calibri"/>
                  <w:szCs w:val="24"/>
                </w:rPr>
              </w:pPr>
              <w:r>
                <w:rPr>
                  <w:rFonts w:eastAsia="Calibri"/>
                  <w:szCs w:val="24"/>
                </w:rPr>
                <w:t>Vietos savivaldos įstatymo 6 straipsnyje nustatytos savarankiškosios savivaldybių funkcijos, iš jų 13 punkte: „</w:t>
              </w:r>
              <w:r>
                <w:rPr>
                  <w:rFonts w:eastAsia="Calibri"/>
                  <w:i/>
                  <w:iCs/>
                  <w:szCs w:val="24"/>
                </w:rPr>
                <w:t>gyventojų kultūros ugdymas ir etninės kultūros puoselėjimas (dalyvavimas kultūros projektuose ir (ar) jų finansavimas, kultūros įstaigų steigimas, reorganizavimas, pertvarkymas, likvidavimas ir jų veiklos priežiūra)</w:t>
              </w:r>
              <w:r>
                <w:rPr>
                  <w:rFonts w:eastAsia="Calibri"/>
                  <w:szCs w:val="24"/>
                </w:rPr>
                <w:t>“ ir 29 punkte: „</w:t>
              </w:r>
              <w:r>
                <w:rPr>
                  <w:rFonts w:eastAsia="Calibri"/>
                  <w:i/>
                  <w:iCs/>
                  <w:szCs w:val="24"/>
                </w:rPr>
                <w:t>kūno kultūros ir sporto plėtojimas, gyventojų poilsio organizavimas</w:t>
              </w:r>
              <w:r>
                <w:rPr>
                  <w:rFonts w:eastAsia="Calibri"/>
                  <w:szCs w:val="24"/>
                </w:rPr>
                <w:t>“.</w:t>
              </w:r>
            </w:p>
            <w:p>
              <w:pPr>
                <w:ind w:firstLine="709"/>
                <w:jc w:val="both"/>
                <w:rPr>
                  <w:rFonts w:eastAsia="Calibri"/>
                  <w:szCs w:val="24"/>
                </w:rPr>
              </w:pPr>
              <w:r>
                <w:rPr>
                  <w:rFonts w:eastAsia="Calibri"/>
                  <w:szCs w:val="24"/>
                </w:rPr>
                <w:t>Vietos projektai, kuriems prašoma pritarti, prisidės prie Vilniaus rajono vietos veiklos grupės 2023–2028 metų vietos plėtros strategijos, patvirtintos Lietuvos Respublikos ūkio ministro 2023 m. spalio 24 d. įsakymu Nr. 3D-696 „Dėl Vietos plėtros strategijų, kurioms skiriama parama pagal Lietuvos žemės ūkio ir kaimo plėtros 2023–2027 metų strateginio plano priemonę „Bendruomenių inicijuota vietos plėtra (LEADER), sąrašo patvirtinimo“, įgyvendinimo. Vietos projektai taip pat atitinka Vietos projektų, įgyvendinamų bendruomenių inicijuotos vietos plėtros būdu, administravimo taisyklėse, patvirtintose Lietuvos Respublikos ūkio ministro 2023 m. rugpjūčio 4 d. įsakymu Nr. 3D-528 „Dėl Vietos projektų, įgyvendinamų bendruomenių inicijuotos vietos plėtros būdu, administravimo taisyklių patvirtinimo“, Vietos projektams keliamus reikalavimus.</w:t>
              </w:r>
            </w:p>
            <w:p>
              <w:pPr>
                <w:ind w:right="-45" w:firstLine="851"/>
                <w:jc w:val="both"/>
                <w:rPr>
                  <w:rFonts w:eastAsia="Calibri"/>
                  <w:szCs w:val="24"/>
                </w:rPr>
              </w:pPr>
            </w:p>
            <w:p>
              <w:pPr>
                <w:rPr>
                  <w:sz w:val="10"/>
                  <w:szCs w:val="10"/>
                </w:rPr>
              </w:pPr>
            </w:p>
          </w:sdtContent>
        </w:sdt>
        <w:sdt>
          <w:sdtPr>
            <w:alias w:val="3 p."/>
            <w:tag w:val="part_84f03148c6544724bfee41c660ac7b56"/>
            <w:lock w:val="sdtLocked"/>
            <w:richText/>
          </w:sdtPr>
          <w:sdtContent>
            <w:p>
              <w:pPr>
                <w:tabs>
                  <w:tab w:val="left" w:pos="709"/>
                  <w:tab w:val="left" w:pos="993"/>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069" w:hanging="360"/>
                <w:jc w:val="both"/>
                <w:rPr>
                  <w:rFonts w:eastAsia="Calibri"/>
                  <w:szCs w:val="24"/>
                  <w:lang w:eastAsia="lt-LT"/>
                </w:rPr>
              </w:pPr>
              <w:sdt>
                <w:sdtPr>
                  <w:alias w:val="Numeris"/>
                  <w:tag w:val="nr_84f03148c6544724bfee41c660ac7b56"/>
                  <w:lock w:val="sdtLocked"/>
                  <w:richText/>
                </w:sdtPr>
                <w:sdtContent>
                  <w:r>
                    <w:rPr>
                      <w:rFonts w:eastAsia="Calibri"/>
                      <w:b/>
                      <w:szCs w:val="24"/>
                      <w:lang w:eastAsia="lt-LT"/>
                    </w:rPr>
                    <w:t>3</w:t>
                  </w:r>
                </w:sdtContent>
              </w:sdt>
              <w:r>
                <w:rPr>
                  <w:rFonts w:eastAsia="Calibri"/>
                  <w:b/>
                  <w:szCs w:val="24"/>
                  <w:lang w:eastAsia="lt-LT"/>
                </w:rPr>
                <w:t>.</w:t>
                <w:tab/>
              </w:r>
              <w:r>
                <w:rPr>
                  <w:rFonts w:eastAsia="Calibri"/>
                  <w:b/>
                  <w:bCs/>
                  <w:szCs w:val="24"/>
                  <w:lang w:eastAsia="lt-LT"/>
                </w:rPr>
                <w:t>Siūlomos naujos teisinio reguliavimo nuostatos ir kokių teigiamų rezultatų laukiama:</w:t>
              </w:r>
            </w:p>
            <w:p>
              <w:pPr>
                <w:rPr>
                  <w:sz w:val="10"/>
                  <w:szCs w:val="10"/>
                </w:rPr>
              </w:pPr>
            </w:p>
            <w:p>
              <w:pPr>
                <w:shd w:val="clear" w:color="auto" w:fill="FFFFFF"/>
                <w:tabs>
                  <w:tab w:val="left" w:pos="709"/>
                </w:tabs>
                <w:ind w:firstLine="709"/>
                <w:jc w:val="both"/>
                <w:rPr>
                  <w:rFonts w:eastAsia="Calibri"/>
                  <w:b/>
                  <w:bCs/>
                  <w:szCs w:val="24"/>
                </w:rPr>
              </w:pPr>
              <w:r>
                <w:rPr>
                  <w:rFonts w:eastAsia="Calibri"/>
                  <w:szCs w:val="24"/>
                </w:rPr>
                <w:t>Teikiamas Tarybos sprendimo projektas neprieštarauja Lietuvos Respublikos vietos savivaldos įstatymo nuostatoms. Sprendimo projektas neturi įtakos korupcijai Savivaldybėje pasireikšti.</w:t>
              </w:r>
            </w:p>
            <w:p>
              <w:pPr>
                <w:tabs>
                  <w:tab w:val="left" w:pos="916"/>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szCs w:val="24"/>
                  <w:lang w:eastAsia="lt-LT"/>
                </w:rPr>
              </w:pPr>
              <w:r>
                <w:rPr>
                  <w:rFonts w:eastAsia="Calibri"/>
                  <w:szCs w:val="24"/>
                  <w:lang w:eastAsia="lt-LT"/>
                </w:rPr>
                <w:t>Sprendimo projektu naujų teisinio reguliavimo nuostatų nesiūloma.</w:t>
              </w:r>
            </w:p>
            <w:p>
              <w:pPr>
                <w:rPr>
                  <w:sz w:val="10"/>
                  <w:szCs w:val="10"/>
                </w:rPr>
              </w:pPr>
            </w:p>
            <w:p>
              <w:pPr>
                <w:tabs>
                  <w:tab w:val="left" w:pos="916"/>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szCs w:val="24"/>
                  <w:lang w:eastAsia="lt-LT"/>
                </w:rPr>
              </w:pPr>
            </w:p>
            <w:p>
              <w:pPr>
                <w:rPr>
                  <w:sz w:val="10"/>
                  <w:szCs w:val="10"/>
                </w:rPr>
              </w:pPr>
            </w:p>
          </w:sdtContent>
        </w:sdt>
        <w:sdt>
          <w:sdtPr>
            <w:alias w:val="4 p."/>
            <w:tag w:val="part_a123590a2f1a45f8b336ddacc4aa70cd"/>
            <w:lock w:val="sdtLocked"/>
            <w:richText/>
          </w:sdtPr>
          <w:sdtContent>
            <w:p>
              <w:pPr>
                <w:tabs>
                  <w:tab w:val="left" w:pos="709"/>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szCs w:val="24"/>
                  <w:lang w:eastAsia="lt-LT"/>
                </w:rPr>
              </w:pPr>
              <w:sdt>
                <w:sdtPr>
                  <w:alias w:val="Numeris"/>
                  <w:tag w:val="nr_a123590a2f1a45f8b336ddacc4aa70cd"/>
                  <w:lock w:val="sdtLocked"/>
                  <w:richText/>
                </w:sdtPr>
                <w:sdtContent>
                  <w:r>
                    <w:rPr>
                      <w:rFonts w:eastAsia="Calibri"/>
                      <w:b/>
                      <w:szCs w:val="24"/>
                      <w:lang w:eastAsia="lt-LT"/>
                    </w:rPr>
                    <w:t>4</w:t>
                  </w:r>
                </w:sdtContent>
              </w:sdt>
              <w:r>
                <w:rPr>
                  <w:rFonts w:eastAsia="Calibri"/>
                  <w:b/>
                  <w:szCs w:val="24"/>
                  <w:lang w:eastAsia="lt-LT"/>
                </w:rPr>
                <w:t>.</w:t>
                <w:tab/>
              </w:r>
              <w:r>
                <w:rPr>
                  <w:rFonts w:eastAsia="Calibri"/>
                  <w:b/>
                  <w:szCs w:val="24"/>
                </w:rPr>
                <w:t>Galimos neigiamos priimto sprendimo pasekmės ir kokių priemonių reikėtų imtis, kad tokių pasekmių būtų išvengta</w:t>
              </w:r>
              <w:r>
                <w:rPr>
                  <w:rFonts w:eastAsia="Calibri"/>
                  <w:b/>
                  <w:bCs/>
                  <w:szCs w:val="24"/>
                  <w:lang w:eastAsia="lt-LT"/>
                </w:rPr>
                <w:t>:</w:t>
              </w:r>
            </w:p>
            <w:p>
              <w:pPr>
                <w:rPr>
                  <w:sz w:val="10"/>
                  <w:szCs w:val="10"/>
                </w:rPr>
              </w:pPr>
            </w:p>
            <w:p>
              <w:pPr>
                <w:tabs>
                  <w:tab w:val="left" w:pos="1134"/>
                  <w:tab w:val="left" w:pos="1418"/>
                </w:tabs>
                <w:ind w:firstLine="709"/>
                <w:jc w:val="both"/>
                <w:rPr>
                  <w:rFonts w:eastAsia="Calibri"/>
                  <w:szCs w:val="24"/>
                </w:rPr>
              </w:pPr>
              <w:r>
                <w:rPr>
                  <w:rFonts w:eastAsia="Calibri"/>
                  <w:bCs/>
                  <w:szCs w:val="24"/>
                  <w:lang w:eastAsia="lt-LT"/>
                </w:rPr>
                <w:t xml:space="preserve">Priėmus sprendimą, </w:t>
              </w:r>
              <w:r>
                <w:rPr>
                  <w:rFonts w:eastAsia="Calibri"/>
                  <w:szCs w:val="24"/>
                </w:rPr>
                <w:t>neigiamų pasekmių nenumatoma.</w:t>
              </w:r>
            </w:p>
            <w:p>
              <w:pPr>
                <w:rPr>
                  <w:sz w:val="10"/>
                  <w:szCs w:val="10"/>
                </w:rPr>
              </w:pPr>
            </w:p>
            <w:p>
              <w:pPr>
                <w:tabs>
                  <w:tab w:val="left" w:pos="993"/>
                  <w:tab w:val="left" w:pos="1418"/>
                </w:tabs>
                <w:ind w:left="709"/>
                <w:jc w:val="both"/>
                <w:rPr>
                  <w:rFonts w:eastAsia="Calibri"/>
                  <w:szCs w:val="24"/>
                </w:rPr>
              </w:pPr>
            </w:p>
          </w:sdtContent>
        </w:sdt>
        <w:sdt>
          <w:sdtPr>
            <w:alias w:val="5 p."/>
            <w:tag w:val="part_f5489aa4b350416aae17227a065a8b65"/>
            <w:lock w:val="sdtLocked"/>
            <w:richText/>
          </w:sdtPr>
          <w:sdtContent>
            <w:p>
              <w:pPr>
                <w:tabs>
                  <w:tab w:val="left" w:pos="993"/>
                  <w:tab w:val="left" w:pos="1418"/>
                </w:tabs>
                <w:ind w:left="1069" w:hanging="360"/>
                <w:jc w:val="both"/>
                <w:rPr>
                  <w:rFonts w:eastAsia="Calibri"/>
                  <w:szCs w:val="24"/>
                </w:rPr>
              </w:pPr>
              <w:sdt>
                <w:sdtPr>
                  <w:alias w:val="Numeris"/>
                  <w:tag w:val="nr_f5489aa4b350416aae17227a065a8b65"/>
                  <w:lock w:val="sdtLocked"/>
                  <w:richText/>
                </w:sdtPr>
                <w:sdtContent>
                  <w:r>
                    <w:rPr>
                      <w:rFonts w:eastAsia="Calibri"/>
                      <w:b/>
                      <w:szCs w:val="24"/>
                    </w:rPr>
                    <w:t>5</w:t>
                  </w:r>
                </w:sdtContent>
              </w:sdt>
              <w:r>
                <w:rPr>
                  <w:rFonts w:eastAsia="Calibri"/>
                  <w:b/>
                  <w:szCs w:val="24"/>
                </w:rPr>
                <w:t>.</w:t>
                <w:tab/>
              </w:r>
              <w:r>
                <w:rPr>
                  <w:rFonts w:eastAsia="Calibri"/>
                  <w:b/>
                  <w:bCs/>
                  <w:szCs w:val="24"/>
                </w:rPr>
                <w:t>Lėšų poreikis ir šaltinis</w:t>
              </w:r>
              <w:r>
                <w:rPr>
                  <w:rFonts w:eastAsia="Calibri"/>
                  <w:b/>
                  <w:bCs/>
                  <w:szCs w:val="24"/>
                  <w:lang w:eastAsia="lt-LT"/>
                </w:rPr>
                <w:t>:</w:t>
              </w:r>
            </w:p>
            <w:p>
              <w:pPr>
                <w:ind w:firstLine="709"/>
                <w:jc w:val="both"/>
                <w:rPr>
                  <w:rFonts w:eastAsia="Calibri"/>
                  <w:szCs w:val="24"/>
                  <w:lang w:eastAsia="lt-LT"/>
                </w:rPr>
              </w:pPr>
              <w:r>
                <w:rPr>
                  <w:rFonts w:eastAsia="Calibri" w:cs="Calibri"/>
                  <w:bCs/>
                  <w:iCs/>
                  <w:szCs w:val="24"/>
                  <w:lang w:eastAsia="lt-LT"/>
                </w:rPr>
                <w:t xml:space="preserve">Preliminari </w:t>
              </w:r>
              <w:r>
                <w:rPr>
                  <w:rFonts w:eastAsia="Calibri" w:cs="Calibri"/>
                  <w:szCs w:val="24"/>
                  <w:lang w:eastAsia="lt-LT"/>
                </w:rPr>
                <w:t xml:space="preserve">Vietos projekto </w:t>
              </w:r>
              <w:r>
                <w:rPr>
                  <w:rFonts w:eastAsia="Calibri"/>
                  <w:bCs/>
                  <w:iCs/>
                  <w:szCs w:val="24"/>
                  <w:lang w:eastAsia="lt-LT"/>
                </w:rPr>
                <w:t>„Zujūnų sporto aikštelės atnaujinimas ir modernizavimas“</w:t>
              </w:r>
              <w:r>
                <w:rPr>
                  <w:rFonts w:eastAsia="Calibri" w:cs="Calibri"/>
                  <w:bCs/>
                  <w:iCs/>
                  <w:szCs w:val="24"/>
                  <w:lang w:eastAsia="lt-LT"/>
                </w:rPr>
                <w:t xml:space="preserve"> vertė apie 0,7 mln. Eur, </w:t>
              </w:r>
              <w:r>
                <w:rPr>
                  <w:rFonts w:eastAsia="Calibri"/>
                  <w:bCs/>
                  <w:iCs/>
                  <w:szCs w:val="24"/>
                  <w:lang w:eastAsia="lt-LT"/>
                </w:rPr>
                <w:t xml:space="preserve">„Kasmiškių kultūros paskirties pastato atnaujinimas ir modernizavimas, siekiant pritaikyti jį bendruomeninei veiklai“ – 1 mln. Eurų. Didžiausia galima paramos suma vienam Vietos projektui įgyvendinti yra iki 200 000,00 Eur neviršijant paramos Vietos projektui įgyvendinti lyginamosios dalies, kuri negali viršyti 40 proc. Vietos projekto vertės. Likusios Vietos projektų išlaidos finansuojamos </w:t>
              </w:r>
              <w:r>
                <w:rPr>
                  <w:rFonts w:eastAsia="Calibri"/>
                  <w:szCs w:val="24"/>
                  <w:lang w:eastAsia="lt-LT"/>
                </w:rPr>
                <w:t>savivaldybės biudžeto lėšomis.</w:t>
              </w:r>
            </w:p>
            <w:p>
              <w:pPr>
                <w:rPr>
                  <w:sz w:val="10"/>
                  <w:szCs w:val="10"/>
                </w:rPr>
              </w:pPr>
            </w:p>
            <w:p>
              <w:pPr>
                <w:tabs>
                  <w:tab w:val="left" w:pos="1134"/>
                  <w:tab w:val="left" w:pos="1418"/>
                </w:tabs>
                <w:ind w:left="709"/>
                <w:jc w:val="both"/>
                <w:rPr>
                  <w:rFonts w:eastAsia="Calibri"/>
                  <w:szCs w:val="24"/>
                </w:rPr>
              </w:pPr>
            </w:p>
          </w:sdtContent>
        </w:sdt>
        <w:sdt>
          <w:sdtPr>
            <w:alias w:val="6 p."/>
            <w:tag w:val="part_828ae6773ba84fc0975c48fc7bcc2f11"/>
            <w:lock w:val="sdtLocked"/>
            <w:richText/>
          </w:sdtPr>
          <w:sdtContent>
            <w:p>
              <w:pPr>
                <w:tabs>
                  <w:tab w:val="left" w:pos="993"/>
                  <w:tab w:val="left" w:pos="1418"/>
                </w:tabs>
                <w:ind w:left="1069" w:hanging="360"/>
                <w:jc w:val="both"/>
                <w:rPr>
                  <w:rFonts w:eastAsia="Calibri"/>
                  <w:szCs w:val="24"/>
                </w:rPr>
              </w:pPr>
              <w:sdt>
                <w:sdtPr>
                  <w:alias w:val="Numeris"/>
                  <w:tag w:val="nr_828ae6773ba84fc0975c48fc7bcc2f11"/>
                  <w:lock w:val="sdtLocked"/>
                  <w:richText/>
                </w:sdtPr>
                <w:sdtContent>
                  <w:r>
                    <w:rPr>
                      <w:rFonts w:eastAsia="Calibri"/>
                      <w:b/>
                      <w:szCs w:val="24"/>
                    </w:rPr>
                    <w:t>6</w:t>
                  </w:r>
                </w:sdtContent>
              </w:sdt>
              <w:r>
                <w:rPr>
                  <w:rFonts w:eastAsia="Calibri"/>
                  <w:b/>
                  <w:szCs w:val="24"/>
                </w:rPr>
                <w:t>.</w:t>
                <w:tab/>
                <w:t>Projekto rengimo metu gauti specialistų vertinimai ir išvados:</w:t>
              </w:r>
            </w:p>
            <w:p>
              <w:pPr>
                <w:ind w:firstLine="709"/>
                <w:jc w:val="both"/>
                <w:rPr>
                  <w:rFonts w:eastAsia="Calibri"/>
                  <w:szCs w:val="24"/>
                </w:rPr>
              </w:pPr>
              <w:r>
                <w:rPr>
                  <w:rFonts w:eastAsia="Calibri"/>
                  <w:szCs w:val="24"/>
                </w:rPr>
                <w:t>Sprendimo projekto rengimo metu specialistų vertinimų ir išvadų nebuvo gauta.</w:t>
              </w:r>
            </w:p>
            <w:p>
              <w:pPr>
                <w:rPr>
                  <w:sz w:val="10"/>
                  <w:szCs w:val="10"/>
                </w:rPr>
              </w:pPr>
            </w:p>
            <w:p>
              <w:pPr>
                <w:ind w:firstLine="709"/>
                <w:jc w:val="both"/>
                <w:rPr>
                  <w:rFonts w:eastAsia="Calibri"/>
                  <w:szCs w:val="24"/>
                </w:rPr>
              </w:pPr>
            </w:p>
            <w:p>
              <w:pPr>
                <w:rPr>
                  <w:sz w:val="10"/>
                  <w:szCs w:val="10"/>
                </w:rPr>
              </w:pPr>
            </w:p>
          </w:sdtContent>
        </w:sdt>
        <w:sdt>
          <w:sdtPr>
            <w:alias w:val="7 p."/>
            <w:tag w:val="part_fa678969289f4589af56a349d0ebd641"/>
            <w:lock w:val="sdtLocked"/>
            <w:richText/>
          </w:sdtPr>
          <w:sdtContent>
            <w:p>
              <w:pPr>
                <w:ind w:left="993" w:hanging="284"/>
                <w:jc w:val="both"/>
                <w:rPr>
                  <w:rFonts w:eastAsia="Calibri"/>
                  <w:szCs w:val="24"/>
                </w:rPr>
              </w:pPr>
              <w:sdt>
                <w:sdtPr>
                  <w:alias w:val="Numeris"/>
                  <w:tag w:val="nr_fa678969289f4589af56a349d0ebd641"/>
                  <w:lock w:val="sdtLocked"/>
                  <w:richText/>
                </w:sdtPr>
                <w:sdtContent>
                  <w:r>
                    <w:rPr>
                      <w:rFonts w:eastAsia="Calibri"/>
                      <w:b/>
                      <w:szCs w:val="24"/>
                    </w:rPr>
                    <w:t>7</w:t>
                  </w:r>
                </w:sdtContent>
              </w:sdt>
              <w:r>
                <w:rPr>
                  <w:rFonts w:eastAsia="Calibri"/>
                  <w:b/>
                  <w:szCs w:val="24"/>
                </w:rPr>
                <w:t>.</w:t>
                <w:tab/>
              </w:r>
              <w:r>
                <w:rPr>
                  <w:rFonts w:eastAsia="Calibri"/>
                  <w:b/>
                  <w:szCs w:val="24"/>
                  <w:lang w:eastAsia="lt-LT"/>
                </w:rPr>
                <w:t>Kiti pagrindimai, skaičiavimai ar paaiškinimai:</w:t>
              </w:r>
            </w:p>
            <w:p>
              <w:pPr>
                <w:tabs>
                  <w:tab w:val="left" w:pos="1134"/>
                  <w:tab w:val="left" w:pos="1418"/>
                </w:tabs>
                <w:ind w:firstLine="709"/>
                <w:jc w:val="both"/>
                <w:rPr>
                  <w:rFonts w:eastAsia="Calibri"/>
                  <w:bCs/>
                  <w:szCs w:val="24"/>
                  <w:lang w:val="x-none"/>
                </w:rPr>
              </w:pPr>
              <w:r>
                <w:rPr>
                  <w:rFonts w:eastAsia="Calibri"/>
                  <w:bCs/>
                  <w:szCs w:val="24"/>
                  <w:lang w:val="x-none"/>
                </w:rPr>
                <w:t>Sprendimo projektas neprieštarauja Lietuvos Respublikoje galiojantiems teisės aktams.</w:t>
              </w:r>
            </w:p>
            <w:p>
              <w:pPr>
                <w:rPr>
                  <w:sz w:val="10"/>
                  <w:szCs w:val="10"/>
                </w:rPr>
              </w:pPr>
            </w:p>
            <w:p>
              <w:pPr>
                <w:tabs>
                  <w:tab w:val="left" w:pos="1134"/>
                  <w:tab w:val="left" w:pos="1418"/>
                </w:tabs>
                <w:ind w:firstLine="851"/>
                <w:jc w:val="both"/>
                <w:rPr>
                  <w:rFonts w:eastAsia="Calibri"/>
                  <w:bCs/>
                  <w:szCs w:val="24"/>
                  <w:lang w:val="x-none"/>
                </w:rPr>
              </w:pPr>
            </w:p>
            <w:p>
              <w:pPr>
                <w:rPr>
                  <w:sz w:val="10"/>
                  <w:szCs w:val="10"/>
                </w:rPr>
              </w:pPr>
            </w:p>
          </w:sdtContent>
        </w:sdt>
        <w:sdt>
          <w:sdtPr>
            <w:alias w:val="8 p."/>
            <w:tag w:val="part_b110fc1724b24f69882b008c965f9d45"/>
            <w:lock w:val="sdtLocked"/>
            <w:richText/>
          </w:sdtPr>
          <w:sdtContent>
            <w:p>
              <w:pPr>
                <w:tabs>
                  <w:tab w:val="left" w:pos="993"/>
                  <w:tab w:val="left" w:pos="1418"/>
                </w:tabs>
                <w:ind w:left="1069" w:hanging="360"/>
                <w:jc w:val="both"/>
                <w:rPr>
                  <w:rFonts w:eastAsia="Calibri"/>
                  <w:szCs w:val="24"/>
                </w:rPr>
              </w:pPr>
              <w:sdt>
                <w:sdtPr>
                  <w:alias w:val="Numeris"/>
                  <w:tag w:val="nr_b110fc1724b24f69882b008c965f9d45"/>
                  <w:lock w:val="sdtLocked"/>
                  <w:richText/>
                </w:sdtPr>
                <w:sdtContent>
                  <w:r>
                    <w:rPr>
                      <w:rFonts w:eastAsia="Calibri"/>
                      <w:b/>
                      <w:szCs w:val="24"/>
                    </w:rPr>
                    <w:t>8</w:t>
                  </w:r>
                </w:sdtContent>
              </w:sdt>
              <w:r>
                <w:rPr>
                  <w:rFonts w:eastAsia="Calibri"/>
                  <w:b/>
                  <w:szCs w:val="24"/>
                </w:rPr>
                <w:t>.</w:t>
                <w:tab/>
              </w:r>
              <w:r>
                <w:rPr>
                  <w:rFonts w:eastAsia="Calibri"/>
                  <w:b/>
                  <w:szCs w:val="24"/>
                  <w:lang w:eastAsia="lt-LT"/>
                </w:rPr>
                <w:t>Projektą siūloma svarstyti komitete (-uose):</w:t>
              </w:r>
            </w:p>
            <w:p>
              <w:pPr>
                <w:ind w:firstLine="709"/>
                <w:jc w:val="both"/>
                <w:rPr>
                  <w:rFonts w:eastAsia="Calibri"/>
                  <w:szCs w:val="24"/>
                  <w:lang w:eastAsia="lt-LT"/>
                </w:rPr>
              </w:pPr>
              <w:r>
                <w:rPr>
                  <w:rFonts w:eastAsia="Calibri"/>
                  <w:szCs w:val="24"/>
                  <w:lang w:eastAsia="lt-LT"/>
                </w:rPr>
                <w:t xml:space="preserve">Atsižvelgdama į tai, kad atsirado galimybė teikti Vietos projektų paraiškas finansavimui gauti, Vilniaus rajono savivaldybės administracija inicijuoja Vietos projektus, kurių paraiškos projektą įgyvendinančiai institucijai turi būti pateiktos ne vėliau kaip iki š. m. lapkričio 16 d.  Pagal Vietos projektams nustatytus reikalavimus, teikiant Vietos projektų paraiškas privaloma pateikti Vilniaus rajono savivaldybės tarybos pritarimą inicijuojamiems Vietos projektams, todėl prašome šį klausimą svarstyti skubos tvarka visuose komitetuose: </w:t>
              </w:r>
              <w:r>
                <w:rPr>
                  <w:rFonts w:eastAsia="Calibri"/>
                  <w:szCs w:val="24"/>
                </w:rPr>
                <w:t>Švietimo, kultūros, sporto ir jaunimo reikalų (pagrindinis), Ekonomikos ir finansų, Sveikatos, šeimos ir socialinių reikalų, Teisėtvarkos ir savivaldos plėtros, Kaimo, vietinio ūkio ir teritorijos planavimo.</w:t>
              </w:r>
            </w:p>
            <w:p>
              <w:pPr>
                <w:ind w:left="1069"/>
                <w:jc w:val="both"/>
                <w:rPr>
                  <w:rFonts w:eastAsia="Calibri"/>
                  <w:szCs w:val="24"/>
                  <w:lang w:eastAsia="lt-LT"/>
                </w:rPr>
              </w:pPr>
            </w:p>
            <w:p>
              <w:pPr>
                <w:ind w:firstLine="372"/>
                <w:jc w:val="both"/>
                <w:rPr>
                  <w:rFonts w:eastAsia="Calibri"/>
                  <w:szCs w:val="24"/>
                </w:rPr>
              </w:pPr>
            </w:p>
            <w:p>
              <w:pPr>
                <w:tabs>
                  <w:tab w:val="left" w:pos="284"/>
                  <w:tab w:val="left" w:pos="851"/>
                  <w:tab w:val="left" w:pos="4712"/>
                </w:tabs>
                <w:jc w:val="both"/>
                <w:rPr>
                  <w:rFonts w:eastAsia="Calibri"/>
                  <w:szCs w:val="24"/>
                </w:rPr>
              </w:pPr>
            </w:p>
            <w:p>
              <w:pPr>
                <w:tabs>
                  <w:tab w:val="left" w:pos="284"/>
                  <w:tab w:val="left" w:pos="851"/>
                  <w:tab w:val="left" w:pos="4712"/>
                </w:tabs>
                <w:jc w:val="both"/>
                <w:rPr>
                  <w:rFonts w:eastAsia="Calibri"/>
                  <w:szCs w:val="24"/>
                </w:rPr>
              </w:pPr>
            </w:p>
          </w:sdtContent>
        </w:sdt>
        <w:sdt>
          <w:sdtPr>
            <w:alias w:val="signatura"/>
            <w:tag w:val="part_dd48f1688e21405fb906663dbdb2fc72"/>
            <w:lock w:val="sdtLocked"/>
            <w:richText/>
          </w:sdtPr>
          <w:sdtContent>
            <w:p>
              <w:pPr>
                <w:tabs>
                  <w:tab w:val="left" w:pos="284"/>
                  <w:tab w:val="left" w:pos="851"/>
                  <w:tab w:val="left" w:pos="4712"/>
                </w:tabs>
                <w:jc w:val="both"/>
                <w:rPr>
                  <w:rFonts w:eastAsia="Calibri"/>
                  <w:szCs w:val="24"/>
                </w:rPr>
              </w:pPr>
              <w:r>
                <w:rPr>
                  <w:rFonts w:eastAsia="Calibri"/>
                  <w:szCs w:val="24"/>
                </w:rPr>
                <w:t>Investicijų ir projektų valdymo skyriaus vedėja</w:t>
                <w:tab/>
                <w:tab/>
                <w:tab/>
                <w:t xml:space="preserve">       Dorota Korwin-Piotrowska</w:t>
              </w:r>
            </w:p>
            <w:p>
              <w:pPr>
                <w:jc w:val="both"/>
                <w:rPr>
                  <w:rFonts w:eastAsia="Calibri"/>
                  <w:szCs w:val="24"/>
                </w:rPr>
              </w:pPr>
            </w:p>
            <w:p>
              <w:pPr>
                <w:jc w:val="both"/>
                <w:rPr>
                  <w:rFonts w:eastAsia="Calibri"/>
                  <w:szCs w:val="24"/>
                </w:rPr>
              </w:pPr>
              <w:r>
                <w:rPr>
                  <w:rFonts w:eastAsia="Calibri"/>
                  <w:szCs w:val="24"/>
                </w:rPr>
                <w:t>Investicijų ir projektų valdymo skyriaus patarėja</w:t>
                <w:tab/>
                <w:tab/>
                <w:t xml:space="preserve">                          Elina Dovgerd</w:t>
              </w:r>
            </w:p>
            <w:p>
              <w:pPr>
                <w:ind w:firstLine="720"/>
                <w:jc w:val="both"/>
                <w:rPr>
                  <w:rFonts w:eastAsia="Calibri"/>
                  <w:szCs w:val="24"/>
                </w:rPr>
              </w:pPr>
            </w:p>
          </w:sdtContent>
        </w:sdt>
      </w:sdtContent>
    </w:sdt>
    <w:sectPr>
      <w:pgSz w:w="11906" w:h="16838"/>
      <w:pgMar w:top="1134" w:right="567" w:bottom="851"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233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chartTrackingRefBased/>
  <w15:docId w15:val="{BCCFD1BE-DA09-4BC6-B16A-605F6699713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09346536">
      <w:bodyDiv w:val="1"/>
      <w:marLeft w:val="0"/>
      <w:marRight w:val="0"/>
      <w:marTop w:val="0"/>
      <w:marBottom w:val="0"/>
      <w:divBdr>
        <w:top w:val="none" w:sz="0" w:space="0" w:color="auto"/>
        <w:left w:val="none" w:sz="0" w:space="0" w:color="auto"/>
        <w:bottom w:val="none" w:sz="0" w:space="0" w:color="auto"/>
        <w:right w:val="none" w:sz="0" w:space="0" w:color="auto"/>
      </w:divBdr>
    </w:div>
    <w:div w:id="1020811572">
      <w:bodyDiv w:val="1"/>
      <w:marLeft w:val="0"/>
      <w:marRight w:val="0"/>
      <w:marTop w:val="0"/>
      <w:marBottom w:val="0"/>
      <w:divBdr>
        <w:top w:val="none" w:sz="0" w:space="0" w:color="auto"/>
        <w:left w:val="none" w:sz="0" w:space="0" w:color="auto"/>
        <w:bottom w:val="none" w:sz="0" w:space="0" w:color="auto"/>
        <w:right w:val="none" w:sz="0" w:space="0" w:color="auto"/>
      </w:divBdr>
    </w:div>
    <w:div w:id="1034844386">
      <w:marLeft w:val="225"/>
      <w:marRight w:val="225"/>
      <w:marTop w:val="0"/>
      <w:marBottom w:val="0"/>
      <w:divBdr>
        <w:top w:val="none" w:sz="0" w:space="0" w:color="auto"/>
        <w:left w:val="none" w:sz="0" w:space="0" w:color="auto"/>
        <w:bottom w:val="none" w:sz="0" w:space="0" w:color="auto"/>
        <w:right w:val="none" w:sz="0" w:space="0" w:color="auto"/>
      </w:divBdr>
      <w:divsChild>
        <w:div w:id="1034844385">
          <w:marLeft w:val="0"/>
          <w:marRight w:val="0"/>
          <w:marTop w:val="0"/>
          <w:marBottom w:val="0"/>
          <w:divBdr>
            <w:top w:val="none" w:sz="0" w:space="0" w:color="auto"/>
            <w:left w:val="none" w:sz="0" w:space="0" w:color="auto"/>
            <w:bottom w:val="none" w:sz="0" w:space="0" w:color="auto"/>
            <w:right w:val="none" w:sz="0" w:space="0" w:color="auto"/>
          </w:divBdr>
        </w:div>
      </w:divsChild>
    </w:div>
    <w:div w:id="1034844387">
      <w:marLeft w:val="225"/>
      <w:marRight w:val="225"/>
      <w:marTop w:val="0"/>
      <w:marBottom w:val="0"/>
      <w:divBdr>
        <w:top w:val="none" w:sz="0" w:space="0" w:color="auto"/>
        <w:left w:val="none" w:sz="0" w:space="0" w:color="auto"/>
        <w:bottom w:val="none" w:sz="0" w:space="0" w:color="auto"/>
        <w:right w:val="none" w:sz="0" w:space="0" w:color="auto"/>
      </w:divBdr>
      <w:divsChild>
        <w:div w:id="1034844384">
          <w:marLeft w:val="0"/>
          <w:marRight w:val="0"/>
          <w:marTop w:val="0"/>
          <w:marBottom w:val="0"/>
          <w:divBdr>
            <w:top w:val="none" w:sz="0" w:space="0" w:color="auto"/>
            <w:left w:val="none" w:sz="0" w:space="0" w:color="auto"/>
            <w:bottom w:val="none" w:sz="0" w:space="0" w:color="auto"/>
            <w:right w:val="none" w:sz="0" w:space="0" w:color="auto"/>
          </w:divBdr>
        </w:div>
      </w:divsChild>
    </w:div>
    <w:div w:id="1034844389">
      <w:marLeft w:val="0"/>
      <w:marRight w:val="0"/>
      <w:marTop w:val="0"/>
      <w:marBottom w:val="0"/>
      <w:divBdr>
        <w:top w:val="none" w:sz="0" w:space="0" w:color="auto"/>
        <w:left w:val="none" w:sz="0" w:space="0" w:color="auto"/>
        <w:bottom w:val="none" w:sz="0" w:space="0" w:color="auto"/>
        <w:right w:val="none" w:sz="0" w:space="0" w:color="auto"/>
      </w:divBdr>
      <w:divsChild>
        <w:div w:id="1034844390">
          <w:marLeft w:val="0"/>
          <w:marRight w:val="0"/>
          <w:marTop w:val="0"/>
          <w:marBottom w:val="0"/>
          <w:divBdr>
            <w:top w:val="none" w:sz="0" w:space="0" w:color="auto"/>
            <w:left w:val="none" w:sz="0" w:space="0" w:color="auto"/>
            <w:bottom w:val="none" w:sz="0" w:space="0" w:color="auto"/>
            <w:right w:val="none" w:sz="0" w:space="0" w:color="auto"/>
          </w:divBdr>
          <w:divsChild>
            <w:div w:id="1034844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1001415">
      <w:bodyDiv w:val="1"/>
      <w:marLeft w:val="0"/>
      <w:marRight w:val="0"/>
      <w:marTop w:val="0"/>
      <w:marBottom w:val="0"/>
      <w:divBdr>
        <w:top w:val="none" w:sz="0" w:space="0" w:color="auto"/>
        <w:left w:val="none" w:sz="0" w:space="0" w:color="auto"/>
        <w:bottom w:val="none" w:sz="0" w:space="0" w:color="auto"/>
        <w:right w:val="none" w:sz="0" w:space="0" w:color="auto"/>
      </w:divBdr>
    </w:div>
    <w:div w:id="1110978588">
      <w:bodyDiv w:val="1"/>
      <w:marLeft w:val="0"/>
      <w:marRight w:val="0"/>
      <w:marTop w:val="0"/>
      <w:marBottom w:val="0"/>
      <w:divBdr>
        <w:top w:val="none" w:sz="0" w:space="0" w:color="auto"/>
        <w:left w:val="none" w:sz="0" w:space="0" w:color="auto"/>
        <w:bottom w:val="none" w:sz="0" w:space="0" w:color="auto"/>
        <w:right w:val="none" w:sz="0" w:space="0" w:color="auto"/>
      </w:divBdr>
    </w:div>
    <w:div w:id="1219053863">
      <w:bodyDiv w:val="1"/>
      <w:marLeft w:val="0"/>
      <w:marRight w:val="0"/>
      <w:marTop w:val="0"/>
      <w:marBottom w:val="0"/>
      <w:divBdr>
        <w:top w:val="none" w:sz="0" w:space="0" w:color="auto"/>
        <w:left w:val="none" w:sz="0" w:space="0" w:color="auto"/>
        <w:bottom w:val="none" w:sz="0" w:space="0" w:color="auto"/>
        <w:right w:val="none" w:sz="0" w:space="0" w:color="auto"/>
      </w:divBdr>
    </w:div>
    <w:div w:id="1302618381">
      <w:bodyDiv w:val="1"/>
      <w:marLeft w:val="0"/>
      <w:marRight w:val="0"/>
      <w:marTop w:val="0"/>
      <w:marBottom w:val="0"/>
      <w:divBdr>
        <w:top w:val="none" w:sz="0" w:space="0" w:color="auto"/>
        <w:left w:val="none" w:sz="0" w:space="0" w:color="auto"/>
        <w:bottom w:val="none" w:sz="0" w:space="0" w:color="auto"/>
        <w:right w:val="none" w:sz="0" w:space="0" w:color="auto"/>
      </w:divBdr>
    </w:div>
    <w:div w:id="1984462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c8bb6f1b7424a48945f5098d9fac76f" PartId="9ecc47837f224c7496b49d07bbf17dd9">
    <Part Type="punktas" Nr="1" Abbr="1 p." DocPartId="fcb7e34356dd46bbb4fc00cba1ca13d6" PartId="2deac7954d2b4beda5db54e4dc1c5b51"/>
    <Part Type="punktas" Nr="2" Abbr="2 p." DocPartId="7754b0b2312c425d887249f201a2e219" PartId="5907c89e66894856959b7d6d0fb85b30"/>
    <Part Type="punktas" Nr="3" Abbr="3 p." DocPartId="08deee24ba744922b2f06af18c000e36" PartId="84f03148c6544724bfee41c660ac7b56"/>
    <Part Type="punktas" Nr="4" Abbr="4 p." DocPartId="9ab5ce02e7f34c97b1f466a36b72273f" PartId="a123590a2f1a45f8b336ddacc4aa70cd"/>
    <Part Type="punktas" Nr="5" Abbr="5 p." DocPartId="04d09114481b4c34918157a4345a2437" PartId="f5489aa4b350416aae17227a065a8b65"/>
    <Part Type="punktas" Nr="6" Abbr="6 p." DocPartId="6786d0f79fb1456fb2309b69d754dd01" PartId="828ae6773ba84fc0975c48fc7bcc2f11"/>
    <Part Type="punktas" Nr="7" Abbr="7 p." DocPartId="b2daf114080a4afd834a83876b761408" PartId="fa678969289f4589af56a349d0ebd641"/>
    <Part Type="punktas" Nr="8" Abbr="8 p." DocPartId="2350f320464f49d9b9d8506d3ec85559" PartId="b110fc1724b24f69882b008c965f9d45"/>
    <Part Type="signatura" DocPartId="58dadc3fbef543b9876b18af8bd5d17f" PartId="dd48f1688e21405fb906663dbdb2fc72"/>
  </Part>
</Parts>
</file>

<file path=customXml/itemProps1.xml><?xml version="1.0" encoding="utf-8"?>
<ds:datastoreItem xmlns:ds="http://schemas.openxmlformats.org/officeDocument/2006/customXml" ds:itemID="{17D876B3-4896-4A95-9ABC-52C98183A29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730</Words>
  <Characters>5444</Characters>
  <Application>Microsoft Office Word</Application>
  <DocSecurity>4</DocSecurity>
  <Lines>93</Lines>
  <Paragraphs>30</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VILNIAUS RAJONO SAVIVALDYBĖS ADMINISTRACIJA</vt:lpstr>
      <vt:lpstr>VILNIAUS RAJONO SAVIVALDYBĖS ADMINISTRACIJA</vt:lpstr>
    </vt:vector>
  </TitlesOfParts>
  <Company>Hewlett-Packard Company</Company>
  <LinksUpToDate>false</LinksUpToDate>
  <CharactersWithSpaces>6144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2025-10-21T05:25:00Z</dcterms:created>
  <dc:creator>Valentina Rudinskaja</dc:creator>
  <lastModifiedBy>adlibuser</lastModifiedBy>
  <lastPrinted>2018-05-24T10:12:00Z</lastPrinted>
  <dcterms:modified xsi:type="dcterms:W3CDTF">2025-10-21T05:25:00Z</dcterms:modified>
  <revision>2</revision>
  <dc:title>VILNIAUS RAJONO SAVIVALDYBĖS ADMINISTRACIJA</dc:title>
</coreProperties>
</file>