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65a27be221e4b008977644bbdd275f1"/>
        <w:lock w:val="sdtLocked"/>
        <w:richText/>
      </w:sdtPr>
      <w:sdtContent>
        <w:p>
          <w:pPr>
            <w:tabs>
              <w:tab w:val="center" w:pos="4153"/>
              <w:tab w:val="right" w:pos="8306"/>
            </w:tabs>
            <w:rPr>
              <w:rFonts w:ascii="TimesLT" w:hAnsi="TimesLT"/>
              <w:lang w:val="en-US"/>
            </w:rPr>
          </w:pPr>
        </w:p>
        <w:p>
          <w:pPr>
            <w:jc w:val="center"/>
            <w:rPr>
              <w:szCs w:val="24"/>
              <w:lang w:eastAsia="lt-LT"/>
            </w:rPr>
          </w:pPr>
          <w:r>
            <w:rPr>
              <w:szCs w:val="24"/>
              <w:lang w:val="en-US"/>
            </w:rPr>
            <w:drawing>
              <wp:inline distT="0" distB="0" distL="0" distR="0" wp14:anchorId="6E22C5CE" wp14:editId="09436E99">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pPr>
            <w:jc w:val="center"/>
            <w:rPr>
              <w:b/>
              <w:szCs w:val="24"/>
              <w:lang w:eastAsia="lt-LT"/>
            </w:rPr>
          </w:pPr>
        </w:p>
        <w:p>
          <w:pPr>
            <w:jc w:val="center"/>
            <w:rPr>
              <w:b/>
              <w:szCs w:val="24"/>
            </w:rPr>
          </w:pPr>
          <w:r>
            <w:rPr>
              <w:b/>
              <w:szCs w:val="24"/>
            </w:rPr>
            <w:t>LIETUVOS RESPUBLIKOS SEIMO</w:t>
          </w:r>
        </w:p>
        <w:p>
          <w:pPr>
            <w:keepNext/>
            <w:spacing w:line="360" w:lineRule="auto"/>
            <w:jc w:val="center"/>
            <w:outlineLvl w:val="1"/>
            <w:rPr>
              <w:b/>
              <w:szCs w:val="24"/>
            </w:rPr>
          </w:pPr>
          <w:r>
            <w:rPr>
              <w:b/>
              <w:szCs w:val="24"/>
            </w:rPr>
            <w:t>SOCIALINIŲ REIKALŲ IR DARBO KOMITETAS</w:t>
          </w:r>
        </w:p>
        <w:p>
          <w:pPr>
            <w:rPr>
              <w:szCs w:val="24"/>
              <w:lang w:eastAsia="lt-LT"/>
            </w:rPr>
          </w:pPr>
        </w:p>
        <w:p>
          <w:pPr>
            <w:keepNext/>
            <w:spacing w:line="360" w:lineRule="auto"/>
            <w:jc w:val="center"/>
            <w:outlineLvl w:val="1"/>
            <w:rPr>
              <w:b/>
              <w:szCs w:val="24"/>
            </w:rPr>
          </w:pPr>
          <w:r>
            <w:rPr>
              <w:b/>
              <w:szCs w:val="24"/>
            </w:rPr>
            <w:t>PAGRINDINIO KOMITETO</w:t>
          </w:r>
        </w:p>
        <w:p>
          <w:pPr>
            <w:keepNext/>
            <w:spacing w:line="360" w:lineRule="auto"/>
            <w:jc w:val="center"/>
            <w:outlineLvl w:val="1"/>
            <w:rPr>
              <w:b/>
              <w:szCs w:val="24"/>
            </w:rPr>
          </w:pPr>
          <w:r>
            <w:rPr>
              <w:b/>
              <w:szCs w:val="24"/>
            </w:rPr>
            <w:t>I Š V A D A</w:t>
          </w:r>
        </w:p>
        <w:p>
          <w:pPr>
            <w:jc w:val="center"/>
            <w:rPr>
              <w:b/>
              <w:szCs w:val="24"/>
              <w:lang w:eastAsia="lt-LT"/>
            </w:rPr>
          </w:pPr>
          <w:r>
            <w:rPr>
              <w:b/>
              <w:bCs/>
              <w:color w:val="000000"/>
              <w:szCs w:val="24"/>
              <w:lang w:eastAsia="lt-LT"/>
            </w:rPr>
            <w:t>D</w:t>
          </w:r>
          <w:r>
            <w:rPr>
              <w:b/>
              <w:bCs/>
              <w:color w:val="000000"/>
              <w:lang w:val="en-US" w:eastAsia="lt-LT"/>
            </w:rPr>
            <w:t>ĖL LIETUVOS RESPUBLIKOS UŽIMTUMO ĮSTATYMO NR. XII-2470 10 STRAIPSNIO </w:t>
          </w:r>
          <w:r>
            <w:rPr>
              <w:b/>
              <w:bCs/>
              <w:caps/>
              <w:color w:val="000000"/>
              <w:lang w:val="en-US" w:eastAsia="lt-LT"/>
            </w:rPr>
            <w:t>1 DALIES PAKEITIMO </w:t>
          </w:r>
          <w:r>
            <w:rPr>
              <w:b/>
              <w:bCs/>
              <w:color w:val="000000"/>
              <w:lang w:val="en-US" w:eastAsia="lt-LT"/>
            </w:rPr>
            <w:t xml:space="preserve">ĮSTATYMO PROJEKTO </w:t>
          </w:r>
          <w:r>
            <w:rPr>
              <w:b/>
              <w:color w:val="000000"/>
              <w:lang w:val="en-US" w:eastAsia="lt-LT"/>
            </w:rPr>
            <w:t>NR. XIVP-129</w:t>
          </w:r>
        </w:p>
        <w:p>
          <w:pPr>
            <w:jc w:val="center"/>
            <w:rPr>
              <w:b/>
              <w:szCs w:val="24"/>
              <w:lang w:eastAsia="lt-LT"/>
            </w:rPr>
          </w:pPr>
        </w:p>
        <w:p>
          <w:pPr>
            <w:jc w:val="center"/>
            <w:rPr>
              <w:szCs w:val="24"/>
              <w:lang w:eastAsia="lt-LT"/>
            </w:rPr>
          </w:pPr>
          <w:r>
            <w:rPr>
              <w:szCs w:val="24"/>
              <w:lang w:eastAsia="lt-LT"/>
            </w:rPr>
            <w:t>2021-12-08 Nr. 103-P-49</w:t>
          </w:r>
        </w:p>
        <w:p>
          <w:pPr>
            <w:jc w:val="center"/>
            <w:rPr>
              <w:szCs w:val="24"/>
              <w:lang w:eastAsia="lt-LT"/>
            </w:rPr>
          </w:pPr>
          <w:r>
            <w:rPr>
              <w:szCs w:val="24"/>
              <w:lang w:eastAsia="lt-LT"/>
            </w:rPr>
            <w:t>Vilnius</w:t>
          </w:r>
        </w:p>
        <w:p>
          <w:pPr>
            <w:rPr>
              <w:szCs w:val="24"/>
              <w:lang w:eastAsia="lt-LT"/>
            </w:rPr>
          </w:pPr>
        </w:p>
        <w:sdt>
          <w:sdtPr>
            <w:alias w:val="1 p."/>
            <w:tag w:val="part_a266141959aa4fb181fdaada57d9cd24"/>
            <w:lock w:val="sdtLocked"/>
            <w:richText/>
          </w:sdtPr>
          <w:sdtContent>
            <w:p>
              <w:pPr>
                <w:jc w:val="both"/>
                <w:rPr>
                  <w:lang w:eastAsia="lt-LT"/>
                </w:rPr>
              </w:pPr>
              <w:sdt>
                <w:sdtPr>
                  <w:alias w:val="Numeris"/>
                  <w:tag w:val="nr_a266141959aa4fb181fdaada57d9cd24"/>
                  <w:lock w:val="sdtLocked"/>
                  <w:richText/>
                </w:sdtPr>
                <w:sdtContent>
                  <w:r>
                    <w:rPr>
                      <w:b/>
                      <w:lang w:eastAsia="lt-LT"/>
                    </w:rPr>
                    <w:t>1</w:t>
                  </w:r>
                </w:sdtContent>
              </w:sdt>
              <w:r>
                <w:rPr>
                  <w:b/>
                  <w:lang w:eastAsia="lt-LT"/>
                </w:rPr>
                <w:t xml:space="preserve">. Komiteto posėdyje dalyvavo: </w:t>
              </w:r>
              <w:r>
                <w:rPr>
                  <w:lang w:eastAsia="lt-LT"/>
                </w:rPr>
                <w:t>Mindaugas Lingė – komiteto pirmininkas, Vilija Aleknaitė-Abramikienė, Rima Baškienė, Algimantas Dumbrava, Justas Džiugelis, Vaida Giraitytė-Juškevičienė, Gintautas Kindurys, Linas Kukuraitis, Monika Ošmianskienė, Algirdas Sysas, Jonas Varkalys; komiteto biuras: Evelina Bulotaitė – biuro vedėja, patarėjos: Dalia Aleksejūnienė, Diana Jonėnienė, Asta Kazlauskienė, Ieva Kuodienė, padėjėjos Renata Liekienė, Indrė Žukauskaitė; kviestieji asmenys: Tomas Vytautas Raskevičius – Seimo narys,</w:t>
              </w:r>
              <w:r>
                <w:rPr>
                  <w:lang w:val="en-US" w:eastAsia="lt-LT"/>
                </w:rPr>
                <w:t xml:space="preserve"> </w:t>
              </w:r>
              <w:r>
                <w:rPr>
                  <w:lang w:eastAsia="lt-LT"/>
                </w:rPr>
                <w:t>Milda Kojelienė – Socialinės apsaugos ir darbo ministerijos Darbo rinkos skyriaus patarėja.</w:t>
              </w:r>
            </w:p>
            <w:p>
              <w:pPr>
                <w:ind w:firstLine="771"/>
                <w:jc w:val="both"/>
                <w:rPr>
                  <w:lang w:eastAsia="lt-LT"/>
                </w:rPr>
              </w:pPr>
            </w:p>
          </w:sdtContent>
        </w:sdt>
        <w:sdt>
          <w:sdtPr>
            <w:alias w:val="2 p."/>
            <w:tag w:val="part_08d8f1a0e4d44d0f9eb4ac4c38891609"/>
            <w:lock w:val="sdtLocked"/>
            <w:richText/>
          </w:sdtPr>
          <w:sdtContent>
            <w:p>
              <w:pPr>
                <w:keepNext/>
                <w:ind w:firstLine="709"/>
                <w:jc w:val="both"/>
                <w:outlineLvl w:val="5"/>
                <w:rPr>
                  <w:szCs w:val="24"/>
                </w:rPr>
              </w:pPr>
              <w:sdt>
                <w:sdtPr>
                  <w:alias w:val="Numeris"/>
                  <w:tag w:val="nr_08d8f1a0e4d44d0f9eb4ac4c38891609"/>
                  <w:lock w:val="sdtLocked"/>
                  <w:richText/>
                </w:sdtPr>
                <w:sdtContent>
                  <w:r>
                    <w:rPr>
                      <w:b/>
                      <w:bCs/>
                      <w:szCs w:val="24"/>
                    </w:rPr>
                    <w:t>2</w:t>
                  </w:r>
                </w:sdtContent>
              </w:sdt>
              <w:r>
                <w:rPr>
                  <w:b/>
                  <w:bCs/>
                  <w:szCs w:val="24"/>
                </w:rPr>
                <w:t xml:space="preserve">. Ekspertų, konsultantų, specialistų išvados, pasiūlymai, pataisos, pastabos </w:t>
              </w:r>
              <w:r>
                <w:rPr>
                  <w:szCs w:val="24"/>
                </w:rPr>
                <w:t>(toliau – pasiūlymai):</w:t>
              </w:r>
            </w:p>
            <w:p/>
            <w:tbl>
              <w:tblPr>
                <w:tblW w:w="148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88"/>
                <w:gridCol w:w="1788"/>
                <w:gridCol w:w="567"/>
                <w:gridCol w:w="709"/>
                <w:gridCol w:w="567"/>
                <w:gridCol w:w="6521"/>
                <w:gridCol w:w="1559"/>
                <w:gridCol w:w="2551"/>
              </w:tblGrid>
              <w:tr>
                <w:trPr>
                  <w:cantSplit/>
                  <w:trHeight w:val="472"/>
                </w:trPr>
                <w:tc>
                  <w:tcPr>
                    <w:tcW w:w="588" w:type="dxa"/>
                    <w:vMerge w:val="restart"/>
                    <w:vAlign w:val="center"/>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1788" w:type="dxa"/>
                    <w:vMerge w:val="restart"/>
                    <w:vAlign w:val="center"/>
                  </w:tcPr>
                  <w:p>
                    <w:pPr>
                      <w:jc w:val="center"/>
                      <w:rPr>
                        <w:szCs w:val="24"/>
                        <w:lang w:eastAsia="lt-LT"/>
                      </w:rPr>
                    </w:pPr>
                    <w:r>
                      <w:rPr>
                        <w:szCs w:val="24"/>
                        <w:lang w:eastAsia="lt-LT"/>
                      </w:rPr>
                      <w:t>Pasiūlymo teikėjas, data</w:t>
                    </w:r>
                  </w:p>
                </w:tc>
                <w:tc>
                  <w:tcPr>
                    <w:tcW w:w="1843" w:type="dxa"/>
                    <w:gridSpan w:val="3"/>
                    <w:vAlign w:val="center"/>
                  </w:tcPr>
                  <w:p>
                    <w:pPr>
                      <w:jc w:val="center"/>
                      <w:rPr>
                        <w:szCs w:val="24"/>
                        <w:lang w:eastAsia="lt-LT"/>
                      </w:rPr>
                    </w:pPr>
                    <w:r>
                      <w:rPr>
                        <w:szCs w:val="24"/>
                        <w:lang w:eastAsia="lt-LT"/>
                      </w:rPr>
                      <w:t>Siūloma keisti</w:t>
                    </w:r>
                  </w:p>
                </w:tc>
                <w:tc>
                  <w:tcPr>
                    <w:tcW w:w="6521" w:type="dxa"/>
                    <w:vMerge w:val="restart"/>
                    <w:vAlign w:val="center"/>
                  </w:tcPr>
                  <w:p>
                    <w:pPr>
                      <w:jc w:val="center"/>
                      <w:rPr>
                        <w:szCs w:val="24"/>
                        <w:lang w:eastAsia="lt-LT"/>
                      </w:rPr>
                    </w:pPr>
                  </w:p>
                  <w:p>
                    <w:pPr>
                      <w:jc w:val="center"/>
                      <w:rPr>
                        <w:szCs w:val="24"/>
                        <w:lang w:eastAsia="lt-LT"/>
                      </w:rPr>
                    </w:pPr>
                    <w:r>
                      <w:rPr>
                        <w:szCs w:val="24"/>
                        <w:lang w:eastAsia="lt-LT"/>
                      </w:rPr>
                      <w:t>Pasiūlymo turinys</w:t>
                    </w:r>
                  </w:p>
                  <w:p>
                    <w:pPr>
                      <w:jc w:val="center"/>
                      <w:rPr>
                        <w:szCs w:val="24"/>
                        <w:lang w:eastAsia="lt-LT"/>
                      </w:rPr>
                    </w:pPr>
                  </w:p>
                </w:tc>
                <w:tc>
                  <w:tcPr>
                    <w:tcW w:w="1559" w:type="dxa"/>
                    <w:vMerge w:val="restart"/>
                    <w:vAlign w:val="center"/>
                  </w:tcPr>
                  <w:p>
                    <w:pPr>
                      <w:jc w:val="center"/>
                      <w:rPr>
                        <w:szCs w:val="24"/>
                        <w:lang w:eastAsia="lt-LT"/>
                      </w:rPr>
                    </w:pPr>
                    <w:r>
                      <w:rPr>
                        <w:szCs w:val="24"/>
                        <w:lang w:eastAsia="lt-LT"/>
                      </w:rPr>
                      <w:t>Komiteto nuomonė</w:t>
                    </w:r>
                  </w:p>
                </w:tc>
                <w:tc>
                  <w:tcPr>
                    <w:tcW w:w="2551" w:type="dxa"/>
                    <w:vMerge w:val="restart"/>
                    <w:vAlign w:val="center"/>
                  </w:tcPr>
                  <w:p>
                    <w:pPr>
                      <w:jc w:val="center"/>
                      <w:rPr>
                        <w:szCs w:val="24"/>
                        <w:lang w:eastAsia="lt-LT"/>
                      </w:rPr>
                    </w:pPr>
                    <w:r>
                      <w:rPr>
                        <w:szCs w:val="24"/>
                        <w:lang w:eastAsia="lt-LT"/>
                      </w:rPr>
                      <w:t>Argumentai, pagrindžiantys nuomonę</w:t>
                    </w:r>
                  </w:p>
                </w:tc>
              </w:tr>
              <w:tr>
                <w:trPr>
                  <w:cantSplit/>
                  <w:trHeight w:val="379"/>
                </w:trPr>
                <w:tc>
                  <w:tcPr>
                    <w:tcW w:w="588" w:type="dxa"/>
                    <w:vMerge/>
                  </w:tcPr>
                  <w:p>
                    <w:pPr>
                      <w:rPr>
                        <w:szCs w:val="24"/>
                        <w:lang w:eastAsia="lt-LT"/>
                      </w:rPr>
                    </w:pPr>
                  </w:p>
                </w:tc>
                <w:tc>
                  <w:tcPr>
                    <w:tcW w:w="1788" w:type="dxa"/>
                    <w:vMerge/>
                  </w:tcPr>
                  <w:p>
                    <w:pPr>
                      <w:rPr>
                        <w:szCs w:val="24"/>
                        <w:lang w:eastAsia="lt-LT"/>
                      </w:rPr>
                    </w:pPr>
                  </w:p>
                </w:tc>
                <w:tc>
                  <w:tcPr>
                    <w:tcW w:w="567" w:type="dxa"/>
                    <w:vAlign w:val="center"/>
                  </w:tcPr>
                  <w:p>
                    <w:pPr>
                      <w:jc w:val="center"/>
                      <w:rPr>
                        <w:sz w:val="22"/>
                        <w:szCs w:val="22"/>
                        <w:lang w:eastAsia="lt-LT"/>
                      </w:rPr>
                    </w:pPr>
                    <w:r>
                      <w:rPr>
                        <w:sz w:val="22"/>
                        <w:szCs w:val="22"/>
                        <w:lang w:eastAsia="lt-LT"/>
                      </w:rPr>
                      <w:t>Str.</w:t>
                    </w:r>
                  </w:p>
                </w:tc>
                <w:tc>
                  <w:tcPr>
                    <w:tcW w:w="709" w:type="dxa"/>
                    <w:vAlign w:val="center"/>
                  </w:tcPr>
                  <w:p>
                    <w:pPr>
                      <w:jc w:val="center"/>
                      <w:rPr>
                        <w:sz w:val="22"/>
                        <w:szCs w:val="22"/>
                        <w:lang w:eastAsia="lt-LT"/>
                      </w:rPr>
                    </w:pPr>
                    <w:r>
                      <w:rPr>
                        <w:sz w:val="22"/>
                        <w:szCs w:val="22"/>
                        <w:lang w:eastAsia="lt-LT"/>
                      </w:rPr>
                      <w:t>Str. d.</w:t>
                    </w:r>
                  </w:p>
                </w:tc>
                <w:tc>
                  <w:tcPr>
                    <w:tcW w:w="567" w:type="dxa"/>
                    <w:vAlign w:val="center"/>
                  </w:tcPr>
                  <w:p>
                    <w:pPr>
                      <w:jc w:val="center"/>
                      <w:rPr>
                        <w:sz w:val="22"/>
                        <w:szCs w:val="22"/>
                        <w:lang w:eastAsia="lt-LT"/>
                      </w:rPr>
                    </w:pPr>
                    <w:r>
                      <w:rPr>
                        <w:sz w:val="22"/>
                        <w:szCs w:val="22"/>
                        <w:lang w:eastAsia="lt-LT"/>
                      </w:rPr>
                      <w:t>P.</w:t>
                    </w:r>
                  </w:p>
                </w:tc>
                <w:tc>
                  <w:tcPr>
                    <w:tcW w:w="6521" w:type="dxa"/>
                    <w:vMerge/>
                  </w:tcPr>
                  <w:p>
                    <w:pPr>
                      <w:rPr>
                        <w:szCs w:val="24"/>
                        <w:lang w:eastAsia="lt-LT"/>
                      </w:rPr>
                    </w:pPr>
                  </w:p>
                </w:tc>
                <w:tc>
                  <w:tcPr>
                    <w:tcW w:w="1559" w:type="dxa"/>
                    <w:vMerge/>
                  </w:tcPr>
                  <w:p>
                    <w:pPr>
                      <w:rPr>
                        <w:szCs w:val="24"/>
                        <w:lang w:eastAsia="lt-LT"/>
                      </w:rPr>
                    </w:pPr>
                  </w:p>
                </w:tc>
                <w:tc>
                  <w:tcPr>
                    <w:tcW w:w="2551" w:type="dxa"/>
                    <w:vMerge/>
                  </w:tcPr>
                  <w:p>
                    <w:pPr>
                      <w:rPr>
                        <w:szCs w:val="24"/>
                        <w:lang w:eastAsia="lt-LT"/>
                      </w:rPr>
                    </w:pPr>
                  </w:p>
                </w:tc>
              </w:tr>
              <w:tr>
                <w:trPr>
                  <w:trHeight w:val="415"/>
                </w:trPr>
                <w:tc>
                  <w:tcPr>
                    <w:tcW w:w="588" w:type="dxa"/>
                  </w:tcPr>
                  <w:p>
                    <w:pPr>
                      <w:jc w:val="both"/>
                      <w:rPr>
                        <w:bCs/>
                        <w:szCs w:val="24"/>
                      </w:rPr>
                    </w:pPr>
                    <w:r>
                      <w:rPr>
                        <w:bCs/>
                        <w:szCs w:val="24"/>
                      </w:rPr>
                      <w:t>1.1.</w:t>
                    </w:r>
                  </w:p>
                </w:tc>
                <w:tc>
                  <w:tcPr>
                    <w:tcW w:w="1788" w:type="dxa"/>
                  </w:tcPr>
                  <w:p>
                    <w:pPr>
                      <w:jc w:val="both"/>
                      <w:rPr>
                        <w:bCs/>
                        <w:szCs w:val="24"/>
                      </w:rPr>
                    </w:pPr>
                    <w:r>
                      <w:rPr>
                        <w:bCs/>
                        <w:szCs w:val="24"/>
                      </w:rPr>
                      <w:t>Seimo kanceliarijos Teisės departamentas,</w:t>
                    </w:r>
                  </w:p>
                  <w:p>
                    <w:pPr>
                      <w:jc w:val="both"/>
                      <w:rPr>
                        <w:bCs/>
                        <w:szCs w:val="24"/>
                      </w:rPr>
                    </w:pPr>
                    <w:r>
                      <w:rPr>
                        <w:bCs/>
                        <w:szCs w:val="24"/>
                      </w:rPr>
                      <w:t>202</w:t>
                    </w:r>
                    <w:r>
                      <w:rPr>
                        <w:bCs/>
                        <w:szCs w:val="24"/>
                        <w:lang w:val="en-US"/>
                      </w:rPr>
                      <w:t>0</w:t>
                    </w:r>
                    <w:r>
                      <w:rPr>
                        <w:bCs/>
                        <w:szCs w:val="24"/>
                      </w:rPr>
                      <w:t>-12-22</w:t>
                    </w:r>
                  </w:p>
                </w:tc>
                <w:tc>
                  <w:tcPr>
                    <w:tcW w:w="567" w:type="dxa"/>
                  </w:tcPr>
                  <w:p>
                    <w:pPr>
                      <w:jc w:val="both"/>
                      <w:rPr>
                        <w:b/>
                        <w:bCs/>
                        <w:szCs w:val="24"/>
                      </w:rPr>
                    </w:pPr>
                  </w:p>
                </w:tc>
                <w:tc>
                  <w:tcPr>
                    <w:tcW w:w="709" w:type="dxa"/>
                  </w:tcPr>
                  <w:p>
                    <w:pPr>
                      <w:jc w:val="both"/>
                      <w:rPr>
                        <w:b/>
                        <w:bCs/>
                        <w:szCs w:val="24"/>
                      </w:rPr>
                    </w:pPr>
                  </w:p>
                </w:tc>
                <w:tc>
                  <w:tcPr>
                    <w:tcW w:w="567" w:type="dxa"/>
                  </w:tcPr>
                  <w:p>
                    <w:pPr>
                      <w:jc w:val="both"/>
                      <w:rPr>
                        <w:b/>
                        <w:bCs/>
                        <w:szCs w:val="24"/>
                      </w:rPr>
                    </w:pPr>
                  </w:p>
                </w:tc>
                <w:tc>
                  <w:tcPr>
                    <w:tcW w:w="6521" w:type="dxa"/>
                  </w:tcPr>
                  <w:p>
                    <w:pPr>
                      <w:ind w:firstLine="709"/>
                      <w:jc w:val="both"/>
                      <w:rPr>
                        <w:color w:val="000000"/>
                        <w:szCs w:val="24"/>
                        <w:lang w:eastAsia="lt-LT"/>
                      </w:rPr>
                    </w:pPr>
                    <w:r>
                      <w:rPr>
                        <w:color w:val="000000"/>
                        <w:szCs w:val="24"/>
                        <w:lang w:eastAsia="lt-LT"/>
                      </w:rPr>
                      <w:t>Įvertinę įstatymo projekto atitiktį Konstitucijai, įstatymams, teisėkūros principams ir teisės technikos taisyklių reikalavimams, teikiame šias pastabas:</w:t>
                    </w:r>
                  </w:p>
                  <w:p>
                    <w:pPr>
                      <w:ind w:firstLine="709"/>
                      <w:jc w:val="both"/>
                      <w:rPr>
                        <w:color w:val="000000"/>
                        <w:szCs w:val="24"/>
                        <w:lang w:eastAsia="lt-LT"/>
                      </w:rPr>
                    </w:pPr>
                    <w:r>
                      <w:rPr>
                        <w:color w:val="000000"/>
                        <w:szCs w:val="24"/>
                        <w:lang w:eastAsia="lt-LT"/>
                      </w:rPr>
                      <w:t>1. Įstatymo projektu yra siūloma nustatyti, kad savanoriškos praktikos sutartis su įmonėmis, įstaigomis, organizacijomis ar kitomis organizacinėmis struktūromis, kuriose atliekama savanoriška praktika, turėtų teisę sudaryti ne tik asmenys iki 29 metų amžiaus. Įstatymo projekto aiškinamajame rašte teigiama, kad „galiojant aukščiau nurodytam teisiniam reguliavimui yra neproporcingai ribojamos vyresnių nei 29 metų asmenų teisės sudaryti savanoriškos praktikos sutartis, užkertamas kelias šiems asmenims įgyti žinių, įgūdžių, gauti įvairios praktinės patirties, ir, tokiu būdu, mokytis visą gyvenimą, o taip pat, esant poreikiui ar būtinumui, kelti kvalifikaciją ar persikvalifikuoti.“ Siūlomas teisinis reguliavimas svarstytinas.</w:t>
                    </w:r>
                  </w:p>
                  <w:p>
                    <w:pPr>
                      <w:ind w:firstLine="709"/>
                      <w:jc w:val="both"/>
                      <w:rPr>
                        <w:color w:val="000000"/>
                        <w:szCs w:val="24"/>
                        <w:lang w:eastAsia="lt-LT"/>
                      </w:rPr>
                    </w:pPr>
                    <w:r>
                      <w:rPr>
                        <w:color w:val="000000"/>
                        <w:szCs w:val="24"/>
                        <w:lang w:eastAsia="lt-LT"/>
                      </w:rPr>
                      <w:t>Lietuvos Respublikos užimtumo įstatymo 10 straipsnio 1 dalies nuostata, pagal kurią tokias sutartis turi teisę sudaryti asmenys iki 29 metų, įsigaliojo 2017 m. liepos 1 d. Šio įstatymo tikslas buvo įgyvendinti projekto „Darbo santykių ir valstybinio socialinio draudimo teisinio- administracinio modelio sukūrimas“ (taip vadinamo, socialinio modelio) siūlomas priemones ir projekte atliktų mokslinių tyrimų rekomendacijas užimtumui didinti. Vienas iš šio įstatymo uždavinių buvo nustatyti naujas ir patobulinti esamas aktyvios darbo rinkos politikos priemones bei aktyvios darbo rinkos politikos priemonių taikymą. Tam, kad būtų pasiektas šis uždavinys, buvo nustatytos pažeidžiamiausios darbo rinkos dalyvių grupės. Šioms grupėms, atsižvelgiant į bedarbių poreikius, siekiant taiklesnio užimtumo rėmimo priemonių pritaikymo, ir tam, kad būtų įmanoma kiek galima efektyviau panaudoti ribotus išteklius, buvo nustatytos skirtingos užimtumo rėmimo priemonės, numatytos Užimtumo įstatyme. Viena iš šių grupių – jaunimas iki 29 metų (29 metų amžiaus riba nustatyta atsižvelgiant į tai, kad pagal Lietuvos Respublikos jaunimo politikos pagrindų įstatymą jaunas žmogus yra suprantamas kaip asmuo nuo 14 iki 29 metų (įskaitytinai). Numatant galimybę jaunimui sudaryti savanoriškos praktikos sutartį buvo įvertinta aplinkybė, būdinga būtent šiai amžiaus kategorijai - kad šios grupės asmenims dėl savo amžiaus, dėl studijų ir pan. būna sunku įsidarbinti, nes iki įsidarbinimo jie neturi galimybės įgyti reikiamų darbo įgūdžių.</w:t>
                    </w:r>
                  </w:p>
                  <w:p>
                    <w:pPr>
                      <w:ind w:firstLine="833"/>
                      <w:jc w:val="both"/>
                      <w:rPr>
                        <w:color w:val="000000"/>
                        <w:szCs w:val="24"/>
                        <w:lang w:eastAsia="lt-LT"/>
                      </w:rPr>
                    </w:pPr>
                    <w:r>
                      <w:rPr>
                        <w:color w:val="000000"/>
                        <w:szCs w:val="24"/>
                        <w:lang w:eastAsia="lt-LT"/>
                      </w:rPr>
                      <w:t>Pastebėtina, kad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Jeigu savanoriškos praktikos sutartis būtų leista sudaryti ir kitiems, ne tik asmenims iki 29 metų, galimai atsirastų atvejų, kuomet tokių sutarčių sudarymu būtų naudojamasi siekiant išvengti įdarbinimo pagal darbo sutartis, sveikatos draudimo įmokų mokėjimo. Taigi vertinant esamą teisinį reguliavimą, svarbu atsižvelgti į visas aplinkybes, dėl kurių buvo pasirinktas įtvirtintas modelis.</w:t>
                    </w:r>
                  </w:p>
                  <w:p>
                    <w:pPr>
                      <w:ind w:firstLine="709"/>
                      <w:jc w:val="both"/>
                      <w:rPr>
                        <w:color w:val="000000"/>
                        <w:szCs w:val="24"/>
                        <w:lang w:eastAsia="lt-LT"/>
                      </w:rPr>
                    </w:pPr>
                    <w:r>
                      <w:rPr>
                        <w:color w:val="000000"/>
                        <w:szCs w:val="24"/>
                        <w:lang w:eastAsia="lt-LT"/>
                      </w:rPr>
                      <w:t>Šiame kontekste svarbu pažymėti ir tai, kad Konstitucinis Teismas yra konstatavęs, kad konstitucinis asmenų lygiateisiškumo principas savaime nepaneigia galimybės įstatymu nustatyti nevienodą, diferencijuotą teisinį reguliavimą tam tikrų asmenų, priklausančių skirtingoms kategorijoms, atžvilgiu, jeigu tarp šių asmenų yra tokio pobūdžio skirtumų, kurie tokį diferencijuotą reguliavimą daro objektyviai pateisinamą. Diferencijuotas teisinis reguliavimas, kai jis taikomas tam tikroms vienodais požymiais pasižyminčioms asmenų grupėms, jeigu juo siekiama pozityvių, visuomeniškai reikšmingų tikslų arba jeigu tam tikrų ribojimų ar sąlygų nustatymas yra susijęs su reguliuojamų visuomeninių santykių ypatumais, savaime nėra laikytinas diskriminaciniu.</w:t>
                    </w:r>
                  </w:p>
                  <w:p>
                    <w:pPr>
                      <w:ind w:firstLine="709"/>
                      <w:jc w:val="both"/>
                      <w:rPr>
                        <w:color w:val="000000"/>
                        <w:szCs w:val="24"/>
                        <w:lang w:eastAsia="lt-LT"/>
                      </w:rPr>
                    </w:pPr>
                    <w:r>
                      <w:rPr>
                        <w:color w:val="000000"/>
                        <w:szCs w:val="24"/>
                        <w:lang w:eastAsia="lt-LT"/>
                      </w:rPr>
                      <w:t>Vertinant esamą ir siūlomą teisinį reguliavimą, taip pat atkreiptinas dėmesys, kad savanoriška praktika neturėtų būti suprantama kaip savanoriška veikla, kurią reguliuoja Lietuvos Respublikos savanoriškos veiklos įstatymas ir kuria gali užsiimti visi pageidaujantys bet kokio amžiaus asmenys ir tokiu būdu įgyti papildomų žinių, įgūdžių, gauti įvairios praktinės patirties.</w:t>
                    </w:r>
                  </w:p>
                </w:tc>
                <w:tc>
                  <w:tcPr>
                    <w:tcW w:w="1559" w:type="dxa"/>
                  </w:tcPr>
                  <w:p>
                    <w:pPr>
                      <w:jc w:val="center"/>
                      <w:rPr>
                        <w:bCs/>
                        <w:szCs w:val="24"/>
                      </w:rPr>
                    </w:pPr>
                    <w:r>
                      <w:rPr>
                        <w:bCs/>
                        <w:szCs w:val="24"/>
                      </w:rPr>
                      <w:t>Atsižvelgti</w:t>
                    </w:r>
                  </w:p>
                </w:tc>
                <w:tc>
                  <w:tcPr>
                    <w:tcW w:w="2551" w:type="dxa"/>
                  </w:tcPr>
                  <w:p>
                    <w:pPr>
                      <w:jc w:val="both"/>
                      <w:rPr>
                        <w:bCs/>
                        <w:szCs w:val="24"/>
                      </w:rPr>
                    </w:pPr>
                    <w:r>
                      <w:rPr>
                        <w:bCs/>
                        <w:szCs w:val="24"/>
                      </w:rPr>
                      <w:t xml:space="preserve">Atsižvelgiant į situaciją darbo rinkoje (kai trūksta darbuotojų), taip pat siekiant paskatinti vyresnio amžiaus asmenų didesnį užimtumą bei aktyvumą, paskatinti mokymąsi visą gyvenimą, įstatymo projektui siūloma pritarti. Kartu pažymėtina, kad Užimtumo įstatymo 10 straipsnyje jau yra nustatyti saugikliai, kad savanoriškos praktikos atlikimu nebūtų piktnaudžiaujama. </w:t>
                    </w:r>
                  </w:p>
                  <w:p>
                    <w:pPr>
                      <w:jc w:val="both"/>
                      <w:rPr>
                        <w:bCs/>
                        <w:szCs w:val="24"/>
                      </w:rPr>
                    </w:pPr>
                    <w:r>
                      <w:rPr>
                        <w:bCs/>
                        <w:szCs w:val="24"/>
                      </w:rPr>
                      <w:t>Projektui yra gauta teigiama Vyriausybės išvada, papildomas Biudžeto ir finansų komitetas projektui taip pat pritarė.</w:t>
                    </w:r>
                  </w:p>
                </w:tc>
              </w:tr>
              <w:tr>
                <w:trPr>
                  <w:trHeight w:val="415"/>
                </w:trPr>
                <w:tc>
                  <w:tcPr>
                    <w:tcW w:w="588" w:type="dxa"/>
                  </w:tcPr>
                  <w:p>
                    <w:pPr>
                      <w:jc w:val="both"/>
                      <w:rPr>
                        <w:bCs/>
                        <w:szCs w:val="24"/>
                      </w:rPr>
                    </w:pPr>
                    <w:r>
                      <w:rPr>
                        <w:bCs/>
                        <w:szCs w:val="24"/>
                      </w:rPr>
                      <w:t>1.2.</w:t>
                    </w:r>
                  </w:p>
                </w:tc>
                <w:tc>
                  <w:tcPr>
                    <w:tcW w:w="1788" w:type="dxa"/>
                  </w:tcPr>
                  <w:p>
                    <w:pPr>
                      <w:jc w:val="both"/>
                      <w:rPr>
                        <w:bCs/>
                        <w:szCs w:val="24"/>
                      </w:rPr>
                    </w:pPr>
                    <w:r>
                      <w:rPr>
                        <w:bCs/>
                        <w:szCs w:val="24"/>
                      </w:rPr>
                      <w:t>Seimo kanceliarijos Teisės departamentas,</w:t>
                    </w:r>
                  </w:p>
                  <w:p>
                    <w:pPr>
                      <w:jc w:val="both"/>
                      <w:rPr>
                        <w:bCs/>
                        <w:szCs w:val="24"/>
                      </w:rPr>
                    </w:pPr>
                    <w:r>
                      <w:rPr>
                        <w:bCs/>
                        <w:szCs w:val="24"/>
                      </w:rPr>
                      <w:t>202</w:t>
                    </w:r>
                    <w:r>
                      <w:rPr>
                        <w:bCs/>
                        <w:szCs w:val="24"/>
                        <w:lang w:val="en-US"/>
                      </w:rPr>
                      <w:t>0</w:t>
                    </w:r>
                    <w:r>
                      <w:rPr>
                        <w:bCs/>
                        <w:szCs w:val="24"/>
                      </w:rPr>
                      <w:t>-12-22</w:t>
                    </w:r>
                  </w:p>
                </w:tc>
                <w:tc>
                  <w:tcPr>
                    <w:tcW w:w="567" w:type="dxa"/>
                  </w:tcPr>
                  <w:p>
                    <w:pPr>
                      <w:jc w:val="both"/>
                      <w:rPr>
                        <w:b/>
                        <w:bCs/>
                        <w:szCs w:val="24"/>
                      </w:rPr>
                    </w:pPr>
                  </w:p>
                </w:tc>
                <w:tc>
                  <w:tcPr>
                    <w:tcW w:w="709" w:type="dxa"/>
                  </w:tcPr>
                  <w:p>
                    <w:pPr>
                      <w:jc w:val="both"/>
                      <w:rPr>
                        <w:b/>
                        <w:bCs/>
                        <w:szCs w:val="24"/>
                      </w:rPr>
                    </w:pPr>
                  </w:p>
                </w:tc>
                <w:tc>
                  <w:tcPr>
                    <w:tcW w:w="567" w:type="dxa"/>
                  </w:tcPr>
                  <w:p>
                    <w:pPr>
                      <w:jc w:val="both"/>
                      <w:rPr>
                        <w:b/>
                        <w:bCs/>
                        <w:szCs w:val="24"/>
                      </w:rPr>
                    </w:pPr>
                  </w:p>
                </w:tc>
                <w:tc>
                  <w:tcPr>
                    <w:tcW w:w="6521" w:type="dxa"/>
                  </w:tcPr>
                  <w:p>
                    <w:pPr>
                      <w:ind w:firstLine="709"/>
                      <w:jc w:val="both"/>
                      <w:rPr>
                        <w:color w:val="000000"/>
                        <w:szCs w:val="24"/>
                        <w:lang w:eastAsia="lt-LT"/>
                      </w:rPr>
                    </w:pPr>
                    <w:r>
                      <w:rPr>
                        <w:color w:val="000000"/>
                        <w:szCs w:val="24"/>
                        <w:lang w:eastAsia="lt-LT"/>
                      </w:rPr>
                      <w:t>2.   Atsižvelgiant į tai, kad plečiamas savanorišką praktiką atliekančių asmenų, kurie bus valstybės lėšomis draudžiami sveikatos draudimu bei nelaimingų atsitikimų darbe ir profesinių ligų socialiniu draudimu, ratas, įstatymo projekto įgyvendinimui reikės papildomų valstybės biudžeto lėšų. Įvertinus tai, kad  ateinančių metų valstybės biudžeto projektas  šiuo metu jau svarstomas Seime, manytina, kad dėl siūlomo teisinio reguliavimo turėtų būti gauta Vyriausybės kaip biudžeto planuotojos nuomonė.</w:t>
                    </w:r>
                  </w:p>
                </w:tc>
                <w:tc>
                  <w:tcPr>
                    <w:tcW w:w="1559" w:type="dxa"/>
                  </w:tcPr>
                  <w:p>
                    <w:pPr>
                      <w:jc w:val="center"/>
                      <w:rPr>
                        <w:bCs/>
                        <w:szCs w:val="24"/>
                      </w:rPr>
                    </w:pPr>
                    <w:r>
                      <w:rPr>
                        <w:bCs/>
                        <w:szCs w:val="24"/>
                      </w:rPr>
                      <w:t xml:space="preserve">Pritarti </w:t>
                    </w:r>
                  </w:p>
                </w:tc>
                <w:tc>
                  <w:tcPr>
                    <w:tcW w:w="2551" w:type="dxa"/>
                  </w:tcPr>
                  <w:p>
                    <w:pPr>
                      <w:jc w:val="both"/>
                      <w:rPr>
                        <w:bCs/>
                        <w:szCs w:val="24"/>
                      </w:rPr>
                    </w:pPr>
                    <w:r>
                      <w:rPr>
                        <w:bCs/>
                        <w:szCs w:val="24"/>
                      </w:rPr>
                      <w:t>LRV išvada gauta (2021-11-17 nutarimas Nr. 942).</w:t>
                    </w:r>
                  </w:p>
                </w:tc>
              </w:tr>
              <w:tr>
                <w:trPr>
                  <w:trHeight w:val="415"/>
                </w:trPr>
                <w:tc>
                  <w:tcPr>
                    <w:tcW w:w="588" w:type="dxa"/>
                  </w:tcPr>
                  <w:p>
                    <w:pPr>
                      <w:jc w:val="both"/>
                      <w:rPr>
                        <w:bCs/>
                        <w:szCs w:val="24"/>
                      </w:rPr>
                    </w:pPr>
                    <w:r>
                      <w:rPr>
                        <w:bCs/>
                        <w:szCs w:val="24"/>
                      </w:rPr>
                      <w:t>1.3.</w:t>
                    </w:r>
                  </w:p>
                </w:tc>
                <w:tc>
                  <w:tcPr>
                    <w:tcW w:w="1788" w:type="dxa"/>
                  </w:tcPr>
                  <w:p>
                    <w:pPr>
                      <w:jc w:val="both"/>
                      <w:rPr>
                        <w:bCs/>
                        <w:szCs w:val="24"/>
                      </w:rPr>
                    </w:pPr>
                    <w:r>
                      <w:rPr>
                        <w:bCs/>
                        <w:szCs w:val="24"/>
                      </w:rPr>
                      <w:t>Seimo kanceliarijos Teisės departamentas,</w:t>
                    </w:r>
                  </w:p>
                  <w:p>
                    <w:pPr>
                      <w:jc w:val="both"/>
                      <w:rPr>
                        <w:bCs/>
                        <w:szCs w:val="24"/>
                      </w:rPr>
                    </w:pPr>
                    <w:r>
                      <w:rPr>
                        <w:bCs/>
                        <w:szCs w:val="24"/>
                      </w:rPr>
                      <w:t>202</w:t>
                    </w:r>
                    <w:r>
                      <w:rPr>
                        <w:bCs/>
                        <w:szCs w:val="24"/>
                        <w:lang w:val="en-US"/>
                      </w:rPr>
                      <w:t>0</w:t>
                    </w:r>
                    <w:r>
                      <w:rPr>
                        <w:bCs/>
                        <w:szCs w:val="24"/>
                      </w:rPr>
                      <w:t>-12-22</w:t>
                    </w:r>
                  </w:p>
                </w:tc>
                <w:tc>
                  <w:tcPr>
                    <w:tcW w:w="567" w:type="dxa"/>
                  </w:tcPr>
                  <w:p>
                    <w:pPr>
                      <w:jc w:val="both"/>
                      <w:rPr>
                        <w:b/>
                        <w:bCs/>
                        <w:szCs w:val="24"/>
                      </w:rPr>
                    </w:pPr>
                  </w:p>
                </w:tc>
                <w:tc>
                  <w:tcPr>
                    <w:tcW w:w="709" w:type="dxa"/>
                  </w:tcPr>
                  <w:p>
                    <w:pPr>
                      <w:jc w:val="both"/>
                      <w:rPr>
                        <w:b/>
                        <w:bCs/>
                        <w:szCs w:val="24"/>
                      </w:rPr>
                    </w:pPr>
                  </w:p>
                </w:tc>
                <w:tc>
                  <w:tcPr>
                    <w:tcW w:w="567" w:type="dxa"/>
                  </w:tcPr>
                  <w:p>
                    <w:pPr>
                      <w:jc w:val="both"/>
                      <w:rPr>
                        <w:b/>
                        <w:bCs/>
                        <w:szCs w:val="24"/>
                      </w:rPr>
                    </w:pPr>
                  </w:p>
                </w:tc>
                <w:tc>
                  <w:tcPr>
                    <w:tcW w:w="6521" w:type="dxa"/>
                  </w:tcPr>
                  <w:p>
                    <w:pPr>
                      <w:ind w:firstLine="709"/>
                      <w:jc w:val="both"/>
                      <w:rPr>
                        <w:color w:val="000000"/>
                        <w:szCs w:val="24"/>
                        <w:lang w:eastAsia="lt-LT"/>
                      </w:rPr>
                    </w:pPr>
                    <w:r>
                      <w:rPr>
                        <w:color w:val="000000"/>
                        <w:szCs w:val="24"/>
                        <w:lang w:eastAsia="lt-LT"/>
                      </w:rPr>
                      <w:t>3. Atsižvelgiant į teisės technikos taisyklių reikalavimus, įstatymo projekto pavadinime brauktini pertekliniai skaičius ir žodis „1 DALIES“. Analogiškai tikslintinas įstatymo projekto pavadinimas ir įstatymo projekto 1 straipsnio pavadinimas lyginamajame projekto variante.</w:t>
                    </w:r>
                  </w:p>
                  <w:p>
                    <w:pPr>
                      <w:ind w:firstLine="709"/>
                      <w:jc w:val="both"/>
                      <w:rPr>
                        <w:color w:val="000000"/>
                        <w:szCs w:val="24"/>
                        <w:lang w:eastAsia="lt-LT"/>
                      </w:rPr>
                    </w:pPr>
                  </w:p>
                </w:tc>
                <w:tc>
                  <w:tcPr>
                    <w:tcW w:w="1559" w:type="dxa"/>
                  </w:tcPr>
                  <w:p>
                    <w:pPr>
                      <w:jc w:val="center"/>
                      <w:rPr>
                        <w:bCs/>
                        <w:szCs w:val="24"/>
                      </w:rPr>
                    </w:pPr>
                    <w:r>
                      <w:rPr>
                        <w:bCs/>
                        <w:szCs w:val="24"/>
                      </w:rPr>
                      <w:t xml:space="preserve">Pritarti </w:t>
                    </w:r>
                  </w:p>
                </w:tc>
                <w:tc>
                  <w:tcPr>
                    <w:tcW w:w="2551" w:type="dxa"/>
                  </w:tcPr>
                  <w:p>
                    <w:pPr>
                      <w:jc w:val="both"/>
                      <w:rPr>
                        <w:bCs/>
                        <w:szCs w:val="24"/>
                      </w:rPr>
                    </w:pPr>
                  </w:p>
                </w:tc>
              </w:tr>
              <w:tr>
                <w:trPr>
                  <w:trHeight w:val="415"/>
                </w:trPr>
                <w:tc>
                  <w:tcPr>
                    <w:tcW w:w="588" w:type="dxa"/>
                  </w:tcPr>
                  <w:p>
                    <w:pPr>
                      <w:spacing w:line="360" w:lineRule="auto"/>
                      <w:jc w:val="center"/>
                    </w:pPr>
                    <w:r>
                      <w:t>2.</w:t>
                    </w:r>
                  </w:p>
                </w:tc>
                <w:tc>
                  <w:tcPr>
                    <w:tcW w:w="1788" w:type="dxa"/>
                  </w:tcPr>
                  <w:p>
                    <w:pPr>
                      <w:jc w:val="both"/>
                      <w:rPr>
                        <w:bCs/>
                        <w:szCs w:val="24"/>
                        <w:lang w:val="en-US"/>
                      </w:rPr>
                    </w:pPr>
                    <w:r>
                      <w:rPr>
                        <w:bCs/>
                        <w:szCs w:val="24"/>
                      </w:rPr>
                      <w:t>Lietuvos Respublikos Teisingumo ministerija, 2020-</w:t>
                    </w:r>
                    <w:r>
                      <w:rPr>
                        <w:bCs/>
                        <w:szCs w:val="24"/>
                        <w:lang w:val="en-US"/>
                      </w:rPr>
                      <w:t>12-23</w:t>
                    </w:r>
                  </w:p>
                  <w:p>
                    <w:pPr>
                      <w:jc w:val="both"/>
                      <w:rPr>
                        <w:bCs/>
                        <w:szCs w:val="24"/>
                      </w:rPr>
                    </w:pPr>
                  </w:p>
                </w:tc>
                <w:tc>
                  <w:tcPr>
                    <w:tcW w:w="567" w:type="dxa"/>
                  </w:tcPr>
                  <w:p>
                    <w:pPr>
                      <w:jc w:val="both"/>
                      <w:rPr>
                        <w:b/>
                        <w:bCs/>
                        <w:szCs w:val="24"/>
                      </w:rPr>
                    </w:pPr>
                  </w:p>
                </w:tc>
                <w:tc>
                  <w:tcPr>
                    <w:tcW w:w="709" w:type="dxa"/>
                  </w:tcPr>
                  <w:p>
                    <w:pPr>
                      <w:jc w:val="both"/>
                      <w:rPr>
                        <w:b/>
                        <w:bCs/>
                        <w:szCs w:val="24"/>
                      </w:rPr>
                    </w:pPr>
                  </w:p>
                </w:tc>
                <w:tc>
                  <w:tcPr>
                    <w:tcW w:w="567" w:type="dxa"/>
                  </w:tcPr>
                  <w:p>
                    <w:pPr>
                      <w:spacing w:line="360" w:lineRule="auto"/>
                      <w:jc w:val="center"/>
                      <w:rPr>
                        <w:b/>
                      </w:rPr>
                    </w:pPr>
                  </w:p>
                </w:tc>
                <w:tc>
                  <w:tcPr>
                    <w:tcW w:w="6521" w:type="dxa"/>
                  </w:tcPr>
                  <w:p>
                    <w:pPr>
                      <w:jc w:val="both"/>
                      <w:rPr>
                        <w:color w:val="000000"/>
                        <w:szCs w:val="24"/>
                        <w:lang w:eastAsia="lt-LT"/>
                      </w:rPr>
                    </w:pPr>
                    <w:r>
                      <w:rPr>
                        <w:lang w:val="en-US" w:eastAsia="lt-LT"/>
                      </w:rPr>
                      <w:t>Įvertinę Lietuvos Respublikos užimtumo įstatymo Nr. XII-2470 10 straipsnio 1 dalies pakeitimo įstatymo projekto Nr. XIVP­129 atitiktį Europos Sąjungos teisei, pažymime, kad pastabų neturime.</w:t>
                    </w:r>
                  </w:p>
                </w:tc>
                <w:tc>
                  <w:tcPr>
                    <w:tcW w:w="1559" w:type="dxa"/>
                  </w:tcPr>
                  <w:p>
                    <w:pPr>
                      <w:jc w:val="center"/>
                      <w:rPr>
                        <w:bCs/>
                        <w:szCs w:val="24"/>
                      </w:rPr>
                    </w:pPr>
                    <w:r>
                      <w:rPr>
                        <w:bCs/>
                        <w:szCs w:val="24"/>
                      </w:rPr>
                      <w:t>Atsižvelgti</w:t>
                    </w:r>
                  </w:p>
                </w:tc>
                <w:tc>
                  <w:tcPr>
                    <w:tcW w:w="2551" w:type="dxa"/>
                  </w:tcPr>
                  <w:p>
                    <w:pPr>
                      <w:jc w:val="both"/>
                      <w:rPr>
                        <w:bCs/>
                        <w:szCs w:val="24"/>
                      </w:rPr>
                    </w:pPr>
                  </w:p>
                </w:tc>
              </w:tr>
            </w:tbl>
            <w:p/>
          </w:sdtContent>
        </w:sdt>
        <w:sdt>
          <w:sdtPr>
            <w:alias w:val="3 p."/>
            <w:tag w:val="part_0b03161870f24b508655f61bb716d77b"/>
            <w:lock w:val="sdtLocked"/>
            <w:richText/>
          </w:sdtPr>
          <w:sdtContent>
            <w:p>
              <w:pPr>
                <w:keepNext/>
                <w:spacing w:line="360" w:lineRule="auto"/>
                <w:ind w:firstLine="720"/>
                <w:jc w:val="both"/>
                <w:outlineLvl w:val="5"/>
                <w:rPr>
                  <w:bCs/>
                  <w:szCs w:val="24"/>
                </w:rPr>
              </w:pPr>
              <w:sdt>
                <w:sdtPr>
                  <w:alias w:val="Numeris"/>
                  <w:tag w:val="nr_0b03161870f24b508655f61bb716d77b"/>
                  <w:lock w:val="sdtLocked"/>
                  <w:richText/>
                </w:sdtPr>
                <w:sdtContent>
                  <w:r>
                    <w:rPr>
                      <w:b/>
                      <w:bCs/>
                      <w:szCs w:val="24"/>
                    </w:rPr>
                    <w:t>3</w:t>
                  </w:r>
                </w:sdtContent>
              </w:sdt>
              <w:r>
                <w:rPr>
                  <w:b/>
                  <w:bCs/>
                  <w:szCs w:val="24"/>
                </w:rPr>
                <w:t xml:space="preserve">. Piliečių, asociacijų, politinių partijų, lobistų ir kitų suinteresuotų asmenų pasiūlymai: </w:t>
              </w:r>
              <w:r>
                <w:rPr>
                  <w:bCs/>
                  <w:szCs w:val="24"/>
                </w:rPr>
                <w:t>dėl projekto Nr. XIVP-</w:t>
              </w:r>
              <w:r>
                <w:rPr>
                  <w:bCs/>
                  <w:szCs w:val="24"/>
                  <w:lang w:val="en-US"/>
                </w:rPr>
                <w:t>129</w:t>
              </w:r>
              <w:r>
                <w:rPr>
                  <w:bCs/>
                  <w:szCs w:val="24"/>
                </w:rPr>
                <w:t xml:space="preserve"> negauta. </w:t>
              </w:r>
            </w:p>
          </w:sdtContent>
        </w:sdt>
        <w:sdt>
          <w:sdtPr>
            <w:alias w:val="4 p."/>
            <w:tag w:val="part_22f68b7d2ab0442ab701159af4a7946e"/>
            <w:lock w:val="sdtLocked"/>
            <w:richText/>
          </w:sdtPr>
          <w:sdtContent>
            <w:p>
              <w:pPr>
                <w:keepNext/>
                <w:spacing w:line="360" w:lineRule="auto"/>
                <w:ind w:firstLine="720"/>
                <w:jc w:val="both"/>
                <w:outlineLvl w:val="5"/>
                <w:rPr>
                  <w:bCs/>
                  <w:szCs w:val="24"/>
                </w:rPr>
              </w:pPr>
              <w:sdt>
                <w:sdtPr>
                  <w:alias w:val="Numeris"/>
                  <w:tag w:val="nr_22f68b7d2ab0442ab701159af4a7946e"/>
                  <w:lock w:val="sdtLocked"/>
                  <w:richText/>
                </w:sdtPr>
                <w:sdtContent>
                  <w:r>
                    <w:rPr>
                      <w:b/>
                      <w:bCs/>
                      <w:szCs w:val="24"/>
                    </w:rPr>
                    <w:t>4</w:t>
                  </w:r>
                </w:sdtContent>
              </w:sdt>
              <w:r>
                <w:rPr>
                  <w:b/>
                  <w:bCs/>
                  <w:szCs w:val="24"/>
                </w:rPr>
                <w:t xml:space="preserve">. Valstybės ir savivaldybių institucijų ir įstaigų pasiūlymai: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trPr>
                  <w:trHeight w:val="472"/>
                  <w:tblHeader/>
                  <w:jc w:val="center"/>
                </w:trPr>
                <w:tc>
                  <w:tcPr>
                    <w:tcW w:w="570" w:type="dxa"/>
                    <w:vMerge w:val="restart"/>
                    <w:vAlign w:val="center"/>
                  </w:tcPr>
                  <w:p>
                    <w:pPr>
                      <w:rPr>
                        <w:sz w:val="22"/>
                        <w:szCs w:val="22"/>
                        <w:lang w:val="en-US" w:eastAsia="lt-LT"/>
                      </w:rPr>
                    </w:pPr>
                    <w:r>
                      <w:rPr>
                        <w:sz w:val="22"/>
                        <w:szCs w:val="22"/>
                        <w:lang w:val="en-US" w:eastAsia="lt-LT"/>
                      </w:rPr>
                      <w:t>Eil.</w:t>
                    </w:r>
                  </w:p>
                  <w:p>
                    <w:pPr>
                      <w:jc w:val="center"/>
                      <w:rPr>
                        <w:sz w:val="22"/>
                        <w:szCs w:val="22"/>
                        <w:lang w:val="en-US" w:eastAsia="lt-LT"/>
                      </w:rPr>
                    </w:pPr>
                    <w:r>
                      <w:rPr>
                        <w:sz w:val="22"/>
                        <w:szCs w:val="22"/>
                        <w:lang w:val="en-US" w:eastAsia="lt-LT"/>
                      </w:rPr>
                      <w:t>Nr.</w:t>
                    </w:r>
                  </w:p>
                </w:tc>
                <w:tc>
                  <w:tcPr>
                    <w:tcW w:w="2297" w:type="dxa"/>
                    <w:vMerge w:val="restart"/>
                    <w:vAlign w:val="center"/>
                  </w:tcPr>
                  <w:p>
                    <w:pPr>
                      <w:jc w:val="center"/>
                      <w:rPr>
                        <w:sz w:val="22"/>
                        <w:szCs w:val="22"/>
                        <w:lang w:val="en-US" w:eastAsia="lt-LT"/>
                      </w:rPr>
                    </w:pPr>
                    <w:r>
                      <w:rPr>
                        <w:sz w:val="22"/>
                        <w:szCs w:val="22"/>
                        <w:lang w:val="en-US" w:eastAsia="lt-LT"/>
                      </w:rPr>
                      <w:t>Pasiūlymo teikėjas, data</w:t>
                    </w:r>
                  </w:p>
                </w:tc>
                <w:tc>
                  <w:tcPr>
                    <w:tcW w:w="2052" w:type="dxa"/>
                    <w:gridSpan w:val="3"/>
                    <w:vAlign w:val="center"/>
                  </w:tcPr>
                  <w:p>
                    <w:pPr>
                      <w:jc w:val="center"/>
                      <w:rPr>
                        <w:sz w:val="22"/>
                        <w:szCs w:val="22"/>
                        <w:lang w:val="en-US" w:eastAsia="lt-LT"/>
                      </w:rPr>
                    </w:pPr>
                    <w:r>
                      <w:rPr>
                        <w:sz w:val="22"/>
                        <w:szCs w:val="22"/>
                        <w:lang w:val="en-US" w:eastAsia="lt-LT"/>
                      </w:rPr>
                      <w:t>Siūloma keisti</w:t>
                    </w:r>
                  </w:p>
                </w:tc>
                <w:tc>
                  <w:tcPr>
                    <w:tcW w:w="5544" w:type="dxa"/>
                    <w:vMerge w:val="restart"/>
                    <w:vAlign w:val="center"/>
                  </w:tcPr>
                  <w:p>
                    <w:pPr>
                      <w:jc w:val="center"/>
                      <w:rPr>
                        <w:sz w:val="22"/>
                        <w:szCs w:val="22"/>
                        <w:lang w:val="en-US" w:eastAsia="lt-LT"/>
                      </w:rPr>
                    </w:pPr>
                  </w:p>
                  <w:p>
                    <w:pPr>
                      <w:jc w:val="center"/>
                      <w:rPr>
                        <w:sz w:val="22"/>
                        <w:szCs w:val="22"/>
                        <w:lang w:val="en-US" w:eastAsia="lt-LT"/>
                      </w:rPr>
                    </w:pPr>
                    <w:r>
                      <w:rPr>
                        <w:sz w:val="22"/>
                        <w:szCs w:val="22"/>
                        <w:lang w:val="en-US" w:eastAsia="lt-LT"/>
                      </w:rPr>
                      <w:t>Pasiūlymo turinys</w:t>
                    </w:r>
                  </w:p>
                  <w:p>
                    <w:pPr>
                      <w:jc w:val="center"/>
                      <w:rPr>
                        <w:sz w:val="22"/>
                        <w:szCs w:val="22"/>
                        <w:lang w:val="en-US" w:eastAsia="lt-LT"/>
                      </w:rPr>
                    </w:pPr>
                  </w:p>
                </w:tc>
                <w:tc>
                  <w:tcPr>
                    <w:tcW w:w="1881" w:type="dxa"/>
                    <w:vMerge w:val="restart"/>
                    <w:vAlign w:val="center"/>
                  </w:tcPr>
                  <w:p>
                    <w:pPr>
                      <w:jc w:val="center"/>
                      <w:rPr>
                        <w:sz w:val="22"/>
                        <w:szCs w:val="22"/>
                        <w:lang w:val="en-US" w:eastAsia="lt-LT"/>
                      </w:rPr>
                    </w:pPr>
                    <w:r>
                      <w:rPr>
                        <w:sz w:val="22"/>
                        <w:szCs w:val="22"/>
                        <w:lang w:val="en-US" w:eastAsia="lt-LT"/>
                      </w:rPr>
                      <w:t>Komiteto nuomonė</w:t>
                    </w:r>
                  </w:p>
                </w:tc>
                <w:tc>
                  <w:tcPr>
                    <w:tcW w:w="2824" w:type="dxa"/>
                    <w:vMerge w:val="restart"/>
                    <w:vAlign w:val="center"/>
                  </w:tcPr>
                  <w:p>
                    <w:pPr>
                      <w:jc w:val="center"/>
                      <w:rPr>
                        <w:sz w:val="22"/>
                        <w:szCs w:val="22"/>
                        <w:lang w:val="en-US" w:eastAsia="lt-LT"/>
                      </w:rPr>
                    </w:pPr>
                    <w:r>
                      <w:rPr>
                        <w:sz w:val="22"/>
                        <w:szCs w:val="22"/>
                        <w:lang w:val="en-US" w:eastAsia="lt-LT"/>
                      </w:rPr>
                      <w:t xml:space="preserve">Argumentai, </w:t>
                    </w:r>
                  </w:p>
                  <w:p>
                    <w:pPr>
                      <w:jc w:val="center"/>
                      <w:rPr>
                        <w:sz w:val="22"/>
                        <w:szCs w:val="22"/>
                        <w:lang w:val="en-US" w:eastAsia="lt-LT"/>
                      </w:rPr>
                    </w:pPr>
                    <w:r>
                      <w:rPr>
                        <w:sz w:val="22"/>
                        <w:szCs w:val="22"/>
                        <w:lang w:val="en-US" w:eastAsia="lt-LT"/>
                      </w:rPr>
                      <w:t>pagrindžiantys nuomonę</w:t>
                    </w:r>
                  </w:p>
                </w:tc>
              </w:tr>
              <w:tr>
                <w:trPr>
                  <w:trHeight w:val="472"/>
                  <w:tblHeader/>
                  <w:jc w:val="center"/>
                </w:trPr>
                <w:tc>
                  <w:tcPr>
                    <w:tcW w:w="570" w:type="dxa"/>
                    <w:vMerge/>
                  </w:tcPr>
                  <w:p>
                    <w:pPr>
                      <w:rPr>
                        <w:lang w:val="en-US" w:eastAsia="lt-LT"/>
                      </w:rPr>
                    </w:pPr>
                  </w:p>
                </w:tc>
                <w:tc>
                  <w:tcPr>
                    <w:tcW w:w="2297" w:type="dxa"/>
                    <w:vMerge/>
                  </w:tcPr>
                  <w:p>
                    <w:pPr>
                      <w:rPr>
                        <w:lang w:val="en-US" w:eastAsia="lt-LT"/>
                      </w:rPr>
                    </w:pPr>
                  </w:p>
                </w:tc>
                <w:tc>
                  <w:tcPr>
                    <w:tcW w:w="684" w:type="dxa"/>
                    <w:vAlign w:val="center"/>
                  </w:tcPr>
                  <w:p>
                    <w:pPr>
                      <w:jc w:val="center"/>
                      <w:rPr>
                        <w:sz w:val="20"/>
                        <w:lang w:val="en-US" w:eastAsia="lt-LT"/>
                      </w:rPr>
                    </w:pPr>
                    <w:r>
                      <w:rPr>
                        <w:sz w:val="20"/>
                        <w:lang w:val="en-US" w:eastAsia="lt-LT"/>
                      </w:rPr>
                      <w:t>str.</w:t>
                    </w:r>
                  </w:p>
                </w:tc>
                <w:tc>
                  <w:tcPr>
                    <w:tcW w:w="684" w:type="dxa"/>
                    <w:vAlign w:val="center"/>
                  </w:tcPr>
                  <w:p>
                    <w:pPr>
                      <w:jc w:val="center"/>
                      <w:rPr>
                        <w:sz w:val="20"/>
                        <w:lang w:val="en-US" w:eastAsia="lt-LT"/>
                      </w:rPr>
                    </w:pPr>
                    <w:r>
                      <w:rPr>
                        <w:sz w:val="20"/>
                        <w:lang w:val="en-US" w:eastAsia="lt-LT"/>
                      </w:rPr>
                      <w:t>str. d.</w:t>
                    </w:r>
                  </w:p>
                </w:tc>
                <w:tc>
                  <w:tcPr>
                    <w:tcW w:w="684" w:type="dxa"/>
                    <w:vAlign w:val="center"/>
                  </w:tcPr>
                  <w:p>
                    <w:pPr>
                      <w:jc w:val="center"/>
                      <w:rPr>
                        <w:sz w:val="20"/>
                        <w:lang w:val="en-US" w:eastAsia="lt-LT"/>
                      </w:rPr>
                    </w:pPr>
                    <w:r>
                      <w:rPr>
                        <w:sz w:val="20"/>
                        <w:lang w:val="en-US" w:eastAsia="lt-LT"/>
                      </w:rPr>
                      <w:t>p.</w:t>
                    </w:r>
                  </w:p>
                </w:tc>
                <w:tc>
                  <w:tcPr>
                    <w:tcW w:w="5544" w:type="dxa"/>
                    <w:vMerge/>
                  </w:tcPr>
                  <w:p>
                    <w:pPr>
                      <w:rPr>
                        <w:lang w:val="en-US" w:eastAsia="lt-LT"/>
                      </w:rPr>
                    </w:pPr>
                  </w:p>
                </w:tc>
                <w:tc>
                  <w:tcPr>
                    <w:tcW w:w="1881" w:type="dxa"/>
                    <w:vMerge/>
                  </w:tcPr>
                  <w:p>
                    <w:pPr>
                      <w:rPr>
                        <w:lang w:val="en-US" w:eastAsia="lt-LT"/>
                      </w:rPr>
                    </w:pPr>
                  </w:p>
                </w:tc>
                <w:tc>
                  <w:tcPr>
                    <w:tcW w:w="2824" w:type="dxa"/>
                    <w:vMerge/>
                  </w:tcPr>
                  <w:p>
                    <w:pPr>
                      <w:rPr>
                        <w:lang w:val="en-US" w:eastAsia="lt-LT"/>
                      </w:rPr>
                    </w:pPr>
                  </w:p>
                </w:tc>
              </w:tr>
              <w:tr>
                <w:trPr>
                  <w:jc w:val="center"/>
                </w:trPr>
                <w:tc>
                  <w:tcPr>
                    <w:tcW w:w="570" w:type="dxa"/>
                  </w:tcPr>
                  <w:p>
                    <w:pPr>
                      <w:jc w:val="center"/>
                      <w:rPr>
                        <w:bCs/>
                        <w:szCs w:val="24"/>
                      </w:rPr>
                    </w:pPr>
                    <w:r>
                      <w:rPr>
                        <w:bCs/>
                        <w:szCs w:val="24"/>
                      </w:rPr>
                      <w:t>1.</w:t>
                    </w:r>
                  </w:p>
                </w:tc>
                <w:tc>
                  <w:tcPr>
                    <w:tcW w:w="2297" w:type="dxa"/>
                  </w:tcPr>
                  <w:p>
                    <w:pPr>
                      <w:jc w:val="both"/>
                      <w:rPr>
                        <w:bCs/>
                        <w:szCs w:val="24"/>
                      </w:rPr>
                    </w:pPr>
                    <w:r>
                      <w:rPr>
                        <w:bCs/>
                        <w:szCs w:val="24"/>
                      </w:rPr>
                      <w:t>Socialinės apsaugos ir darbo ministerija</w:t>
                    </w:r>
                  </w:p>
                  <w:p>
                    <w:pPr>
                      <w:jc w:val="both"/>
                      <w:rPr>
                        <w:bCs/>
                        <w:szCs w:val="24"/>
                      </w:rPr>
                    </w:pPr>
                    <w:r>
                      <w:rPr>
                        <w:color w:val="555555"/>
                        <w:szCs w:val="24"/>
                      </w:rPr>
                      <w:t>(2021-06-15</w:t>
                    </w:r>
                    <w:r>
                      <w:rPr>
                        <w:color w:val="555555"/>
                        <w:szCs w:val="24"/>
                        <w:lang w:val="en-US"/>
                      </w:rPr>
                      <w:drawing>
                        <wp:inline distT="0" distB="0" distL="0" distR="0" wp14:anchorId="77579A81" wp14:editId="59E8FE8D">
                          <wp:extent cx="6350" cy="6350"/>
                          <wp:effectExtent l="0" t="0" r="0" b="0"/>
                          <wp:docPr id="2" name="Paveikslėlis 2" descr="https://dvs.lrs.lt/DocLogix/Images/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vs.lrs.lt/DocLogix/Images/Blank.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r>
                      <w:rPr>
                        <w:bCs/>
                        <w:color w:val="555555"/>
                        <w:szCs w:val="24"/>
                      </w:rPr>
                      <w:t xml:space="preserve"> reg. Nr.: </w:t>
                    </w:r>
                    <w:r>
                      <w:rPr>
                        <w:color w:val="555555"/>
                        <w:szCs w:val="24"/>
                      </w:rPr>
                      <w:t>G-2021-6941)</w:t>
                    </w:r>
                  </w:p>
                  <w:p>
                    <w:pPr>
                      <w:jc w:val="both"/>
                      <w:rPr>
                        <w:bCs/>
                        <w:szCs w:val="24"/>
                      </w:rPr>
                    </w:pPr>
                  </w:p>
                </w:tc>
                <w:tc>
                  <w:tcPr>
                    <w:tcW w:w="684" w:type="dxa"/>
                  </w:tcPr>
                  <w:p>
                    <w:pPr>
                      <w:jc w:val="center"/>
                      <w:rPr>
                        <w:b/>
                        <w:bCs/>
                        <w:szCs w:val="24"/>
                      </w:rPr>
                    </w:pPr>
                  </w:p>
                </w:tc>
                <w:tc>
                  <w:tcPr>
                    <w:tcW w:w="684" w:type="dxa"/>
                  </w:tcPr>
                  <w:p>
                    <w:pPr>
                      <w:jc w:val="center"/>
                      <w:rPr>
                        <w:b/>
                        <w:bCs/>
                        <w:szCs w:val="24"/>
                      </w:rPr>
                    </w:pPr>
                  </w:p>
                </w:tc>
                <w:tc>
                  <w:tcPr>
                    <w:tcW w:w="684" w:type="dxa"/>
                  </w:tcPr>
                  <w:p>
                    <w:pPr>
                      <w:jc w:val="center"/>
                      <w:rPr>
                        <w:b/>
                        <w:bCs/>
                        <w:szCs w:val="24"/>
                      </w:rPr>
                    </w:pPr>
                  </w:p>
                </w:tc>
                <w:tc>
                  <w:tcPr>
                    <w:tcW w:w="5544" w:type="dxa"/>
                  </w:tcPr>
                  <w:p>
                    <w:pPr>
                      <w:ind w:firstLine="359"/>
                      <w:jc w:val="both"/>
                      <w:rPr>
                        <w:bCs/>
                        <w:szCs w:val="24"/>
                      </w:rPr>
                    </w:pPr>
                    <w:r>
                      <w:rPr>
                        <w:bCs/>
                        <w:szCs w:val="24"/>
                      </w:rPr>
                      <w:t xml:space="preserve">Lietuvos Respublikos socialinės apsaugos ir darbo ministerija, atsakydama į Lietuvos Respublikos Socialinių reikalų ir darbo komiteto (toliau – Komitetas) 2021-06-01 raštą Nr. S-2021-2955 „Dėl nuomonės pateikimo“ informuoja, kad įvertino Lietuvos Respublikos Užimtumo įstatymo Nr. XII-2470 10 straipsnio 1 dalies pakeitimo įstatymo projektą Nr. XIVP-129 (toliau - Įstatymo projektas), kuriuo siūloma ir vyresniems nei 29 metų asmenims leisti sudaryti savanoriškos praktikos sutartis su įmonėmis, įstaigomis, organizacijomis ar kitomis organizacinėmis struktūromis (toliau – įmonė) savanoriškai praktikai atlikti ir </w:t>
                    </w:r>
                    <w:r>
                      <w:rPr>
                        <w:bCs/>
                        <w:szCs w:val="24"/>
                        <w:u w:val="single"/>
                      </w:rPr>
                      <w:t xml:space="preserve">teikia Komitetui nuomonę, nekeisti Užimtumo įstatymo 10  straipsnio 1 dalies galiojančios nuostatos</w:t>
                    </w:r>
                    <w:r>
                      <w:rPr>
                        <w:bCs/>
                        <w:szCs w:val="24"/>
                      </w:rPr>
                      <w:t>, kad teisę sudaryti savanoriškos praktikos sutartis turi asmenys iki 29 metų.</w:t>
                    </w:r>
                  </w:p>
                  <w:p>
                    <w:pPr>
                      <w:tabs>
                        <w:tab w:val="left" w:pos="217"/>
                      </w:tabs>
                      <w:ind w:firstLine="351"/>
                      <w:jc w:val="both"/>
                      <w:rPr>
                        <w:bCs/>
                        <w:szCs w:val="24"/>
                      </w:rPr>
                    </w:pPr>
                    <w:r>
                      <w:rPr>
                        <w:bCs/>
                        <w:szCs w:val="24"/>
                      </w:rPr>
                      <w:t>Pastebėtina, kad, rengdama pasiūlymą dėl savanoriškos praktikos reglamentavimo, Lietuvos Respublikos Prezidentūra Lietuvos Respublikos užimtumo rėmimo įstatymo 22 straipsnio pakeitimo ir įstatymo papildymo 26</w:t>
                    </w:r>
                    <w:r>
                      <w:rPr>
                        <w:bCs/>
                        <w:szCs w:val="24"/>
                        <w:vertAlign w:val="superscript"/>
                      </w:rPr>
                      <w:t>1</w:t>
                    </w:r>
                    <w:r>
                      <w:rPr>
                        <w:bCs/>
                        <w:szCs w:val="24"/>
                      </w:rPr>
                      <w:t xml:space="preserve"> straipsniu įstatymo projekto aiškinamajame rašte nurodė jos tikslą – „sudaryti sąlygas jauniems asmenims nuo 16 iki 29 metų įgyti praktinių įgūdžių savarankiškai sudarant dvišales sutartis su juridiniu asmeniu. Įstatymu taip pat siekiama užtikrinti jaunų asmenų, savarankiškai įgyjančių praktinių įgūdžių, teisinę apsaugą“. </w:t>
                    </w:r>
                  </w:p>
                  <w:p>
                    <w:pPr>
                      <w:tabs>
                        <w:tab w:val="left" w:pos="359"/>
                      </w:tabs>
                      <w:ind w:firstLine="359"/>
                      <w:jc w:val="both"/>
                      <w:rPr>
                        <w:bCs/>
                        <w:szCs w:val="24"/>
                      </w:rPr>
                    </w:pPr>
                    <w:r>
                      <w:rPr>
                        <w:bCs/>
                        <w:szCs w:val="24"/>
                      </w:rPr>
                      <w:t xml:space="preserve">Užimtumo įstatyme, kuris įsigaliojo 2017 m. liepos 1 d. aukščiau minėta nuostata nebuvo keičiama. Siekiant taiklesnio ir efektyvesnio aktyvios darbo rinkos politikos priemonių taikymo buvo nustatytos darbo rinkoje papildomai remimų asmenų grupės, kurios turi mažiau galimybių įsidarbinti todėl joms reikalinga pagalba. Papildomai darbo rinkoje remiamoms asmenų grupėms, viena iš jų – jaunimas iki 29 metų (amžiaus riba nustatyta Lietuvos Respublikos jaunimo politikos pagrindų įstatyme) atitinkamai taikomos skirtingos užimtumo rėmimo priemonės, įvertinus aplinkybes, kad būtent šios amžiaus grupės asmenims būna sunkiau įsidarbinti, nes jie dar studijuoja, neturi darbinės patirties ir reikiamų darbo įgūdžių, buvo nustatyta galimybė sudaryti savanoriškos praktikos sutartis su įmonę, kurioje atliekama neatlygintina savanoriška praktika. </w:t>
                    </w:r>
                  </w:p>
                  <w:p>
                    <w:pPr>
                      <w:tabs>
                        <w:tab w:val="left" w:pos="359"/>
                      </w:tabs>
                      <w:ind w:firstLine="351"/>
                      <w:jc w:val="both"/>
                      <w:rPr>
                        <w:bCs/>
                        <w:szCs w:val="24"/>
                      </w:rPr>
                    </w:pPr>
                    <w:r>
                      <w:rPr>
                        <w:bCs/>
                        <w:szCs w:val="24"/>
                      </w:rPr>
                      <w:t xml:space="preserve">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Todėl, sudarius galimybę savanoriškos praktikos sutartis sudaryti ne tik asmenims iki 29 metų, bet ir vyresniems asmenims, tikėtina, kad jomis būtų naudojamasi siekiant išvengti įdarbinimo pagal darbo sutartis, taip pat sveikatos draudimo įmokų mokėjimo. </w:t>
                    </w:r>
                  </w:p>
                  <w:p>
                    <w:pPr>
                      <w:ind w:firstLine="351"/>
                      <w:jc w:val="both"/>
                      <w:rPr>
                        <w:bCs/>
                        <w:szCs w:val="24"/>
                      </w:rPr>
                    </w:pPr>
                    <w:r>
                      <w:rPr>
                        <w:bCs/>
                        <w:szCs w:val="24"/>
                      </w:rPr>
                      <w:t>Pažymėtina, kad išplėtus savanorišką praktiką atliekančių asmenų, kurie bus valstybės lėšomis draudžiami sveikatos draudimu bei nelaimingų atsitikimų darbe ir profesinių ligų socialiniu draudimu, ratą, Įstatymo projekto įgyvendinimui reikės papildomų valstybės biudžeto lėšų. Šiuo metu Seime svarstomame Lietuvos Respublikos 2021 metų valstybės biudžeto ir savivaldybių biudžetų finansinių rodiklių patvirtinimo įstatymo pakeitimo įstatymo projekte papildomi asignavimai nenumatyti.</w:t>
                    </w:r>
                  </w:p>
                  <w:p>
                    <w:pPr>
                      <w:ind w:firstLine="351"/>
                      <w:jc w:val="both"/>
                      <w:rPr>
                        <w:bCs/>
                        <w:szCs w:val="24"/>
                      </w:rPr>
                    </w:pPr>
                    <w:r>
                      <w:rPr>
                        <w:bCs/>
                        <w:szCs w:val="24"/>
                      </w:rPr>
                      <w:t>Atkreiptinas dėmesys, kad Užimtumo įstatyme (41 ir 42 straipsniai) tiesiogiai darbo vietoje trūkstamiems darbo įgūdžiams įgyti yra nustatyta darbo įgūdžių įgijimo rėmimo priemonė, kuri organizuojama pirmą kartą pagal įgytą kvalifikaciją ar kompetenciją darbo veiklą pradedantiems visų amžiaus grupių bedarbiams.</w:t>
                    </w:r>
                  </w:p>
                </w:tc>
                <w:tc>
                  <w:tcPr>
                    <w:tcW w:w="1881" w:type="dxa"/>
                  </w:tcPr>
                  <w:p>
                    <w:pPr>
                      <w:jc w:val="center"/>
                      <w:rPr>
                        <w:bCs/>
                        <w:szCs w:val="24"/>
                      </w:rPr>
                    </w:pPr>
                    <w:r>
                      <w:rPr>
                        <w:bCs/>
                        <w:szCs w:val="24"/>
                      </w:rPr>
                      <w:t xml:space="preserve">Ministerijos nuomonė įvertinta, tačiau ji pasikeitusi atsižvelgiant į teigiamą š.m. lapkričio mėn. Vyriausybės išvadą (įstatymo projektui siūloma pritarti), todėl nėra aktuali.  </w:t>
                    </w:r>
                  </w:p>
                </w:tc>
                <w:tc>
                  <w:tcPr>
                    <w:tcW w:w="2824" w:type="dxa"/>
                  </w:tcPr>
                  <w:p>
                    <w:pPr>
                      <w:jc w:val="both"/>
                      <w:rPr>
                        <w:bCs/>
                        <w:szCs w:val="24"/>
                        <w:lang w:val="en-US"/>
                      </w:rPr>
                    </w:pPr>
                    <w:r>
                      <w:rPr>
                        <w:bCs/>
                        <w:szCs w:val="24"/>
                      </w:rPr>
                      <w:t xml:space="preserve">Komitete pritarta 2021-11-17 </w:t>
                    </w:r>
                    <w:r>
                      <w:rPr>
                        <w:bCs/>
                        <w:color w:val="0000FF"/>
                        <w:szCs w:val="24"/>
                        <w:u w:val="single"/>
                      </w:rPr>
                      <w:t>Vyriausybės nutarime</w:t>
                    </w:r>
                    <w:r>
                      <w:rPr>
                        <w:bCs/>
                        <w:szCs w:val="24"/>
                      </w:rPr>
                      <w:t xml:space="preserve"> Nr. 942 pateiktai pozicijai dėl pritarimo įstatymo projektui Nr. XIVP-129. Seimo paskirtas papildomas Biudžeto ir finansų komitetas projektui taip pat pritarė. </w:t>
                    </w:r>
                  </w:p>
                </w:tc>
              </w:tr>
            </w:tbl>
            <w:p>
              <w:pPr>
                <w:rPr>
                  <w:szCs w:val="24"/>
                  <w:lang w:eastAsia="lt-LT"/>
                </w:rPr>
              </w:pPr>
            </w:p>
          </w:sdtContent>
        </w:sdt>
        <w:sdt>
          <w:sdtPr>
            <w:alias w:val="5 p."/>
            <w:tag w:val="part_e168ab0771f94e9b926107c0a480abc7"/>
            <w:lock w:val="sdtLocked"/>
            <w:richText/>
          </w:sdtPr>
          <w:sdtContent>
            <w:p>
              <w:pPr>
                <w:keepNext/>
                <w:spacing w:line="360" w:lineRule="auto"/>
                <w:ind w:firstLine="720"/>
                <w:jc w:val="both"/>
                <w:outlineLvl w:val="5"/>
                <w:rPr>
                  <w:bCs/>
                  <w:szCs w:val="24"/>
                </w:rPr>
              </w:pPr>
              <w:sdt>
                <w:sdtPr>
                  <w:alias w:val="Numeris"/>
                  <w:tag w:val="nr_e168ab0771f94e9b926107c0a480abc7"/>
                  <w:lock w:val="sdtLocked"/>
                  <w:richText/>
                </w:sdtPr>
                <w:sdtContent>
                  <w:r>
                    <w:rPr>
                      <w:b/>
                      <w:bCs/>
                      <w:szCs w:val="24"/>
                    </w:rPr>
                    <w:t>5</w:t>
                  </w:r>
                </w:sdtContent>
              </w:sdt>
              <w:r>
                <w:rPr>
                  <w:b/>
                  <w:bCs/>
                  <w:szCs w:val="24"/>
                </w:rPr>
                <w:t xml:space="preserve">. Subjektų, turinčių įstatymų leidybos iniciatyvos teisę, pasiūlymai: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trPr>
                  <w:cantSplit/>
                  <w:trHeight w:val="472"/>
                  <w:tblHeader/>
                  <w:jc w:val="center"/>
                </w:trPr>
                <w:tc>
                  <w:tcPr>
                    <w:tcW w:w="563" w:type="dxa"/>
                    <w:vMerge w:val="restart"/>
                    <w:vAlign w:val="center"/>
                  </w:tcPr>
                  <w:p>
                    <w:pPr>
                      <w:jc w:val="center"/>
                      <w:rPr>
                        <w:sz w:val="22"/>
                        <w:szCs w:val="22"/>
                        <w:lang w:val="en-US" w:eastAsia="lt-LT"/>
                      </w:rPr>
                    </w:pPr>
                    <w:r>
                      <w:rPr>
                        <w:sz w:val="22"/>
                        <w:szCs w:val="22"/>
                        <w:lang w:val="en-US" w:eastAsia="lt-LT"/>
                      </w:rPr>
                      <w:t>Eil.</w:t>
                    </w:r>
                  </w:p>
                  <w:p>
                    <w:pPr>
                      <w:jc w:val="center"/>
                      <w:rPr>
                        <w:sz w:val="22"/>
                        <w:szCs w:val="22"/>
                        <w:lang w:val="en-US" w:eastAsia="lt-LT"/>
                      </w:rPr>
                    </w:pPr>
                    <w:r>
                      <w:rPr>
                        <w:sz w:val="22"/>
                        <w:szCs w:val="22"/>
                        <w:lang w:val="en-US" w:eastAsia="lt-LT"/>
                      </w:rPr>
                      <w:t>Nr.</w:t>
                    </w:r>
                  </w:p>
                </w:tc>
                <w:tc>
                  <w:tcPr>
                    <w:tcW w:w="1975" w:type="dxa"/>
                    <w:vMerge w:val="restart"/>
                    <w:vAlign w:val="center"/>
                  </w:tcPr>
                  <w:p>
                    <w:pPr>
                      <w:jc w:val="center"/>
                      <w:rPr>
                        <w:sz w:val="22"/>
                        <w:szCs w:val="22"/>
                        <w:lang w:val="en-US" w:eastAsia="lt-LT"/>
                      </w:rPr>
                    </w:pPr>
                    <w:r>
                      <w:rPr>
                        <w:sz w:val="22"/>
                        <w:szCs w:val="22"/>
                        <w:lang w:val="en-US" w:eastAsia="lt-LT"/>
                      </w:rPr>
                      <w:t>Pasiūlymo teikėjas, data</w:t>
                    </w:r>
                  </w:p>
                </w:tc>
                <w:tc>
                  <w:tcPr>
                    <w:tcW w:w="2019" w:type="dxa"/>
                    <w:gridSpan w:val="3"/>
                    <w:vAlign w:val="center"/>
                  </w:tcPr>
                  <w:p>
                    <w:pPr>
                      <w:jc w:val="center"/>
                      <w:rPr>
                        <w:sz w:val="22"/>
                        <w:szCs w:val="22"/>
                        <w:lang w:val="en-US" w:eastAsia="lt-LT"/>
                      </w:rPr>
                    </w:pPr>
                    <w:r>
                      <w:rPr>
                        <w:sz w:val="22"/>
                        <w:szCs w:val="22"/>
                        <w:lang w:val="en-US" w:eastAsia="lt-LT"/>
                      </w:rPr>
                      <w:t>Siūloma keisti</w:t>
                    </w:r>
                  </w:p>
                </w:tc>
                <w:tc>
                  <w:tcPr>
                    <w:tcW w:w="562" w:type="dxa"/>
                    <w:vMerge w:val="restart"/>
                    <w:textDirection w:val="btLr"/>
                    <w:vAlign w:val="center"/>
                  </w:tcPr>
                  <w:p>
                    <w:pPr>
                      <w:ind w:left="113" w:right="113"/>
                      <w:jc w:val="center"/>
                      <w:rPr>
                        <w:sz w:val="22"/>
                        <w:szCs w:val="22"/>
                        <w:lang w:val="en-US" w:eastAsia="lt-LT"/>
                      </w:rPr>
                    </w:pPr>
                    <w:r>
                      <w:rPr>
                        <w:sz w:val="22"/>
                        <w:szCs w:val="22"/>
                        <w:lang w:val="en-US" w:eastAsia="lt-LT"/>
                      </w:rPr>
                      <w:t>Pastabos</w:t>
                    </w:r>
                  </w:p>
                </w:tc>
                <w:tc>
                  <w:tcPr>
                    <w:tcW w:w="5434" w:type="dxa"/>
                    <w:vMerge w:val="restart"/>
                    <w:vAlign w:val="center"/>
                  </w:tcPr>
                  <w:p>
                    <w:pPr>
                      <w:jc w:val="center"/>
                      <w:rPr>
                        <w:sz w:val="22"/>
                        <w:szCs w:val="22"/>
                        <w:lang w:val="en-US" w:eastAsia="lt-LT"/>
                      </w:rPr>
                    </w:pPr>
                    <w:r>
                      <w:rPr>
                        <w:sz w:val="22"/>
                        <w:szCs w:val="22"/>
                        <w:lang w:val="en-US" w:eastAsia="lt-LT"/>
                      </w:rPr>
                      <w:t>Pasiūlymo turinys</w:t>
                    </w:r>
                  </w:p>
                </w:tc>
                <w:tc>
                  <w:tcPr>
                    <w:tcW w:w="1819" w:type="dxa"/>
                    <w:vMerge w:val="restart"/>
                    <w:vAlign w:val="center"/>
                  </w:tcPr>
                  <w:p>
                    <w:pPr>
                      <w:jc w:val="center"/>
                      <w:rPr>
                        <w:sz w:val="22"/>
                        <w:szCs w:val="22"/>
                        <w:lang w:val="en-US" w:eastAsia="lt-LT"/>
                      </w:rPr>
                    </w:pPr>
                    <w:r>
                      <w:rPr>
                        <w:sz w:val="22"/>
                        <w:szCs w:val="22"/>
                        <w:lang w:val="en-US" w:eastAsia="lt-LT"/>
                      </w:rPr>
                      <w:t>Komiteto nuomonė</w:t>
                    </w:r>
                  </w:p>
                </w:tc>
                <w:tc>
                  <w:tcPr>
                    <w:tcW w:w="2796" w:type="dxa"/>
                    <w:vMerge w:val="restart"/>
                    <w:vAlign w:val="center"/>
                  </w:tcPr>
                  <w:p>
                    <w:pPr>
                      <w:jc w:val="center"/>
                      <w:rPr>
                        <w:sz w:val="22"/>
                        <w:szCs w:val="22"/>
                        <w:lang w:val="en-US" w:eastAsia="lt-LT"/>
                      </w:rPr>
                    </w:pPr>
                    <w:r>
                      <w:rPr>
                        <w:sz w:val="22"/>
                        <w:szCs w:val="22"/>
                        <w:lang w:val="en-US" w:eastAsia="lt-LT"/>
                      </w:rPr>
                      <w:t xml:space="preserve">Argumentai, </w:t>
                    </w:r>
                  </w:p>
                  <w:p>
                    <w:pPr>
                      <w:jc w:val="center"/>
                      <w:rPr>
                        <w:sz w:val="22"/>
                        <w:szCs w:val="22"/>
                        <w:lang w:val="en-US" w:eastAsia="lt-LT"/>
                      </w:rPr>
                    </w:pPr>
                    <w:r>
                      <w:rPr>
                        <w:sz w:val="22"/>
                        <w:szCs w:val="22"/>
                        <w:lang w:val="en-US" w:eastAsia="lt-LT"/>
                      </w:rPr>
                      <w:t>pagrindžiantys nuomonę</w:t>
                    </w:r>
                  </w:p>
                </w:tc>
              </w:tr>
              <w:tr>
                <w:trPr>
                  <w:trHeight w:val="579"/>
                  <w:tblHeader/>
                  <w:jc w:val="center"/>
                </w:trPr>
                <w:tc>
                  <w:tcPr>
                    <w:tcW w:w="563" w:type="dxa"/>
                    <w:vMerge/>
                  </w:tcPr>
                  <w:p>
                    <w:pPr>
                      <w:rPr>
                        <w:lang w:val="en-US" w:eastAsia="lt-LT"/>
                      </w:rPr>
                    </w:pPr>
                  </w:p>
                </w:tc>
                <w:tc>
                  <w:tcPr>
                    <w:tcW w:w="1975" w:type="dxa"/>
                    <w:vMerge/>
                  </w:tcPr>
                  <w:p>
                    <w:pPr>
                      <w:rPr>
                        <w:lang w:val="en-US" w:eastAsia="lt-LT"/>
                      </w:rPr>
                    </w:pPr>
                  </w:p>
                </w:tc>
                <w:tc>
                  <w:tcPr>
                    <w:tcW w:w="673" w:type="dxa"/>
                    <w:vAlign w:val="center"/>
                  </w:tcPr>
                  <w:p>
                    <w:pPr>
                      <w:jc w:val="center"/>
                      <w:rPr>
                        <w:sz w:val="20"/>
                        <w:lang w:val="en-US" w:eastAsia="lt-LT"/>
                      </w:rPr>
                    </w:pPr>
                    <w:r>
                      <w:rPr>
                        <w:sz w:val="20"/>
                        <w:lang w:val="en-US" w:eastAsia="lt-LT"/>
                      </w:rPr>
                      <w:t>str.</w:t>
                    </w:r>
                  </w:p>
                </w:tc>
                <w:tc>
                  <w:tcPr>
                    <w:tcW w:w="673" w:type="dxa"/>
                    <w:vAlign w:val="center"/>
                  </w:tcPr>
                  <w:p>
                    <w:pPr>
                      <w:jc w:val="center"/>
                      <w:rPr>
                        <w:sz w:val="20"/>
                        <w:lang w:val="en-US" w:eastAsia="lt-LT"/>
                      </w:rPr>
                    </w:pPr>
                    <w:r>
                      <w:rPr>
                        <w:sz w:val="20"/>
                        <w:lang w:val="en-US" w:eastAsia="lt-LT"/>
                      </w:rPr>
                      <w:t>str. d.</w:t>
                    </w:r>
                  </w:p>
                </w:tc>
                <w:tc>
                  <w:tcPr>
                    <w:tcW w:w="673" w:type="dxa"/>
                    <w:vAlign w:val="center"/>
                  </w:tcPr>
                  <w:p>
                    <w:pPr>
                      <w:jc w:val="center"/>
                      <w:rPr>
                        <w:sz w:val="20"/>
                        <w:lang w:val="en-US" w:eastAsia="lt-LT"/>
                      </w:rPr>
                    </w:pPr>
                    <w:r>
                      <w:rPr>
                        <w:sz w:val="20"/>
                        <w:lang w:val="en-US" w:eastAsia="lt-LT"/>
                      </w:rPr>
                      <w:t>p.</w:t>
                    </w:r>
                  </w:p>
                </w:tc>
                <w:tc>
                  <w:tcPr>
                    <w:tcW w:w="562" w:type="dxa"/>
                    <w:vMerge/>
                  </w:tcPr>
                  <w:p>
                    <w:pPr>
                      <w:rPr>
                        <w:lang w:val="en-US" w:eastAsia="lt-LT"/>
                      </w:rPr>
                    </w:pPr>
                  </w:p>
                </w:tc>
                <w:tc>
                  <w:tcPr>
                    <w:tcW w:w="5434" w:type="dxa"/>
                    <w:vMerge/>
                  </w:tcPr>
                  <w:p>
                    <w:pPr>
                      <w:rPr>
                        <w:lang w:val="en-US" w:eastAsia="lt-LT"/>
                      </w:rPr>
                    </w:pPr>
                  </w:p>
                </w:tc>
                <w:tc>
                  <w:tcPr>
                    <w:tcW w:w="1819" w:type="dxa"/>
                    <w:vMerge/>
                  </w:tcPr>
                  <w:p>
                    <w:pPr>
                      <w:rPr>
                        <w:lang w:val="en-US" w:eastAsia="lt-LT"/>
                      </w:rPr>
                    </w:pPr>
                  </w:p>
                </w:tc>
                <w:tc>
                  <w:tcPr>
                    <w:tcW w:w="2796" w:type="dxa"/>
                    <w:vMerge/>
                  </w:tcPr>
                  <w:p>
                    <w:pPr>
                      <w:rPr>
                        <w:lang w:val="en-US" w:eastAsia="lt-LT"/>
                      </w:rPr>
                    </w:pPr>
                  </w:p>
                </w:tc>
              </w:tr>
              <w:tr>
                <w:trPr>
                  <w:jc w:val="center"/>
                </w:trPr>
                <w:tc>
                  <w:tcPr>
                    <w:tcW w:w="563" w:type="dxa"/>
                  </w:tcPr>
                  <w:p>
                    <w:pPr>
                      <w:jc w:val="center"/>
                      <w:rPr>
                        <w:bCs/>
                        <w:szCs w:val="24"/>
                      </w:rPr>
                    </w:pPr>
                    <w:r>
                      <w:rPr>
                        <w:bCs/>
                        <w:szCs w:val="24"/>
                      </w:rPr>
                      <w:t>1.</w:t>
                    </w:r>
                  </w:p>
                </w:tc>
                <w:tc>
                  <w:tcPr>
                    <w:tcW w:w="1975" w:type="dxa"/>
                  </w:tcPr>
                  <w:p>
                    <w:pPr>
                      <w:jc w:val="both"/>
                      <w:rPr>
                        <w:bCs/>
                        <w:szCs w:val="24"/>
                      </w:rPr>
                    </w:pPr>
                    <w:r>
                      <w:rPr>
                        <w:bCs/>
                        <w:szCs w:val="24"/>
                      </w:rPr>
                      <w:t xml:space="preserve">LR Vyriausybės 2021 m. lapkričio 17 d. </w:t>
                    </w:r>
                    <w:r>
                      <w:rPr>
                        <w:bCs/>
                        <w:color w:val="0000FF"/>
                        <w:szCs w:val="24"/>
                        <w:u w:val="single"/>
                      </w:rPr>
                      <w:t>nutarimas</w:t>
                    </w:r>
                    <w:r>
                      <w:rPr>
                        <w:bCs/>
                        <w:szCs w:val="24"/>
                      </w:rPr>
                      <w:t xml:space="preserve"> Nr. 942 (</w:t>
                    </w:r>
                    <w:r>
                      <w:rPr>
                        <w:bCs/>
                        <w:color w:val="000000"/>
                        <w:szCs w:val="24"/>
                        <w:shd w:val="clear" w:color="auto" w:fill="FFFFFF"/>
                      </w:rPr>
                      <w:t>TAR, 2021-11-18, Nr. 23840)</w:t>
                    </w:r>
                  </w:p>
                </w:tc>
                <w:tc>
                  <w:tcPr>
                    <w:tcW w:w="673" w:type="dxa"/>
                  </w:tcPr>
                  <w:p>
                    <w:pPr>
                      <w:jc w:val="center"/>
                      <w:rPr>
                        <w:b/>
                        <w:bCs/>
                        <w:szCs w:val="24"/>
                      </w:rPr>
                    </w:pPr>
                  </w:p>
                </w:tc>
                <w:tc>
                  <w:tcPr>
                    <w:tcW w:w="673" w:type="dxa"/>
                  </w:tcPr>
                  <w:p>
                    <w:pPr>
                      <w:jc w:val="center"/>
                      <w:rPr>
                        <w:b/>
                        <w:bCs/>
                        <w:szCs w:val="24"/>
                      </w:rPr>
                    </w:pPr>
                  </w:p>
                </w:tc>
                <w:tc>
                  <w:tcPr>
                    <w:tcW w:w="673" w:type="dxa"/>
                  </w:tcPr>
                  <w:p>
                    <w:pPr>
                      <w:jc w:val="center"/>
                      <w:rPr>
                        <w:b/>
                        <w:bCs/>
                        <w:szCs w:val="24"/>
                      </w:rPr>
                    </w:pPr>
                  </w:p>
                </w:tc>
                <w:tc>
                  <w:tcPr>
                    <w:tcW w:w="562" w:type="dxa"/>
                  </w:tcPr>
                  <w:p>
                    <w:pPr>
                      <w:jc w:val="center"/>
                      <w:rPr>
                        <w:bCs/>
                        <w:szCs w:val="24"/>
                      </w:rPr>
                    </w:pPr>
                  </w:p>
                </w:tc>
                <w:tc>
                  <w:tcPr>
                    <w:tcW w:w="5434" w:type="dxa"/>
                  </w:tcPr>
                  <w:p>
                    <w:pPr>
                      <w:ind w:firstLine="295"/>
                      <w:jc w:val="both"/>
                      <w:rPr>
                        <w:color w:val="000000"/>
                        <w:szCs w:val="24"/>
                        <w:lang w:eastAsia="lt-LT"/>
                      </w:rPr>
                    </w:pPr>
                    <w:r>
                      <w:rPr>
                        <w:color w:val="000000"/>
                        <w:szCs w:val="24"/>
                        <w:lang w:eastAsia="lt-LT"/>
                      </w:rPr>
                      <w:t>Vadovaudamasi Lietuvos Respublikos Seimo statuto 138 straipsnio 3 dalimi ir atsižvelgdama į Lietuvos Respublikos Seimo valdybos 2021 m. rugsėjo 29 d. sprendimo Nr. SV</w:t>
                      <w:noBreakHyphen/>
                      <w:t>S</w:t>
                      <w:noBreakHyphen/>
                      <w:t>212 „Dėl įstatymų projektų išvadų“ 1 punktą, Lietuvos Respublikos Vyriausybė </w:t>
                    </w:r>
                    <w:r>
                      <w:rPr>
                        <w:color w:val="000000"/>
                        <w:spacing w:val="100"/>
                        <w:szCs w:val="24"/>
                        <w:lang w:eastAsia="lt-LT"/>
                      </w:rPr>
                      <w:t>nutari</w:t>
                    </w:r>
                    <w:r>
                      <w:rPr>
                        <w:color w:val="000000"/>
                        <w:szCs w:val="24"/>
                        <w:lang w:eastAsia="lt-LT"/>
                      </w:rPr>
                      <w:t>a:</w:t>
                    </w:r>
                  </w:p>
                  <w:p>
                    <w:pPr>
                      <w:ind w:firstLine="295"/>
                      <w:jc w:val="both"/>
                      <w:rPr>
                        <w:color w:val="000000"/>
                        <w:szCs w:val="24"/>
                        <w:lang w:val="en-US" w:eastAsia="lt-LT"/>
                      </w:rPr>
                    </w:pPr>
                    <w:r>
                      <w:rPr>
                        <w:color w:val="000000"/>
                        <w:szCs w:val="24"/>
                        <w:lang w:val="en-US" w:eastAsia="lt-LT"/>
                      </w:rPr>
                      <w:t xml:space="preserve">1. </w:t>
                    </w:r>
                    <w:r>
                      <w:rPr>
                        <w:b/>
                        <w:color w:val="000000"/>
                        <w:szCs w:val="24"/>
                        <w:lang w:val="en-US" w:eastAsia="lt-LT"/>
                      </w:rPr>
                      <w:t xml:space="preserve">Pritarti </w:t>
                    </w:r>
                    <w:r>
                      <w:rPr>
                        <w:color w:val="000000"/>
                        <w:szCs w:val="24"/>
                        <w:lang w:val="en-US" w:eastAsia="lt-LT"/>
                      </w:rPr>
                      <w:t>Lietuvos Respublikos užimtumo įstatymo Nr.</w:t>
                    </w:r>
                    <w:r>
                      <w:rPr>
                        <w:bCs/>
                        <w:caps/>
                        <w:color w:val="000000"/>
                        <w:szCs w:val="24"/>
                        <w:lang w:val="en-US" w:eastAsia="lt-LT"/>
                      </w:rPr>
                      <w:t> </w:t>
                    </w:r>
                    <w:r>
                      <w:rPr>
                        <w:color w:val="000000"/>
                        <w:szCs w:val="24"/>
                        <w:lang w:val="en-US" w:eastAsia="lt-LT"/>
                      </w:rPr>
                      <w:t>XII-2470 10 straipsnio 1 dalies pakeitimo įstatymo projektui Nr. XIVP-129.</w:t>
                    </w:r>
                  </w:p>
                  <w:p>
                    <w:pPr>
                      <w:ind w:firstLine="295"/>
                      <w:jc w:val="both"/>
                      <w:rPr>
                        <w:bCs/>
                        <w:szCs w:val="24"/>
                      </w:rPr>
                    </w:pPr>
                    <w:r>
                      <w:rPr>
                        <w:bCs/>
                        <w:color w:val="000000"/>
                        <w:szCs w:val="24"/>
                      </w:rPr>
                      <w:t>2. Atkreipti Lietuvos Respublikos Seimo dėmesį į tai, kad, suteikus teisę savanoriškos praktikos sutartis sudaryti didesniam asmenų skaičiui, prireiktų papildomų Lietuvos Respublikos valstybės biudžeto lėšų. Valstybinio socialinio draudimo fondo valdybos prie Socialinės apsaugos ir darbo ministerijos duomenimis, per 2020 m. savanorišką praktiką atliko 2,1 tūkst. asmenų, sveikatos draudimui panaudota 11,8 tūkst. Eur, o nelaimingų atsitikimų darbe ir profesinių ligų socialiniam draudimui – 2,4 tūkst. Eur valstybės biudžeto lėšų. Daugiau nei 80 proc. savanorišką praktiką atliekančių asmenų yra iki 24 metų. Europos Sąjungos statistikos tarnybos duomenimis, 18–24 metų asmenų dalyvavimo švietime, mokymuose (per paskutines 4 savaites) rodiklis 2020 m. siekė 61,4 proc., o 25–69 metų asmenų – 6,7 proc. Lietuvos statistikos departamento 2020 m. duomenimis, iš 209,2 tūkst. 18–24 metų asmenų švietime ir mokymuose dalyvavo 128,4 tūkst., o iš 1 mln. 684,6 tūkst. 25–69 metų asmenų – 112,9 tūkst. Savanoriškos praktikos sutartis sudaro apie 1,2 proc. 18–24 metų asmenų. Kadangi vyresnio amžiaus asmenys turi šeiminių įsipareigojimų ir galimybės atlikti savanorišką praktiką neatlygintinai gali neturėti, preliminariais skaičiavimais, suteikus teisę savanoriškos praktikos sutartis sudaryti didesniam asmenų skaičiui, papildomai savanoriškos praktikos sutartis per metus sudarytų apie 1,4 tūkst. asmenų. Šių asmenų sveikatos draudimui ir nelaimingų atsitikimų darbe ir profesinių ligų socialiniam draudimui metams reikėtų apie 9,5 tūkst. Eur valstybės biudžeto lėšų, kurios būtų skiriamos iš Lietuvos Respublikos sveikatos apsaugos ministerijos ir Lietuvos Respublikos socialinės apsaugos ir darbo ministerijos turimų asignavimų.</w:t>
                    </w:r>
                  </w:p>
                </w:tc>
                <w:tc>
                  <w:tcPr>
                    <w:tcW w:w="1819" w:type="dxa"/>
                  </w:tcPr>
                  <w:p>
                    <w:pPr>
                      <w:jc w:val="center"/>
                      <w:rPr>
                        <w:bCs/>
                        <w:szCs w:val="24"/>
                      </w:rPr>
                    </w:pPr>
                    <w:r>
                      <w:rPr>
                        <w:bCs/>
                        <w:szCs w:val="24"/>
                      </w:rPr>
                      <w:t>Pritarti</w:t>
                    </w:r>
                  </w:p>
                </w:tc>
                <w:tc>
                  <w:tcPr>
                    <w:tcW w:w="2796" w:type="dxa"/>
                  </w:tcPr>
                  <w:p>
                    <w:pPr>
                      <w:ind w:firstLine="227"/>
                      <w:jc w:val="both"/>
                      <w:rPr>
                        <w:b/>
                        <w:bCs/>
                        <w:sz w:val="22"/>
                        <w:szCs w:val="22"/>
                      </w:rPr>
                    </w:pPr>
                  </w:p>
                </w:tc>
              </w:tr>
            </w:tbl>
            <w:p/>
          </w:sdtContent>
        </w:sdt>
        <w:sdt>
          <w:sdtPr>
            <w:alias w:val="6 p."/>
            <w:tag w:val="part_0b31c6f157204c25aaa029fab4d57a0e"/>
            <w:lock w:val="sdtLocked"/>
            <w:richText/>
          </w:sdtPr>
          <w:sdtContent>
            <w:p>
              <w:pPr>
                <w:keepNext/>
                <w:spacing w:line="360" w:lineRule="auto"/>
                <w:ind w:firstLine="720"/>
                <w:jc w:val="both"/>
                <w:outlineLvl w:val="5"/>
                <w:rPr>
                  <w:bCs/>
                  <w:szCs w:val="24"/>
                </w:rPr>
              </w:pPr>
              <w:sdt>
                <w:sdtPr>
                  <w:alias w:val="Numeris"/>
                  <w:tag w:val="nr_0b31c6f157204c25aaa029fab4d57a0e"/>
                  <w:lock w:val="sdtLocked"/>
                  <w:richText/>
                </w:sdtPr>
                <w:sdtContent>
                  <w:r>
                    <w:rPr>
                      <w:b/>
                      <w:bCs/>
                      <w:szCs w:val="24"/>
                    </w:rPr>
                    <w:t>6</w:t>
                  </w:r>
                </w:sdtContent>
              </w:sdt>
              <w:r>
                <w:rPr>
                  <w:b/>
                  <w:bCs/>
                  <w:szCs w:val="24"/>
                </w:rPr>
                <w:t xml:space="preserve">. Seimo paskirtų papildomų komitetų, komisijų pasiūlymai: </w:t>
              </w:r>
              <w:r>
                <w:rPr>
                  <w:bCs/>
                  <w:szCs w:val="24"/>
                </w:rPr>
                <w:t xml:space="preserve">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trPr>
                  <w:cantSplit/>
                  <w:trHeight w:val="472"/>
                  <w:tblHeader/>
                  <w:jc w:val="center"/>
                </w:trPr>
                <w:tc>
                  <w:tcPr>
                    <w:tcW w:w="563" w:type="dxa"/>
                    <w:vMerge w:val="restart"/>
                    <w:vAlign w:val="center"/>
                  </w:tcPr>
                  <w:p>
                    <w:pPr>
                      <w:jc w:val="center"/>
                      <w:rPr>
                        <w:sz w:val="22"/>
                        <w:szCs w:val="22"/>
                        <w:lang w:val="en-US" w:eastAsia="lt-LT"/>
                      </w:rPr>
                    </w:pPr>
                    <w:r>
                      <w:rPr>
                        <w:sz w:val="22"/>
                        <w:szCs w:val="22"/>
                        <w:lang w:val="en-US" w:eastAsia="lt-LT"/>
                      </w:rPr>
                      <w:t>Eil.</w:t>
                    </w:r>
                  </w:p>
                  <w:p>
                    <w:pPr>
                      <w:jc w:val="center"/>
                      <w:rPr>
                        <w:sz w:val="22"/>
                        <w:szCs w:val="22"/>
                        <w:lang w:val="en-US" w:eastAsia="lt-LT"/>
                      </w:rPr>
                    </w:pPr>
                    <w:r>
                      <w:rPr>
                        <w:sz w:val="22"/>
                        <w:szCs w:val="22"/>
                        <w:lang w:val="en-US" w:eastAsia="lt-LT"/>
                      </w:rPr>
                      <w:t>Nr.</w:t>
                    </w:r>
                  </w:p>
                </w:tc>
                <w:tc>
                  <w:tcPr>
                    <w:tcW w:w="1975" w:type="dxa"/>
                    <w:vMerge w:val="restart"/>
                    <w:vAlign w:val="center"/>
                  </w:tcPr>
                  <w:p>
                    <w:pPr>
                      <w:jc w:val="center"/>
                      <w:rPr>
                        <w:sz w:val="22"/>
                        <w:szCs w:val="22"/>
                        <w:lang w:val="en-US" w:eastAsia="lt-LT"/>
                      </w:rPr>
                    </w:pPr>
                    <w:r>
                      <w:rPr>
                        <w:sz w:val="22"/>
                        <w:szCs w:val="22"/>
                        <w:lang w:val="en-US" w:eastAsia="lt-LT"/>
                      </w:rPr>
                      <w:t>Pasiūlymo teikėjas, data</w:t>
                    </w:r>
                  </w:p>
                </w:tc>
                <w:tc>
                  <w:tcPr>
                    <w:tcW w:w="2019" w:type="dxa"/>
                    <w:gridSpan w:val="3"/>
                    <w:vAlign w:val="center"/>
                  </w:tcPr>
                  <w:p>
                    <w:pPr>
                      <w:jc w:val="center"/>
                      <w:rPr>
                        <w:sz w:val="22"/>
                        <w:szCs w:val="22"/>
                        <w:lang w:val="en-US" w:eastAsia="lt-LT"/>
                      </w:rPr>
                    </w:pPr>
                    <w:r>
                      <w:rPr>
                        <w:sz w:val="22"/>
                        <w:szCs w:val="22"/>
                        <w:lang w:val="en-US" w:eastAsia="lt-LT"/>
                      </w:rPr>
                      <w:t>Siūloma keisti</w:t>
                    </w:r>
                  </w:p>
                </w:tc>
                <w:tc>
                  <w:tcPr>
                    <w:tcW w:w="562" w:type="dxa"/>
                    <w:vMerge w:val="restart"/>
                    <w:textDirection w:val="btLr"/>
                    <w:vAlign w:val="center"/>
                  </w:tcPr>
                  <w:p>
                    <w:pPr>
                      <w:ind w:left="113" w:right="113"/>
                      <w:jc w:val="center"/>
                      <w:rPr>
                        <w:sz w:val="22"/>
                        <w:szCs w:val="22"/>
                        <w:lang w:val="en-US" w:eastAsia="lt-LT"/>
                      </w:rPr>
                    </w:pPr>
                    <w:r>
                      <w:rPr>
                        <w:sz w:val="22"/>
                        <w:szCs w:val="22"/>
                        <w:lang w:val="en-US" w:eastAsia="lt-LT"/>
                      </w:rPr>
                      <w:t>Pastabos</w:t>
                    </w:r>
                  </w:p>
                </w:tc>
                <w:tc>
                  <w:tcPr>
                    <w:tcW w:w="5434" w:type="dxa"/>
                    <w:vMerge w:val="restart"/>
                    <w:vAlign w:val="center"/>
                  </w:tcPr>
                  <w:p>
                    <w:pPr>
                      <w:jc w:val="center"/>
                      <w:rPr>
                        <w:sz w:val="22"/>
                        <w:szCs w:val="22"/>
                        <w:lang w:val="en-US" w:eastAsia="lt-LT"/>
                      </w:rPr>
                    </w:pPr>
                    <w:r>
                      <w:rPr>
                        <w:sz w:val="22"/>
                        <w:szCs w:val="22"/>
                        <w:lang w:val="en-US" w:eastAsia="lt-LT"/>
                      </w:rPr>
                      <w:t>Pasiūlymo turinys</w:t>
                    </w:r>
                  </w:p>
                </w:tc>
                <w:tc>
                  <w:tcPr>
                    <w:tcW w:w="1819" w:type="dxa"/>
                    <w:vMerge w:val="restart"/>
                    <w:vAlign w:val="center"/>
                  </w:tcPr>
                  <w:p>
                    <w:pPr>
                      <w:jc w:val="center"/>
                      <w:rPr>
                        <w:sz w:val="22"/>
                        <w:szCs w:val="22"/>
                        <w:lang w:val="en-US" w:eastAsia="lt-LT"/>
                      </w:rPr>
                    </w:pPr>
                    <w:r>
                      <w:rPr>
                        <w:sz w:val="22"/>
                        <w:szCs w:val="22"/>
                        <w:lang w:val="en-US" w:eastAsia="lt-LT"/>
                      </w:rPr>
                      <w:t>Komiteto nuomonė</w:t>
                    </w:r>
                  </w:p>
                </w:tc>
                <w:tc>
                  <w:tcPr>
                    <w:tcW w:w="2796" w:type="dxa"/>
                    <w:vMerge w:val="restart"/>
                    <w:vAlign w:val="center"/>
                  </w:tcPr>
                  <w:p>
                    <w:pPr>
                      <w:jc w:val="center"/>
                      <w:rPr>
                        <w:sz w:val="22"/>
                        <w:szCs w:val="22"/>
                        <w:lang w:val="en-US" w:eastAsia="lt-LT"/>
                      </w:rPr>
                    </w:pPr>
                    <w:r>
                      <w:rPr>
                        <w:sz w:val="22"/>
                        <w:szCs w:val="22"/>
                        <w:lang w:val="en-US" w:eastAsia="lt-LT"/>
                      </w:rPr>
                      <w:t xml:space="preserve">Argumentai, </w:t>
                    </w:r>
                  </w:p>
                  <w:p>
                    <w:pPr>
                      <w:jc w:val="center"/>
                      <w:rPr>
                        <w:sz w:val="22"/>
                        <w:szCs w:val="22"/>
                        <w:lang w:val="en-US" w:eastAsia="lt-LT"/>
                      </w:rPr>
                    </w:pPr>
                    <w:r>
                      <w:rPr>
                        <w:sz w:val="22"/>
                        <w:szCs w:val="22"/>
                        <w:lang w:val="en-US" w:eastAsia="lt-LT"/>
                      </w:rPr>
                      <w:t>pagrindžiantys nuomonę</w:t>
                    </w:r>
                  </w:p>
                </w:tc>
              </w:tr>
              <w:tr>
                <w:trPr>
                  <w:trHeight w:val="579"/>
                  <w:tblHeader/>
                  <w:jc w:val="center"/>
                </w:trPr>
                <w:tc>
                  <w:tcPr>
                    <w:tcW w:w="563" w:type="dxa"/>
                    <w:vMerge/>
                  </w:tcPr>
                  <w:p>
                    <w:pPr>
                      <w:rPr>
                        <w:lang w:val="en-US" w:eastAsia="lt-LT"/>
                      </w:rPr>
                    </w:pPr>
                  </w:p>
                </w:tc>
                <w:tc>
                  <w:tcPr>
                    <w:tcW w:w="1975" w:type="dxa"/>
                    <w:vMerge/>
                  </w:tcPr>
                  <w:p>
                    <w:pPr>
                      <w:rPr>
                        <w:lang w:val="en-US" w:eastAsia="lt-LT"/>
                      </w:rPr>
                    </w:pPr>
                  </w:p>
                </w:tc>
                <w:tc>
                  <w:tcPr>
                    <w:tcW w:w="673" w:type="dxa"/>
                    <w:vAlign w:val="center"/>
                  </w:tcPr>
                  <w:p>
                    <w:pPr>
                      <w:jc w:val="center"/>
                      <w:rPr>
                        <w:sz w:val="20"/>
                        <w:lang w:val="en-US" w:eastAsia="lt-LT"/>
                      </w:rPr>
                    </w:pPr>
                    <w:r>
                      <w:rPr>
                        <w:sz w:val="20"/>
                        <w:lang w:val="en-US" w:eastAsia="lt-LT"/>
                      </w:rPr>
                      <w:t>str.</w:t>
                    </w:r>
                  </w:p>
                </w:tc>
                <w:tc>
                  <w:tcPr>
                    <w:tcW w:w="673" w:type="dxa"/>
                    <w:vAlign w:val="center"/>
                  </w:tcPr>
                  <w:p>
                    <w:pPr>
                      <w:jc w:val="center"/>
                      <w:rPr>
                        <w:sz w:val="20"/>
                        <w:lang w:val="en-US" w:eastAsia="lt-LT"/>
                      </w:rPr>
                    </w:pPr>
                    <w:r>
                      <w:rPr>
                        <w:sz w:val="20"/>
                        <w:lang w:val="en-US" w:eastAsia="lt-LT"/>
                      </w:rPr>
                      <w:t>str. d.</w:t>
                    </w:r>
                  </w:p>
                </w:tc>
                <w:tc>
                  <w:tcPr>
                    <w:tcW w:w="673" w:type="dxa"/>
                    <w:vAlign w:val="center"/>
                  </w:tcPr>
                  <w:p>
                    <w:pPr>
                      <w:jc w:val="center"/>
                      <w:rPr>
                        <w:sz w:val="20"/>
                        <w:lang w:val="en-US" w:eastAsia="lt-LT"/>
                      </w:rPr>
                    </w:pPr>
                    <w:r>
                      <w:rPr>
                        <w:sz w:val="20"/>
                        <w:lang w:val="en-US" w:eastAsia="lt-LT"/>
                      </w:rPr>
                      <w:t>p.</w:t>
                    </w:r>
                  </w:p>
                </w:tc>
                <w:tc>
                  <w:tcPr>
                    <w:tcW w:w="562" w:type="dxa"/>
                    <w:vMerge/>
                  </w:tcPr>
                  <w:p>
                    <w:pPr>
                      <w:rPr>
                        <w:lang w:val="en-US" w:eastAsia="lt-LT"/>
                      </w:rPr>
                    </w:pPr>
                  </w:p>
                </w:tc>
                <w:tc>
                  <w:tcPr>
                    <w:tcW w:w="5434" w:type="dxa"/>
                    <w:vMerge/>
                  </w:tcPr>
                  <w:p>
                    <w:pPr>
                      <w:rPr>
                        <w:lang w:val="en-US" w:eastAsia="lt-LT"/>
                      </w:rPr>
                    </w:pPr>
                  </w:p>
                </w:tc>
                <w:tc>
                  <w:tcPr>
                    <w:tcW w:w="1819" w:type="dxa"/>
                    <w:vMerge/>
                  </w:tcPr>
                  <w:p>
                    <w:pPr>
                      <w:rPr>
                        <w:lang w:val="en-US" w:eastAsia="lt-LT"/>
                      </w:rPr>
                    </w:pPr>
                  </w:p>
                </w:tc>
                <w:tc>
                  <w:tcPr>
                    <w:tcW w:w="2796" w:type="dxa"/>
                    <w:vMerge/>
                  </w:tcPr>
                  <w:p>
                    <w:pPr>
                      <w:rPr>
                        <w:lang w:val="en-US" w:eastAsia="lt-LT"/>
                      </w:rPr>
                    </w:pPr>
                  </w:p>
                </w:tc>
              </w:tr>
              <w:tr>
                <w:trPr>
                  <w:jc w:val="center"/>
                </w:trPr>
                <w:tc>
                  <w:tcPr>
                    <w:tcW w:w="563" w:type="dxa"/>
                  </w:tcPr>
                  <w:p>
                    <w:pPr>
                      <w:jc w:val="center"/>
                      <w:rPr>
                        <w:bCs/>
                        <w:szCs w:val="24"/>
                      </w:rPr>
                    </w:pPr>
                    <w:r>
                      <w:rPr>
                        <w:bCs/>
                        <w:szCs w:val="24"/>
                      </w:rPr>
                      <w:t>1.</w:t>
                    </w:r>
                  </w:p>
                </w:tc>
                <w:tc>
                  <w:tcPr>
                    <w:tcW w:w="1975" w:type="dxa"/>
                  </w:tcPr>
                  <w:p>
                    <w:pPr>
                      <w:jc w:val="both"/>
                      <w:rPr>
                        <w:bCs/>
                        <w:szCs w:val="24"/>
                        <w:lang w:val="en-US"/>
                      </w:rPr>
                    </w:pPr>
                    <w:r>
                      <w:rPr>
                        <w:bCs/>
                        <w:color w:val="000000"/>
                        <w:szCs w:val="24"/>
                        <w:shd w:val="clear" w:color="auto" w:fill="FFFFFF"/>
                      </w:rPr>
                      <w:t>Biudžeto ir finansų komitetas (</w:t>
                    </w:r>
                    <w:r>
                      <w:rPr>
                        <w:bCs/>
                        <w:color w:val="000000"/>
                        <w:szCs w:val="24"/>
                        <w:shd w:val="clear" w:color="auto" w:fill="FFFFFF"/>
                        <w:lang w:val="en-US"/>
                      </w:rPr>
                      <w:t>21021-12-01)</w:t>
                    </w:r>
                  </w:p>
                </w:tc>
                <w:tc>
                  <w:tcPr>
                    <w:tcW w:w="673" w:type="dxa"/>
                  </w:tcPr>
                  <w:p>
                    <w:pPr>
                      <w:jc w:val="center"/>
                      <w:rPr>
                        <w:b/>
                        <w:bCs/>
                        <w:szCs w:val="24"/>
                      </w:rPr>
                    </w:pPr>
                  </w:p>
                </w:tc>
                <w:tc>
                  <w:tcPr>
                    <w:tcW w:w="673" w:type="dxa"/>
                  </w:tcPr>
                  <w:p>
                    <w:pPr>
                      <w:jc w:val="center"/>
                      <w:rPr>
                        <w:b/>
                        <w:bCs/>
                        <w:szCs w:val="24"/>
                      </w:rPr>
                    </w:pPr>
                  </w:p>
                </w:tc>
                <w:tc>
                  <w:tcPr>
                    <w:tcW w:w="673" w:type="dxa"/>
                  </w:tcPr>
                  <w:p>
                    <w:pPr>
                      <w:jc w:val="center"/>
                      <w:rPr>
                        <w:b/>
                        <w:bCs/>
                        <w:szCs w:val="24"/>
                      </w:rPr>
                    </w:pPr>
                  </w:p>
                </w:tc>
                <w:tc>
                  <w:tcPr>
                    <w:tcW w:w="562" w:type="dxa"/>
                  </w:tcPr>
                  <w:p>
                    <w:pPr>
                      <w:jc w:val="center"/>
                      <w:rPr>
                        <w:bCs/>
                        <w:szCs w:val="24"/>
                      </w:rPr>
                    </w:pPr>
                  </w:p>
                </w:tc>
                <w:tc>
                  <w:tcPr>
                    <w:tcW w:w="5434" w:type="dxa"/>
                  </w:tcPr>
                  <w:p>
                    <w:pPr>
                      <w:jc w:val="both"/>
                      <w:rPr>
                        <w:szCs w:val="24"/>
                        <w:u w:val="single"/>
                      </w:rPr>
                    </w:pPr>
                    <w:r>
                      <w:rPr>
                        <w:b/>
                        <w:szCs w:val="24"/>
                      </w:rPr>
                      <w:t xml:space="preserve">Sprendimas: </w:t>
                    </w:r>
                    <w:r>
                      <w:rPr>
                        <w:szCs w:val="24"/>
                      </w:rPr>
                      <w:t>Pasiūlyti pagrindiniam Socialinių reikalų ir darbo komitetui pritarti įstatymo projektui ir siūlyti jį tobulinti, atsižvelgiant į Seimo kanceliarijos Teisės departamento pastabą, kuriai komitetas pritaria.</w:t>
                    </w:r>
                  </w:p>
                  <w:p>
                    <w:pPr>
                      <w:jc w:val="both"/>
                      <w:rPr>
                        <w:bCs/>
                        <w:i/>
                        <w:szCs w:val="24"/>
                      </w:rPr>
                    </w:pPr>
                    <w:r>
                      <w:rPr>
                        <w:bCs/>
                        <w:i/>
                        <w:szCs w:val="24"/>
                      </w:rPr>
                      <w:t>Balsavimo rezultatai: sprendimui pritarta bendru sutarimu.</w:t>
                    </w:r>
                  </w:p>
                </w:tc>
                <w:tc>
                  <w:tcPr>
                    <w:tcW w:w="1819" w:type="dxa"/>
                  </w:tcPr>
                  <w:p>
                    <w:pPr>
                      <w:jc w:val="center"/>
                      <w:rPr>
                        <w:bCs/>
                        <w:szCs w:val="24"/>
                      </w:rPr>
                    </w:pPr>
                    <w:r>
                      <w:rPr>
                        <w:bCs/>
                        <w:szCs w:val="24"/>
                      </w:rPr>
                      <w:t>Pritarti</w:t>
                    </w:r>
                  </w:p>
                </w:tc>
                <w:tc>
                  <w:tcPr>
                    <w:tcW w:w="2796" w:type="dxa"/>
                  </w:tcPr>
                  <w:p>
                    <w:pPr>
                      <w:ind w:firstLine="227"/>
                      <w:jc w:val="both"/>
                      <w:rPr>
                        <w:b/>
                        <w:bCs/>
                        <w:sz w:val="22"/>
                        <w:szCs w:val="22"/>
                      </w:rPr>
                    </w:pPr>
                  </w:p>
                </w:tc>
              </w:tr>
            </w:tbl>
            <w:p>
              <w:pPr>
                <w:spacing w:line="360" w:lineRule="auto"/>
                <w:ind w:left="720"/>
                <w:jc w:val="both"/>
                <w:rPr>
                  <w:b/>
                  <w:lang w:eastAsia="lt-LT"/>
                </w:rPr>
              </w:pPr>
            </w:p>
          </w:sdtContent>
        </w:sdt>
        <w:sdt>
          <w:sdtPr>
            <w:alias w:val="7 p."/>
            <w:tag w:val="part_df54be7fc9bf4ffaa4b4de3e26a9a1b6"/>
            <w:lock w:val="sdtLocked"/>
            <w:richText/>
          </w:sdtPr>
          <w:sdtContent>
            <w:p>
              <w:pPr>
                <w:spacing w:line="360" w:lineRule="auto"/>
                <w:ind w:left="720"/>
                <w:jc w:val="both"/>
                <w:rPr>
                  <w:b/>
                  <w:lang w:eastAsia="lt-LT"/>
                </w:rPr>
              </w:pPr>
              <w:sdt>
                <w:sdtPr>
                  <w:alias w:val="Numeris"/>
                  <w:tag w:val="nr_df54be7fc9bf4ffaa4b4de3e26a9a1b6"/>
                  <w:lock w:val="sdtLocked"/>
                  <w:richText/>
                </w:sdtPr>
                <w:sdtContent>
                  <w:r>
                    <w:rPr>
                      <w:b/>
                      <w:lang w:eastAsia="lt-LT"/>
                    </w:rPr>
                    <w:t>7</w:t>
                  </w:r>
                </w:sdtContent>
              </w:sdt>
              <w:r>
                <w:rPr>
                  <w:b/>
                  <w:lang w:eastAsia="lt-LT"/>
                </w:rPr>
                <w:t xml:space="preserve">. Komiteto sprendimas: </w:t>
              </w:r>
              <w:r>
                <w:rPr>
                  <w:lang w:eastAsia="lt-LT"/>
                </w:rPr>
                <w:t>pritarti iniciatorių pateiktam įstatymo projektui ir komiteto išvadoms.</w:t>
              </w:r>
            </w:p>
          </w:sdtContent>
        </w:sdt>
        <w:sdt>
          <w:sdtPr>
            <w:alias w:val="8 p."/>
            <w:tag w:val="part_a3dfcbd4b5a5436983e99ee1e65e36d7"/>
            <w:lock w:val="sdtLocked"/>
            <w:richText/>
          </w:sdtPr>
          <w:sdtContent>
            <w:p>
              <w:pPr>
                <w:spacing w:line="360" w:lineRule="auto"/>
                <w:ind w:firstLine="720"/>
                <w:jc w:val="both"/>
                <w:rPr>
                  <w:szCs w:val="24"/>
                  <w:lang w:eastAsia="lt-LT"/>
                </w:rPr>
              </w:pPr>
              <w:sdt>
                <w:sdtPr>
                  <w:alias w:val="Numeris"/>
                  <w:tag w:val="nr_a3dfcbd4b5a5436983e99ee1e65e36d7"/>
                  <w:lock w:val="sdtLocked"/>
                  <w:richText/>
                </w:sdtPr>
                <w:sdtContent>
                  <w:r>
                    <w:rPr>
                      <w:b/>
                      <w:szCs w:val="24"/>
                      <w:lang w:eastAsia="lt-LT"/>
                    </w:rPr>
                    <w:t>8</w:t>
                  </w:r>
                </w:sdtContent>
              </w:sdt>
              <w:r>
                <w:rPr>
                  <w:b/>
                  <w:szCs w:val="24"/>
                  <w:lang w:eastAsia="lt-LT"/>
                </w:rPr>
                <w:t>. Balsavimo rezultatai</w:t>
              </w:r>
              <w:r>
                <w:rPr>
                  <w:szCs w:val="24"/>
                  <w:lang w:eastAsia="lt-LT"/>
                </w:rPr>
                <w:t>: pritarta bendru sutarimu</w:t>
              </w:r>
              <w:r>
                <w:rPr>
                  <w:szCs w:val="24"/>
                </w:rPr>
                <w:t>.</w:t>
              </w:r>
            </w:p>
          </w:sdtContent>
        </w:sdt>
        <w:sdt>
          <w:sdtPr>
            <w:alias w:val="9 p."/>
            <w:tag w:val="part_cf23d67528c64c01a5c383e801c965e8"/>
            <w:lock w:val="sdtLocked"/>
            <w:richText/>
          </w:sdtPr>
          <w:sdtContent>
            <w:p>
              <w:pPr>
                <w:spacing w:line="360" w:lineRule="auto"/>
                <w:ind w:firstLine="720"/>
                <w:jc w:val="both"/>
                <w:rPr>
                  <w:szCs w:val="24"/>
                  <w:lang w:eastAsia="lt-LT"/>
                </w:rPr>
              </w:pPr>
              <w:sdt>
                <w:sdtPr>
                  <w:alias w:val="Numeris"/>
                  <w:tag w:val="nr_cf23d67528c64c01a5c383e801c965e8"/>
                  <w:lock w:val="sdtLocked"/>
                  <w:richText/>
                </w:sdtPr>
                <w:sdtContent>
                  <w:r>
                    <w:rPr>
                      <w:b/>
                      <w:szCs w:val="24"/>
                    </w:rPr>
                    <w:t>9</w:t>
                  </w:r>
                </w:sdtContent>
              </w:sdt>
              <w:r>
                <w:rPr>
                  <w:b/>
                  <w:szCs w:val="24"/>
                </w:rPr>
                <w:t xml:space="preserve">. Komiteto paskirtas pranešėjas: </w:t>
              </w:r>
              <w:r>
                <w:rPr>
                  <w:szCs w:val="24"/>
                </w:rPr>
                <w:t xml:space="preserve">Mindaugas Lingė (Algirdas Sysas). </w:t>
              </w:r>
            </w:p>
          </w:sdtContent>
        </w:sdt>
        <w:sdt>
          <w:sdtPr>
            <w:alias w:val="10 p."/>
            <w:tag w:val="part_f7e5b19d9d354aa8b62c984e9f2e8791"/>
            <w:lock w:val="sdtLocked"/>
            <w:richText/>
          </w:sdtPr>
          <w:sdtContent>
            <w:p>
              <w:pPr>
                <w:spacing w:line="360" w:lineRule="auto"/>
                <w:ind w:firstLine="720"/>
                <w:jc w:val="both"/>
                <w:rPr>
                  <w:szCs w:val="24"/>
                  <w:lang w:eastAsia="lt-LT"/>
                </w:rPr>
              </w:pPr>
              <w:sdt>
                <w:sdtPr>
                  <w:alias w:val="Numeris"/>
                  <w:tag w:val="nr_f7e5b19d9d354aa8b62c984e9f2e8791"/>
                  <w:lock w:val="sdtLocked"/>
                  <w:richText/>
                </w:sdtPr>
                <w:sdtContent>
                  <w:r>
                    <w:rPr>
                      <w:b/>
                      <w:szCs w:val="24"/>
                      <w:lang w:eastAsia="lt-LT"/>
                    </w:rPr>
                    <w:t>10</w:t>
                  </w:r>
                </w:sdtContent>
              </w:sdt>
              <w:r>
                <w:rPr>
                  <w:b/>
                  <w:szCs w:val="24"/>
                  <w:lang w:eastAsia="lt-LT"/>
                </w:rPr>
                <w:t>. Komiteto narių atskiroji nuomonė:</w:t>
              </w:r>
              <w:r>
                <w:rPr>
                  <w:szCs w:val="24"/>
                  <w:lang w:eastAsia="lt-LT"/>
                </w:rPr>
                <w:t xml:space="preserve"> nepareikšta. </w:t>
              </w:r>
            </w:p>
            <w:p>
              <w:pPr>
                <w:ind w:firstLine="720"/>
                <w:jc w:val="both"/>
                <w:rPr>
                  <w:szCs w:val="24"/>
                  <w:lang w:eastAsia="lt-LT"/>
                </w:rPr>
              </w:pPr>
            </w:p>
            <w:p>
              <w:pPr>
                <w:spacing w:line="360" w:lineRule="auto"/>
                <w:ind w:left="720"/>
                <w:jc w:val="both"/>
                <w:rPr>
                  <w:szCs w:val="24"/>
                </w:rPr>
              </w:pPr>
              <w:r>
                <w:rPr>
                  <w:szCs w:val="24"/>
                </w:rPr>
                <w:t>PRIDEDAMA. Komiteto siūlomas įstatymo projektas, jo lyginamasis variantas.</w:t>
              </w:r>
            </w:p>
            <w:p>
              <w:pPr>
                <w:ind w:firstLine="720"/>
                <w:jc w:val="both"/>
                <w:rPr>
                  <w:szCs w:val="24"/>
                  <w:lang w:eastAsia="lt-LT"/>
                </w:rPr>
              </w:pPr>
            </w:p>
            <w:p>
              <w:pPr>
                <w:ind w:firstLine="720"/>
                <w:jc w:val="both"/>
                <w:rPr>
                  <w:szCs w:val="24"/>
                  <w:lang w:eastAsia="lt-LT"/>
                </w:rPr>
              </w:pPr>
              <w:r>
                <w:rPr>
                  <w:szCs w:val="24"/>
                  <w:lang w:eastAsia="lt-LT"/>
                </w:rPr>
                <w:t xml:space="preserve">Komiteto pirmininkas </w:t>
                <w:tab/>
                <w:tab/>
                <w:tab/>
                <w:tab/>
                <w:tab/>
                <w:tab/>
                <w:tab/>
                <w:tab/>
                <w:tab/>
                <w:tab/>
                <w:tab/>
                <w:tab/>
                <w:tab/>
                <w:t xml:space="preserve">Mindaugas Lingė </w:t>
                <w:tab/>
              </w:r>
            </w:p>
            <w:p>
              <w:pPr>
                <w:ind w:firstLine="720"/>
                <w:jc w:val="both"/>
                <w:rPr>
                  <w:sz w:val="20"/>
                  <w:lang w:eastAsia="lt-LT"/>
                </w:rPr>
              </w:pPr>
            </w:p>
            <w:p>
              <w:pPr>
                <w:ind w:firstLine="720"/>
                <w:jc w:val="both"/>
                <w:rPr>
                  <w:sz w:val="20"/>
                  <w:lang w:eastAsia="lt-LT"/>
                </w:rPr>
              </w:pPr>
            </w:p>
            <w:p>
              <w:pPr>
                <w:ind w:firstLine="720"/>
                <w:jc w:val="both"/>
                <w:rPr>
                  <w:sz w:val="20"/>
                  <w:lang w:eastAsia="lt-LT"/>
                </w:rPr>
              </w:pPr>
            </w:p>
            <w:p>
              <w:pPr>
                <w:ind w:firstLine="720"/>
                <w:jc w:val="both"/>
                <w:rPr>
                  <w:sz w:val="20"/>
                  <w:lang w:eastAsia="lt-LT"/>
                </w:rPr>
              </w:pPr>
            </w:p>
            <w:p>
              <w:pPr>
                <w:ind w:firstLine="720"/>
                <w:jc w:val="both"/>
                <w:rPr>
                  <w:sz w:val="20"/>
                  <w:lang w:eastAsia="lt-LT"/>
                </w:rPr>
              </w:pPr>
            </w:p>
            <w:p>
              <w:pPr>
                <w:ind w:firstLine="720"/>
                <w:jc w:val="both"/>
                <w:rPr>
                  <w:sz w:val="20"/>
                  <w:lang w:eastAsia="lt-LT"/>
                </w:rPr>
              </w:pPr>
            </w:p>
            <w:p>
              <w:pPr>
                <w:ind w:firstLine="720"/>
                <w:jc w:val="both"/>
                <w:rPr>
                  <w:sz w:val="20"/>
                  <w:lang w:eastAsia="lt-LT"/>
                </w:rPr>
              </w:pPr>
            </w:p>
            <w:p>
              <w:pPr>
                <w:ind w:firstLine="720"/>
                <w:jc w:val="both"/>
                <w:rPr>
                  <w:sz w:val="20"/>
                  <w:lang w:eastAsia="lt-LT"/>
                </w:rPr>
              </w:pPr>
            </w:p>
            <w:p>
              <w:pPr>
                <w:ind w:firstLine="720"/>
                <w:jc w:val="both"/>
                <w:rPr>
                  <w:sz w:val="20"/>
                  <w:lang w:eastAsia="lt-LT"/>
                </w:rPr>
              </w:pPr>
            </w:p>
            <w:p>
              <w:pPr>
                <w:ind w:firstLine="720"/>
                <w:jc w:val="both"/>
                <w:rPr>
                  <w:sz w:val="20"/>
                  <w:lang w:eastAsia="lt-LT"/>
                </w:rPr>
              </w:pPr>
            </w:p>
            <w:p>
              <w:pPr>
                <w:ind w:firstLine="720"/>
                <w:jc w:val="both"/>
                <w:rPr>
                  <w:sz w:val="20"/>
                  <w:lang w:eastAsia="lt-LT"/>
                </w:rPr>
              </w:pPr>
            </w:p>
            <w:p>
              <w:pPr>
                <w:ind w:firstLine="720"/>
                <w:jc w:val="both"/>
                <w:rPr>
                  <w:sz w:val="20"/>
                  <w:lang w:eastAsia="lt-LT"/>
                </w:rPr>
              </w:pPr>
              <w:r>
                <w:rPr>
                  <w:sz w:val="20"/>
                  <w:lang w:eastAsia="lt-LT"/>
                </w:rPr>
                <w:t>Biuro vedėja E. Bulotaitė</w:t>
              </w:r>
            </w:p>
          </w:sdtContent>
        </w:sdt>
      </w:sdtContent>
    </w:sdt>
    <w:sectPr>
      <w:headerReference w:type="even" r:id="rId16"/>
      <w:headerReference w:type="default" r:id="rId17"/>
      <w:footerReference w:type="even" r:id="rId18"/>
      <w:footerReference w:type="default" r:id="rId19"/>
      <w:headerReference w:type="first" r:id="rId20"/>
      <w:footerReference w:type="first" r:id="rId21"/>
      <w:type w:val="continuous"/>
      <w:pgSz w:w="16834" w:h="11907" w:orient="landscape" w:code="9"/>
      <w:pgMar w:top="1701" w:right="1134" w:bottom="567" w:left="1134" w:header="680" w:footer="680"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val="en-US" w:eastAsia="lt-LT"/>
        </w:rPr>
      </w:pPr>
      <w:r>
        <w:rPr>
          <w:lang w:val="en-US" w:eastAsia="lt-LT"/>
        </w:rPr>
        <w:separator/>
      </w:r>
    </w:p>
  </w:endnote>
  <w:endnote w:type="continuationSeparator" w:id="0">
    <w:p>
      <w:pPr>
        <w:rPr>
          <w:lang w:val="en-US" w:eastAsia="lt-LT"/>
        </w:rPr>
      </w:pPr>
      <w:r>
        <w:rPr>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G Times" w:hAnsi="CG Times"/>
        <w:sz w:val="2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rFonts w:ascii="CG Times" w:hAnsi="CG Times"/>
        <w:sz w:val="20"/>
        <w:lang w:eastAsia="lt-LT"/>
      </w:rPr>
    </w:pPr>
    <w:r>
      <w:rPr>
        <w:rFonts w:ascii="CG Times" w:hAnsi="CG Times"/>
        <w:sz w:val="20"/>
        <w:lang w:eastAsia="lt-LT"/>
      </w:rPr>
      <w:fldChar w:fldCharType="begin"/>
    </w:r>
    <w:r>
      <w:rPr>
        <w:rFonts w:ascii="CG Times" w:hAnsi="CG Times"/>
        <w:sz w:val="20"/>
        <w:lang w:eastAsia="lt-LT"/>
      </w:rPr>
      <w:instrText xml:space="preserve">PAGE  </w:instrText>
    </w:r>
    <w:r>
      <w:rPr>
        <w:rFonts w:ascii="CG Times" w:hAnsi="CG Times"/>
        <w:sz w:val="20"/>
        <w:lang w:eastAsia="lt-LT"/>
      </w:rPr>
      <w:fldChar w:fldCharType="separate"/>
    </w:r>
    <w:r>
      <w:rPr>
        <w:rFonts w:ascii="CG Times" w:hAnsi="CG Times"/>
        <w:sz w:val="20"/>
        <w:lang w:eastAsia="lt-LT"/>
      </w:rPr>
      <w:t>9</w:t>
    </w:r>
    <w:r>
      <w:rPr>
        <w:rFonts w:ascii="CG Times" w:hAnsi="CG Times"/>
        <w:sz w:val="20"/>
        <w:lang w:eastAsia="lt-LT"/>
      </w:rPr>
      <w:fldChar w:fldCharType="end"/>
    </w:r>
  </w:p>
  <w:p>
    <w:pPr>
      <w:tabs>
        <w:tab w:val="center" w:pos="4320"/>
        <w:tab w:val="right" w:pos="8640"/>
      </w:tabs>
      <w:rPr>
        <w:rFonts w:ascii="CG Times" w:hAnsi="CG Times"/>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rFonts w:ascii="CG Times" w:hAnsi="CG Times"/>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val="en-US" w:eastAsia="lt-LT"/>
        </w:rPr>
      </w:pPr>
      <w:r>
        <w:rPr>
          <w:lang w:val="en-US" w:eastAsia="lt-LT"/>
        </w:rPr>
        <w:separator/>
      </w:r>
    </w:p>
  </w:footnote>
  <w:footnote w:type="continuationSeparator" w:id="0">
    <w:p>
      <w:pPr>
        <w:rPr>
          <w:lang w:val="en-US" w:eastAsia="lt-LT"/>
        </w:rPr>
      </w:pPr>
      <w:r>
        <w:rPr>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9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C52C2BF-346A-4BA6-B658-121FEF96A83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638456">
      <w:bodyDiv w:val="1"/>
      <w:marLeft w:val="0"/>
      <w:marRight w:val="0"/>
      <w:marTop w:val="0"/>
      <w:marBottom w:val="0"/>
      <w:divBdr>
        <w:top w:val="none" w:sz="0" w:space="0" w:color="auto"/>
        <w:left w:val="none" w:sz="0" w:space="0" w:color="auto"/>
        <w:bottom w:val="none" w:sz="0" w:space="0" w:color="auto"/>
        <w:right w:val="none" w:sz="0" w:space="0" w:color="auto"/>
      </w:divBdr>
      <w:divsChild>
        <w:div w:id="1037925198">
          <w:marLeft w:val="0"/>
          <w:marRight w:val="0"/>
          <w:marTop w:val="0"/>
          <w:marBottom w:val="0"/>
          <w:divBdr>
            <w:top w:val="none" w:sz="0" w:space="0" w:color="auto"/>
            <w:left w:val="none" w:sz="0" w:space="0" w:color="auto"/>
            <w:bottom w:val="none" w:sz="0" w:space="0" w:color="auto"/>
            <w:right w:val="none" w:sz="0" w:space="0" w:color="auto"/>
          </w:divBdr>
          <w:divsChild>
            <w:div w:id="448865150">
              <w:marLeft w:val="0"/>
              <w:marRight w:val="0"/>
              <w:marTop w:val="0"/>
              <w:marBottom w:val="0"/>
              <w:divBdr>
                <w:top w:val="none" w:sz="0" w:space="0" w:color="auto"/>
                <w:left w:val="none" w:sz="0" w:space="0" w:color="auto"/>
                <w:bottom w:val="none" w:sz="0" w:space="0" w:color="auto"/>
                <w:right w:val="none" w:sz="0" w:space="0" w:color="auto"/>
              </w:divBdr>
              <w:divsChild>
                <w:div w:id="1100222452">
                  <w:marLeft w:val="0"/>
                  <w:marRight w:val="0"/>
                  <w:marTop w:val="0"/>
                  <w:marBottom w:val="0"/>
                  <w:divBdr>
                    <w:top w:val="none" w:sz="0" w:space="0" w:color="auto"/>
                    <w:left w:val="none" w:sz="0" w:space="0" w:color="auto"/>
                    <w:bottom w:val="none" w:sz="0" w:space="0" w:color="auto"/>
                    <w:right w:val="none" w:sz="0" w:space="0" w:color="auto"/>
                  </w:divBdr>
                  <w:divsChild>
                    <w:div w:id="197494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56496">
      <w:bodyDiv w:val="1"/>
      <w:marLeft w:val="0"/>
      <w:marRight w:val="0"/>
      <w:marTop w:val="0"/>
      <w:marBottom w:val="0"/>
      <w:divBdr>
        <w:top w:val="none" w:sz="0" w:space="0" w:color="auto"/>
        <w:left w:val="none" w:sz="0" w:space="0" w:color="auto"/>
        <w:bottom w:val="none" w:sz="0" w:space="0" w:color="auto"/>
        <w:right w:val="none" w:sz="0" w:space="0" w:color="auto"/>
      </w:divBdr>
    </w:div>
    <w:div w:id="250742397">
      <w:bodyDiv w:val="1"/>
      <w:marLeft w:val="0"/>
      <w:marRight w:val="0"/>
      <w:marTop w:val="0"/>
      <w:marBottom w:val="0"/>
      <w:divBdr>
        <w:top w:val="none" w:sz="0" w:space="0" w:color="auto"/>
        <w:left w:val="none" w:sz="0" w:space="0" w:color="auto"/>
        <w:bottom w:val="none" w:sz="0" w:space="0" w:color="auto"/>
        <w:right w:val="none" w:sz="0" w:space="0" w:color="auto"/>
      </w:divBdr>
    </w:div>
    <w:div w:id="257949735">
      <w:bodyDiv w:val="1"/>
      <w:marLeft w:val="225"/>
      <w:marRight w:val="225"/>
      <w:marTop w:val="0"/>
      <w:marBottom w:val="0"/>
      <w:divBdr>
        <w:top w:val="none" w:sz="0" w:space="0" w:color="auto"/>
        <w:left w:val="none" w:sz="0" w:space="0" w:color="auto"/>
        <w:bottom w:val="none" w:sz="0" w:space="0" w:color="auto"/>
        <w:right w:val="none" w:sz="0" w:space="0" w:color="auto"/>
      </w:divBdr>
      <w:divsChild>
        <w:div w:id="1377466774">
          <w:marLeft w:val="0"/>
          <w:marRight w:val="0"/>
          <w:marTop w:val="0"/>
          <w:marBottom w:val="0"/>
          <w:divBdr>
            <w:top w:val="none" w:sz="0" w:space="0" w:color="auto"/>
            <w:left w:val="none" w:sz="0" w:space="0" w:color="auto"/>
            <w:bottom w:val="none" w:sz="0" w:space="0" w:color="auto"/>
            <w:right w:val="none" w:sz="0" w:space="0" w:color="auto"/>
          </w:divBdr>
        </w:div>
      </w:divsChild>
    </w:div>
    <w:div w:id="278729618">
      <w:bodyDiv w:val="1"/>
      <w:marLeft w:val="0"/>
      <w:marRight w:val="0"/>
      <w:marTop w:val="0"/>
      <w:marBottom w:val="0"/>
      <w:divBdr>
        <w:top w:val="none" w:sz="0" w:space="0" w:color="auto"/>
        <w:left w:val="none" w:sz="0" w:space="0" w:color="auto"/>
        <w:bottom w:val="none" w:sz="0" w:space="0" w:color="auto"/>
        <w:right w:val="none" w:sz="0" w:space="0" w:color="auto"/>
      </w:divBdr>
    </w:div>
    <w:div w:id="329602771">
      <w:bodyDiv w:val="1"/>
      <w:marLeft w:val="0"/>
      <w:marRight w:val="0"/>
      <w:marTop w:val="0"/>
      <w:marBottom w:val="0"/>
      <w:divBdr>
        <w:top w:val="none" w:sz="0" w:space="0" w:color="auto"/>
        <w:left w:val="none" w:sz="0" w:space="0" w:color="auto"/>
        <w:bottom w:val="none" w:sz="0" w:space="0" w:color="auto"/>
        <w:right w:val="none" w:sz="0" w:space="0" w:color="auto"/>
      </w:divBdr>
    </w:div>
    <w:div w:id="360591874">
      <w:bodyDiv w:val="1"/>
      <w:marLeft w:val="225"/>
      <w:marRight w:val="225"/>
      <w:marTop w:val="0"/>
      <w:marBottom w:val="0"/>
      <w:divBdr>
        <w:top w:val="none" w:sz="0" w:space="0" w:color="auto"/>
        <w:left w:val="none" w:sz="0" w:space="0" w:color="auto"/>
        <w:bottom w:val="none" w:sz="0" w:space="0" w:color="auto"/>
        <w:right w:val="none" w:sz="0" w:space="0" w:color="auto"/>
      </w:divBdr>
      <w:divsChild>
        <w:div w:id="1178734533">
          <w:marLeft w:val="0"/>
          <w:marRight w:val="0"/>
          <w:marTop w:val="0"/>
          <w:marBottom w:val="0"/>
          <w:divBdr>
            <w:top w:val="none" w:sz="0" w:space="0" w:color="auto"/>
            <w:left w:val="none" w:sz="0" w:space="0" w:color="auto"/>
            <w:bottom w:val="none" w:sz="0" w:space="0" w:color="auto"/>
            <w:right w:val="none" w:sz="0" w:space="0" w:color="auto"/>
          </w:divBdr>
        </w:div>
      </w:divsChild>
    </w:div>
    <w:div w:id="448353583">
      <w:bodyDiv w:val="1"/>
      <w:marLeft w:val="225"/>
      <w:marRight w:val="225"/>
      <w:marTop w:val="0"/>
      <w:marBottom w:val="0"/>
      <w:divBdr>
        <w:top w:val="none" w:sz="0" w:space="0" w:color="auto"/>
        <w:left w:val="none" w:sz="0" w:space="0" w:color="auto"/>
        <w:bottom w:val="none" w:sz="0" w:space="0" w:color="auto"/>
        <w:right w:val="none" w:sz="0" w:space="0" w:color="auto"/>
      </w:divBdr>
      <w:divsChild>
        <w:div w:id="1981303320">
          <w:marLeft w:val="0"/>
          <w:marRight w:val="0"/>
          <w:marTop w:val="0"/>
          <w:marBottom w:val="0"/>
          <w:divBdr>
            <w:top w:val="none" w:sz="0" w:space="0" w:color="auto"/>
            <w:left w:val="none" w:sz="0" w:space="0" w:color="auto"/>
            <w:bottom w:val="none" w:sz="0" w:space="0" w:color="auto"/>
            <w:right w:val="none" w:sz="0" w:space="0" w:color="auto"/>
          </w:divBdr>
        </w:div>
      </w:divsChild>
    </w:div>
    <w:div w:id="485584840">
      <w:bodyDiv w:val="1"/>
      <w:marLeft w:val="0"/>
      <w:marRight w:val="0"/>
      <w:marTop w:val="0"/>
      <w:marBottom w:val="0"/>
      <w:divBdr>
        <w:top w:val="none" w:sz="0" w:space="0" w:color="auto"/>
        <w:left w:val="none" w:sz="0" w:space="0" w:color="auto"/>
        <w:bottom w:val="none" w:sz="0" w:space="0" w:color="auto"/>
        <w:right w:val="none" w:sz="0" w:space="0" w:color="auto"/>
      </w:divBdr>
      <w:divsChild>
        <w:div w:id="906643950">
          <w:marLeft w:val="0"/>
          <w:marRight w:val="0"/>
          <w:marTop w:val="0"/>
          <w:marBottom w:val="0"/>
          <w:divBdr>
            <w:top w:val="none" w:sz="0" w:space="0" w:color="auto"/>
            <w:left w:val="none" w:sz="0" w:space="0" w:color="auto"/>
            <w:bottom w:val="none" w:sz="0" w:space="0" w:color="auto"/>
            <w:right w:val="none" w:sz="0" w:space="0" w:color="auto"/>
          </w:divBdr>
        </w:div>
        <w:div w:id="1505511626">
          <w:marLeft w:val="0"/>
          <w:marRight w:val="0"/>
          <w:marTop w:val="0"/>
          <w:marBottom w:val="0"/>
          <w:divBdr>
            <w:top w:val="none" w:sz="0" w:space="0" w:color="auto"/>
            <w:left w:val="none" w:sz="0" w:space="0" w:color="auto"/>
            <w:bottom w:val="none" w:sz="0" w:space="0" w:color="auto"/>
            <w:right w:val="none" w:sz="0" w:space="0" w:color="auto"/>
          </w:divBdr>
        </w:div>
      </w:divsChild>
    </w:div>
    <w:div w:id="616108116">
      <w:bodyDiv w:val="1"/>
      <w:marLeft w:val="0"/>
      <w:marRight w:val="0"/>
      <w:marTop w:val="0"/>
      <w:marBottom w:val="0"/>
      <w:divBdr>
        <w:top w:val="none" w:sz="0" w:space="0" w:color="auto"/>
        <w:left w:val="none" w:sz="0" w:space="0" w:color="auto"/>
        <w:bottom w:val="none" w:sz="0" w:space="0" w:color="auto"/>
        <w:right w:val="none" w:sz="0" w:space="0" w:color="auto"/>
      </w:divBdr>
    </w:div>
    <w:div w:id="659579234">
      <w:bodyDiv w:val="1"/>
      <w:marLeft w:val="225"/>
      <w:marRight w:val="225"/>
      <w:marTop w:val="0"/>
      <w:marBottom w:val="0"/>
      <w:divBdr>
        <w:top w:val="none" w:sz="0" w:space="0" w:color="auto"/>
        <w:left w:val="none" w:sz="0" w:space="0" w:color="auto"/>
        <w:bottom w:val="none" w:sz="0" w:space="0" w:color="auto"/>
        <w:right w:val="none" w:sz="0" w:space="0" w:color="auto"/>
      </w:divBdr>
      <w:divsChild>
        <w:div w:id="1766926657">
          <w:marLeft w:val="0"/>
          <w:marRight w:val="0"/>
          <w:marTop w:val="0"/>
          <w:marBottom w:val="0"/>
          <w:divBdr>
            <w:top w:val="none" w:sz="0" w:space="0" w:color="auto"/>
            <w:left w:val="none" w:sz="0" w:space="0" w:color="auto"/>
            <w:bottom w:val="none" w:sz="0" w:space="0" w:color="auto"/>
            <w:right w:val="none" w:sz="0" w:space="0" w:color="auto"/>
          </w:divBdr>
        </w:div>
      </w:divsChild>
    </w:div>
    <w:div w:id="794980720">
      <w:bodyDiv w:val="1"/>
      <w:marLeft w:val="0"/>
      <w:marRight w:val="0"/>
      <w:marTop w:val="0"/>
      <w:marBottom w:val="0"/>
      <w:divBdr>
        <w:top w:val="none" w:sz="0" w:space="0" w:color="auto"/>
        <w:left w:val="none" w:sz="0" w:space="0" w:color="auto"/>
        <w:bottom w:val="none" w:sz="0" w:space="0" w:color="auto"/>
        <w:right w:val="none" w:sz="0" w:space="0" w:color="auto"/>
      </w:divBdr>
      <w:divsChild>
        <w:div w:id="1789547717">
          <w:marLeft w:val="0"/>
          <w:marRight w:val="0"/>
          <w:marTop w:val="0"/>
          <w:marBottom w:val="0"/>
          <w:divBdr>
            <w:top w:val="none" w:sz="0" w:space="0" w:color="auto"/>
            <w:left w:val="none" w:sz="0" w:space="0" w:color="auto"/>
            <w:bottom w:val="none" w:sz="0" w:space="0" w:color="auto"/>
            <w:right w:val="none" w:sz="0" w:space="0" w:color="auto"/>
          </w:divBdr>
          <w:divsChild>
            <w:div w:id="2105221555">
              <w:marLeft w:val="0"/>
              <w:marRight w:val="0"/>
              <w:marTop w:val="0"/>
              <w:marBottom w:val="0"/>
              <w:divBdr>
                <w:top w:val="none" w:sz="0" w:space="0" w:color="auto"/>
                <w:left w:val="none" w:sz="0" w:space="0" w:color="auto"/>
                <w:bottom w:val="none" w:sz="0" w:space="0" w:color="auto"/>
                <w:right w:val="none" w:sz="0" w:space="0" w:color="auto"/>
              </w:divBdr>
              <w:divsChild>
                <w:div w:id="132921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431326">
      <w:bodyDiv w:val="1"/>
      <w:marLeft w:val="0"/>
      <w:marRight w:val="0"/>
      <w:marTop w:val="0"/>
      <w:marBottom w:val="0"/>
      <w:divBdr>
        <w:top w:val="none" w:sz="0" w:space="0" w:color="auto"/>
        <w:left w:val="none" w:sz="0" w:space="0" w:color="auto"/>
        <w:bottom w:val="none" w:sz="0" w:space="0" w:color="auto"/>
        <w:right w:val="none" w:sz="0" w:space="0" w:color="auto"/>
      </w:divBdr>
    </w:div>
    <w:div w:id="892810214">
      <w:bodyDiv w:val="1"/>
      <w:marLeft w:val="0"/>
      <w:marRight w:val="0"/>
      <w:marTop w:val="0"/>
      <w:marBottom w:val="0"/>
      <w:divBdr>
        <w:top w:val="none" w:sz="0" w:space="0" w:color="auto"/>
        <w:left w:val="none" w:sz="0" w:space="0" w:color="auto"/>
        <w:bottom w:val="none" w:sz="0" w:space="0" w:color="auto"/>
        <w:right w:val="none" w:sz="0" w:space="0" w:color="auto"/>
      </w:divBdr>
    </w:div>
    <w:div w:id="919481476">
      <w:bodyDiv w:val="1"/>
      <w:marLeft w:val="0"/>
      <w:marRight w:val="0"/>
      <w:marTop w:val="0"/>
      <w:marBottom w:val="0"/>
      <w:divBdr>
        <w:top w:val="none" w:sz="0" w:space="0" w:color="auto"/>
        <w:left w:val="none" w:sz="0" w:space="0" w:color="auto"/>
        <w:bottom w:val="none" w:sz="0" w:space="0" w:color="auto"/>
        <w:right w:val="none" w:sz="0" w:space="0" w:color="auto"/>
      </w:divBdr>
    </w:div>
    <w:div w:id="934433948">
      <w:bodyDiv w:val="1"/>
      <w:marLeft w:val="0"/>
      <w:marRight w:val="0"/>
      <w:marTop w:val="0"/>
      <w:marBottom w:val="0"/>
      <w:divBdr>
        <w:top w:val="none" w:sz="0" w:space="0" w:color="auto"/>
        <w:left w:val="none" w:sz="0" w:space="0" w:color="auto"/>
        <w:bottom w:val="none" w:sz="0" w:space="0" w:color="auto"/>
        <w:right w:val="none" w:sz="0" w:space="0" w:color="auto"/>
      </w:divBdr>
    </w:div>
    <w:div w:id="957444835">
      <w:bodyDiv w:val="1"/>
      <w:marLeft w:val="225"/>
      <w:marRight w:val="225"/>
      <w:marTop w:val="0"/>
      <w:marBottom w:val="0"/>
      <w:divBdr>
        <w:top w:val="none" w:sz="0" w:space="0" w:color="auto"/>
        <w:left w:val="none" w:sz="0" w:space="0" w:color="auto"/>
        <w:bottom w:val="none" w:sz="0" w:space="0" w:color="auto"/>
        <w:right w:val="none" w:sz="0" w:space="0" w:color="auto"/>
      </w:divBdr>
      <w:divsChild>
        <w:div w:id="846672504">
          <w:marLeft w:val="0"/>
          <w:marRight w:val="0"/>
          <w:marTop w:val="0"/>
          <w:marBottom w:val="0"/>
          <w:divBdr>
            <w:top w:val="none" w:sz="0" w:space="0" w:color="auto"/>
            <w:left w:val="none" w:sz="0" w:space="0" w:color="auto"/>
            <w:bottom w:val="none" w:sz="0" w:space="0" w:color="auto"/>
            <w:right w:val="none" w:sz="0" w:space="0" w:color="auto"/>
          </w:divBdr>
        </w:div>
      </w:divsChild>
    </w:div>
    <w:div w:id="960501332">
      <w:bodyDiv w:val="1"/>
      <w:marLeft w:val="225"/>
      <w:marRight w:val="225"/>
      <w:marTop w:val="0"/>
      <w:marBottom w:val="0"/>
      <w:divBdr>
        <w:top w:val="none" w:sz="0" w:space="0" w:color="auto"/>
        <w:left w:val="none" w:sz="0" w:space="0" w:color="auto"/>
        <w:bottom w:val="none" w:sz="0" w:space="0" w:color="auto"/>
        <w:right w:val="none" w:sz="0" w:space="0" w:color="auto"/>
      </w:divBdr>
      <w:divsChild>
        <w:div w:id="2042242212">
          <w:marLeft w:val="0"/>
          <w:marRight w:val="0"/>
          <w:marTop w:val="0"/>
          <w:marBottom w:val="0"/>
          <w:divBdr>
            <w:top w:val="none" w:sz="0" w:space="0" w:color="auto"/>
            <w:left w:val="none" w:sz="0" w:space="0" w:color="auto"/>
            <w:bottom w:val="none" w:sz="0" w:space="0" w:color="auto"/>
            <w:right w:val="none" w:sz="0" w:space="0" w:color="auto"/>
          </w:divBdr>
        </w:div>
      </w:divsChild>
    </w:div>
    <w:div w:id="983506296">
      <w:bodyDiv w:val="1"/>
      <w:marLeft w:val="0"/>
      <w:marRight w:val="0"/>
      <w:marTop w:val="0"/>
      <w:marBottom w:val="0"/>
      <w:divBdr>
        <w:top w:val="none" w:sz="0" w:space="0" w:color="auto"/>
        <w:left w:val="none" w:sz="0" w:space="0" w:color="auto"/>
        <w:bottom w:val="none" w:sz="0" w:space="0" w:color="auto"/>
        <w:right w:val="none" w:sz="0" w:space="0" w:color="auto"/>
      </w:divBdr>
      <w:divsChild>
        <w:div w:id="1683891578">
          <w:marLeft w:val="0"/>
          <w:marRight w:val="0"/>
          <w:marTop w:val="0"/>
          <w:marBottom w:val="0"/>
          <w:divBdr>
            <w:top w:val="none" w:sz="0" w:space="0" w:color="auto"/>
            <w:left w:val="none" w:sz="0" w:space="0" w:color="auto"/>
            <w:bottom w:val="none" w:sz="0" w:space="0" w:color="auto"/>
            <w:right w:val="none" w:sz="0" w:space="0" w:color="auto"/>
          </w:divBdr>
          <w:divsChild>
            <w:div w:id="923416552">
              <w:marLeft w:val="0"/>
              <w:marRight w:val="0"/>
              <w:marTop w:val="0"/>
              <w:marBottom w:val="0"/>
              <w:divBdr>
                <w:top w:val="none" w:sz="0" w:space="0" w:color="auto"/>
                <w:left w:val="none" w:sz="0" w:space="0" w:color="auto"/>
                <w:bottom w:val="none" w:sz="0" w:space="0" w:color="auto"/>
                <w:right w:val="none" w:sz="0" w:space="0" w:color="auto"/>
              </w:divBdr>
              <w:divsChild>
                <w:div w:id="2086955627">
                  <w:marLeft w:val="0"/>
                  <w:marRight w:val="0"/>
                  <w:marTop w:val="0"/>
                  <w:marBottom w:val="0"/>
                  <w:divBdr>
                    <w:top w:val="none" w:sz="0" w:space="0" w:color="auto"/>
                    <w:left w:val="none" w:sz="0" w:space="0" w:color="auto"/>
                    <w:bottom w:val="none" w:sz="0" w:space="0" w:color="auto"/>
                    <w:right w:val="none" w:sz="0" w:space="0" w:color="auto"/>
                  </w:divBdr>
                  <w:divsChild>
                    <w:div w:id="726759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6271085">
      <w:bodyDiv w:val="1"/>
      <w:marLeft w:val="225"/>
      <w:marRight w:val="225"/>
      <w:marTop w:val="0"/>
      <w:marBottom w:val="0"/>
      <w:divBdr>
        <w:top w:val="none" w:sz="0" w:space="0" w:color="auto"/>
        <w:left w:val="none" w:sz="0" w:space="0" w:color="auto"/>
        <w:bottom w:val="none" w:sz="0" w:space="0" w:color="auto"/>
        <w:right w:val="none" w:sz="0" w:space="0" w:color="auto"/>
      </w:divBdr>
      <w:divsChild>
        <w:div w:id="1816794278">
          <w:marLeft w:val="0"/>
          <w:marRight w:val="0"/>
          <w:marTop w:val="0"/>
          <w:marBottom w:val="0"/>
          <w:divBdr>
            <w:top w:val="none" w:sz="0" w:space="0" w:color="auto"/>
            <w:left w:val="none" w:sz="0" w:space="0" w:color="auto"/>
            <w:bottom w:val="none" w:sz="0" w:space="0" w:color="auto"/>
            <w:right w:val="none" w:sz="0" w:space="0" w:color="auto"/>
          </w:divBdr>
        </w:div>
      </w:divsChild>
    </w:div>
    <w:div w:id="1019039184">
      <w:bodyDiv w:val="1"/>
      <w:marLeft w:val="225"/>
      <w:marRight w:val="225"/>
      <w:marTop w:val="0"/>
      <w:marBottom w:val="0"/>
      <w:divBdr>
        <w:top w:val="none" w:sz="0" w:space="0" w:color="auto"/>
        <w:left w:val="none" w:sz="0" w:space="0" w:color="auto"/>
        <w:bottom w:val="none" w:sz="0" w:space="0" w:color="auto"/>
        <w:right w:val="none" w:sz="0" w:space="0" w:color="auto"/>
      </w:divBdr>
      <w:divsChild>
        <w:div w:id="2060325097">
          <w:marLeft w:val="0"/>
          <w:marRight w:val="0"/>
          <w:marTop w:val="0"/>
          <w:marBottom w:val="0"/>
          <w:divBdr>
            <w:top w:val="none" w:sz="0" w:space="0" w:color="auto"/>
            <w:left w:val="none" w:sz="0" w:space="0" w:color="auto"/>
            <w:bottom w:val="none" w:sz="0" w:space="0" w:color="auto"/>
            <w:right w:val="none" w:sz="0" w:space="0" w:color="auto"/>
          </w:divBdr>
        </w:div>
      </w:divsChild>
    </w:div>
    <w:div w:id="1100755177">
      <w:bodyDiv w:val="1"/>
      <w:marLeft w:val="0"/>
      <w:marRight w:val="0"/>
      <w:marTop w:val="0"/>
      <w:marBottom w:val="0"/>
      <w:divBdr>
        <w:top w:val="none" w:sz="0" w:space="0" w:color="auto"/>
        <w:left w:val="none" w:sz="0" w:space="0" w:color="auto"/>
        <w:bottom w:val="none" w:sz="0" w:space="0" w:color="auto"/>
        <w:right w:val="none" w:sz="0" w:space="0" w:color="auto"/>
      </w:divBdr>
    </w:div>
    <w:div w:id="1113552265">
      <w:bodyDiv w:val="1"/>
      <w:marLeft w:val="225"/>
      <w:marRight w:val="225"/>
      <w:marTop w:val="0"/>
      <w:marBottom w:val="0"/>
      <w:divBdr>
        <w:top w:val="none" w:sz="0" w:space="0" w:color="auto"/>
        <w:left w:val="none" w:sz="0" w:space="0" w:color="auto"/>
        <w:bottom w:val="none" w:sz="0" w:space="0" w:color="auto"/>
        <w:right w:val="none" w:sz="0" w:space="0" w:color="auto"/>
      </w:divBdr>
      <w:divsChild>
        <w:div w:id="451363109">
          <w:marLeft w:val="0"/>
          <w:marRight w:val="0"/>
          <w:marTop w:val="0"/>
          <w:marBottom w:val="0"/>
          <w:divBdr>
            <w:top w:val="none" w:sz="0" w:space="0" w:color="auto"/>
            <w:left w:val="none" w:sz="0" w:space="0" w:color="auto"/>
            <w:bottom w:val="none" w:sz="0" w:space="0" w:color="auto"/>
            <w:right w:val="none" w:sz="0" w:space="0" w:color="auto"/>
          </w:divBdr>
        </w:div>
      </w:divsChild>
    </w:div>
    <w:div w:id="1119028472">
      <w:bodyDiv w:val="1"/>
      <w:marLeft w:val="0"/>
      <w:marRight w:val="0"/>
      <w:marTop w:val="0"/>
      <w:marBottom w:val="0"/>
      <w:divBdr>
        <w:top w:val="none" w:sz="0" w:space="0" w:color="auto"/>
        <w:left w:val="none" w:sz="0" w:space="0" w:color="auto"/>
        <w:bottom w:val="none" w:sz="0" w:space="0" w:color="auto"/>
        <w:right w:val="none" w:sz="0" w:space="0" w:color="auto"/>
      </w:divBdr>
    </w:div>
    <w:div w:id="1140221559">
      <w:bodyDiv w:val="1"/>
      <w:marLeft w:val="0"/>
      <w:marRight w:val="0"/>
      <w:marTop w:val="0"/>
      <w:marBottom w:val="0"/>
      <w:divBdr>
        <w:top w:val="none" w:sz="0" w:space="0" w:color="auto"/>
        <w:left w:val="none" w:sz="0" w:space="0" w:color="auto"/>
        <w:bottom w:val="none" w:sz="0" w:space="0" w:color="auto"/>
        <w:right w:val="none" w:sz="0" w:space="0" w:color="auto"/>
      </w:divBdr>
    </w:div>
    <w:div w:id="1159005597">
      <w:bodyDiv w:val="1"/>
      <w:marLeft w:val="0"/>
      <w:marRight w:val="0"/>
      <w:marTop w:val="0"/>
      <w:marBottom w:val="0"/>
      <w:divBdr>
        <w:top w:val="none" w:sz="0" w:space="0" w:color="auto"/>
        <w:left w:val="none" w:sz="0" w:space="0" w:color="auto"/>
        <w:bottom w:val="none" w:sz="0" w:space="0" w:color="auto"/>
        <w:right w:val="none" w:sz="0" w:space="0" w:color="auto"/>
      </w:divBdr>
    </w:div>
    <w:div w:id="1257907139">
      <w:bodyDiv w:val="1"/>
      <w:marLeft w:val="0"/>
      <w:marRight w:val="0"/>
      <w:marTop w:val="0"/>
      <w:marBottom w:val="0"/>
      <w:divBdr>
        <w:top w:val="none" w:sz="0" w:space="0" w:color="auto"/>
        <w:left w:val="none" w:sz="0" w:space="0" w:color="auto"/>
        <w:bottom w:val="none" w:sz="0" w:space="0" w:color="auto"/>
        <w:right w:val="none" w:sz="0" w:space="0" w:color="auto"/>
      </w:divBdr>
    </w:div>
    <w:div w:id="1271010220">
      <w:bodyDiv w:val="1"/>
      <w:marLeft w:val="0"/>
      <w:marRight w:val="0"/>
      <w:marTop w:val="0"/>
      <w:marBottom w:val="0"/>
      <w:divBdr>
        <w:top w:val="none" w:sz="0" w:space="0" w:color="auto"/>
        <w:left w:val="none" w:sz="0" w:space="0" w:color="auto"/>
        <w:bottom w:val="none" w:sz="0" w:space="0" w:color="auto"/>
        <w:right w:val="none" w:sz="0" w:space="0" w:color="auto"/>
      </w:divBdr>
      <w:divsChild>
        <w:div w:id="1859196034">
          <w:marLeft w:val="0"/>
          <w:marRight w:val="0"/>
          <w:marTop w:val="0"/>
          <w:marBottom w:val="0"/>
          <w:divBdr>
            <w:top w:val="none" w:sz="0" w:space="0" w:color="auto"/>
            <w:left w:val="none" w:sz="0" w:space="0" w:color="auto"/>
            <w:bottom w:val="none" w:sz="0" w:space="0" w:color="auto"/>
            <w:right w:val="none" w:sz="0" w:space="0" w:color="auto"/>
          </w:divBdr>
          <w:divsChild>
            <w:div w:id="60905711">
              <w:marLeft w:val="0"/>
              <w:marRight w:val="0"/>
              <w:marTop w:val="0"/>
              <w:marBottom w:val="0"/>
              <w:divBdr>
                <w:top w:val="none" w:sz="0" w:space="0" w:color="auto"/>
                <w:left w:val="none" w:sz="0" w:space="0" w:color="auto"/>
                <w:bottom w:val="none" w:sz="0" w:space="0" w:color="auto"/>
                <w:right w:val="none" w:sz="0" w:space="0" w:color="auto"/>
              </w:divBdr>
              <w:divsChild>
                <w:div w:id="1129514088">
                  <w:marLeft w:val="0"/>
                  <w:marRight w:val="0"/>
                  <w:marTop w:val="0"/>
                  <w:marBottom w:val="0"/>
                  <w:divBdr>
                    <w:top w:val="none" w:sz="0" w:space="0" w:color="auto"/>
                    <w:left w:val="none" w:sz="0" w:space="0" w:color="auto"/>
                    <w:bottom w:val="none" w:sz="0" w:space="0" w:color="auto"/>
                    <w:right w:val="none" w:sz="0" w:space="0" w:color="auto"/>
                  </w:divBdr>
                  <w:divsChild>
                    <w:div w:id="156540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8991349">
      <w:bodyDiv w:val="1"/>
      <w:marLeft w:val="0"/>
      <w:marRight w:val="0"/>
      <w:marTop w:val="0"/>
      <w:marBottom w:val="0"/>
      <w:divBdr>
        <w:top w:val="none" w:sz="0" w:space="0" w:color="auto"/>
        <w:left w:val="none" w:sz="0" w:space="0" w:color="auto"/>
        <w:bottom w:val="none" w:sz="0" w:space="0" w:color="auto"/>
        <w:right w:val="none" w:sz="0" w:space="0" w:color="auto"/>
      </w:divBdr>
    </w:div>
    <w:div w:id="1328945111">
      <w:bodyDiv w:val="1"/>
      <w:marLeft w:val="225"/>
      <w:marRight w:val="225"/>
      <w:marTop w:val="0"/>
      <w:marBottom w:val="0"/>
      <w:divBdr>
        <w:top w:val="none" w:sz="0" w:space="0" w:color="auto"/>
        <w:left w:val="none" w:sz="0" w:space="0" w:color="auto"/>
        <w:bottom w:val="none" w:sz="0" w:space="0" w:color="auto"/>
        <w:right w:val="none" w:sz="0" w:space="0" w:color="auto"/>
      </w:divBdr>
      <w:divsChild>
        <w:div w:id="178354373">
          <w:marLeft w:val="0"/>
          <w:marRight w:val="0"/>
          <w:marTop w:val="0"/>
          <w:marBottom w:val="0"/>
          <w:divBdr>
            <w:top w:val="none" w:sz="0" w:space="0" w:color="auto"/>
            <w:left w:val="none" w:sz="0" w:space="0" w:color="auto"/>
            <w:bottom w:val="none" w:sz="0" w:space="0" w:color="auto"/>
            <w:right w:val="none" w:sz="0" w:space="0" w:color="auto"/>
          </w:divBdr>
        </w:div>
      </w:divsChild>
    </w:div>
    <w:div w:id="1368069671">
      <w:bodyDiv w:val="1"/>
      <w:marLeft w:val="225"/>
      <w:marRight w:val="225"/>
      <w:marTop w:val="0"/>
      <w:marBottom w:val="0"/>
      <w:divBdr>
        <w:top w:val="none" w:sz="0" w:space="0" w:color="auto"/>
        <w:left w:val="none" w:sz="0" w:space="0" w:color="auto"/>
        <w:bottom w:val="none" w:sz="0" w:space="0" w:color="auto"/>
        <w:right w:val="none" w:sz="0" w:space="0" w:color="auto"/>
      </w:divBdr>
      <w:divsChild>
        <w:div w:id="1086734122">
          <w:marLeft w:val="0"/>
          <w:marRight w:val="0"/>
          <w:marTop w:val="0"/>
          <w:marBottom w:val="0"/>
          <w:divBdr>
            <w:top w:val="none" w:sz="0" w:space="0" w:color="auto"/>
            <w:left w:val="none" w:sz="0" w:space="0" w:color="auto"/>
            <w:bottom w:val="none" w:sz="0" w:space="0" w:color="auto"/>
            <w:right w:val="none" w:sz="0" w:space="0" w:color="auto"/>
          </w:divBdr>
        </w:div>
      </w:divsChild>
    </w:div>
    <w:div w:id="1429933749">
      <w:bodyDiv w:val="1"/>
      <w:marLeft w:val="0"/>
      <w:marRight w:val="0"/>
      <w:marTop w:val="0"/>
      <w:marBottom w:val="0"/>
      <w:divBdr>
        <w:top w:val="none" w:sz="0" w:space="0" w:color="auto"/>
        <w:left w:val="none" w:sz="0" w:space="0" w:color="auto"/>
        <w:bottom w:val="none" w:sz="0" w:space="0" w:color="auto"/>
        <w:right w:val="none" w:sz="0" w:space="0" w:color="auto"/>
      </w:divBdr>
    </w:div>
    <w:div w:id="1442144167">
      <w:bodyDiv w:val="1"/>
      <w:marLeft w:val="0"/>
      <w:marRight w:val="0"/>
      <w:marTop w:val="0"/>
      <w:marBottom w:val="0"/>
      <w:divBdr>
        <w:top w:val="none" w:sz="0" w:space="0" w:color="auto"/>
        <w:left w:val="none" w:sz="0" w:space="0" w:color="auto"/>
        <w:bottom w:val="none" w:sz="0" w:space="0" w:color="auto"/>
        <w:right w:val="none" w:sz="0" w:space="0" w:color="auto"/>
      </w:divBdr>
    </w:div>
    <w:div w:id="1461805680">
      <w:bodyDiv w:val="1"/>
      <w:marLeft w:val="0"/>
      <w:marRight w:val="0"/>
      <w:marTop w:val="0"/>
      <w:marBottom w:val="0"/>
      <w:divBdr>
        <w:top w:val="none" w:sz="0" w:space="0" w:color="auto"/>
        <w:left w:val="none" w:sz="0" w:space="0" w:color="auto"/>
        <w:bottom w:val="none" w:sz="0" w:space="0" w:color="auto"/>
        <w:right w:val="none" w:sz="0" w:space="0" w:color="auto"/>
      </w:divBdr>
      <w:divsChild>
        <w:div w:id="1776319178">
          <w:marLeft w:val="0"/>
          <w:marRight w:val="0"/>
          <w:marTop w:val="0"/>
          <w:marBottom w:val="0"/>
          <w:divBdr>
            <w:top w:val="none" w:sz="0" w:space="0" w:color="auto"/>
            <w:left w:val="none" w:sz="0" w:space="0" w:color="auto"/>
            <w:bottom w:val="none" w:sz="0" w:space="0" w:color="auto"/>
            <w:right w:val="none" w:sz="0" w:space="0" w:color="auto"/>
          </w:divBdr>
          <w:divsChild>
            <w:div w:id="1491213370">
              <w:marLeft w:val="0"/>
              <w:marRight w:val="0"/>
              <w:marTop w:val="0"/>
              <w:marBottom w:val="0"/>
              <w:divBdr>
                <w:top w:val="none" w:sz="0" w:space="0" w:color="auto"/>
                <w:left w:val="none" w:sz="0" w:space="0" w:color="auto"/>
                <w:bottom w:val="none" w:sz="0" w:space="0" w:color="auto"/>
                <w:right w:val="none" w:sz="0" w:space="0" w:color="auto"/>
              </w:divBdr>
              <w:divsChild>
                <w:div w:id="1276328082">
                  <w:marLeft w:val="0"/>
                  <w:marRight w:val="0"/>
                  <w:marTop w:val="0"/>
                  <w:marBottom w:val="0"/>
                  <w:divBdr>
                    <w:top w:val="none" w:sz="0" w:space="0" w:color="auto"/>
                    <w:left w:val="none" w:sz="0" w:space="0" w:color="auto"/>
                    <w:bottom w:val="none" w:sz="0" w:space="0" w:color="auto"/>
                    <w:right w:val="none" w:sz="0" w:space="0" w:color="auto"/>
                  </w:divBdr>
                  <w:divsChild>
                    <w:div w:id="127756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3888186">
      <w:bodyDiv w:val="1"/>
      <w:marLeft w:val="0"/>
      <w:marRight w:val="0"/>
      <w:marTop w:val="0"/>
      <w:marBottom w:val="0"/>
      <w:divBdr>
        <w:top w:val="none" w:sz="0" w:space="0" w:color="auto"/>
        <w:left w:val="none" w:sz="0" w:space="0" w:color="auto"/>
        <w:bottom w:val="none" w:sz="0" w:space="0" w:color="auto"/>
        <w:right w:val="none" w:sz="0" w:space="0" w:color="auto"/>
      </w:divBdr>
    </w:div>
    <w:div w:id="1514298943">
      <w:bodyDiv w:val="1"/>
      <w:marLeft w:val="0"/>
      <w:marRight w:val="0"/>
      <w:marTop w:val="0"/>
      <w:marBottom w:val="0"/>
      <w:divBdr>
        <w:top w:val="none" w:sz="0" w:space="0" w:color="auto"/>
        <w:left w:val="none" w:sz="0" w:space="0" w:color="auto"/>
        <w:bottom w:val="none" w:sz="0" w:space="0" w:color="auto"/>
        <w:right w:val="none" w:sz="0" w:space="0" w:color="auto"/>
      </w:divBdr>
    </w:div>
    <w:div w:id="1539271658">
      <w:bodyDiv w:val="1"/>
      <w:marLeft w:val="0"/>
      <w:marRight w:val="0"/>
      <w:marTop w:val="0"/>
      <w:marBottom w:val="0"/>
      <w:divBdr>
        <w:top w:val="none" w:sz="0" w:space="0" w:color="auto"/>
        <w:left w:val="none" w:sz="0" w:space="0" w:color="auto"/>
        <w:bottom w:val="none" w:sz="0" w:space="0" w:color="auto"/>
        <w:right w:val="none" w:sz="0" w:space="0" w:color="auto"/>
      </w:divBdr>
    </w:div>
    <w:div w:id="1624573140">
      <w:bodyDiv w:val="1"/>
      <w:marLeft w:val="0"/>
      <w:marRight w:val="0"/>
      <w:marTop w:val="0"/>
      <w:marBottom w:val="0"/>
      <w:divBdr>
        <w:top w:val="none" w:sz="0" w:space="0" w:color="auto"/>
        <w:left w:val="none" w:sz="0" w:space="0" w:color="auto"/>
        <w:bottom w:val="none" w:sz="0" w:space="0" w:color="auto"/>
        <w:right w:val="none" w:sz="0" w:space="0" w:color="auto"/>
      </w:divBdr>
    </w:div>
    <w:div w:id="1680812189">
      <w:bodyDiv w:val="1"/>
      <w:marLeft w:val="0"/>
      <w:marRight w:val="0"/>
      <w:marTop w:val="0"/>
      <w:marBottom w:val="0"/>
      <w:divBdr>
        <w:top w:val="none" w:sz="0" w:space="0" w:color="auto"/>
        <w:left w:val="none" w:sz="0" w:space="0" w:color="auto"/>
        <w:bottom w:val="none" w:sz="0" w:space="0" w:color="auto"/>
        <w:right w:val="none" w:sz="0" w:space="0" w:color="auto"/>
      </w:divBdr>
    </w:div>
    <w:div w:id="1683623344">
      <w:bodyDiv w:val="1"/>
      <w:marLeft w:val="0"/>
      <w:marRight w:val="0"/>
      <w:marTop w:val="0"/>
      <w:marBottom w:val="0"/>
      <w:divBdr>
        <w:top w:val="none" w:sz="0" w:space="0" w:color="auto"/>
        <w:left w:val="none" w:sz="0" w:space="0" w:color="auto"/>
        <w:bottom w:val="none" w:sz="0" w:space="0" w:color="auto"/>
        <w:right w:val="none" w:sz="0" w:space="0" w:color="auto"/>
      </w:divBdr>
      <w:divsChild>
        <w:div w:id="130174118">
          <w:marLeft w:val="0"/>
          <w:marRight w:val="0"/>
          <w:marTop w:val="0"/>
          <w:marBottom w:val="0"/>
          <w:divBdr>
            <w:top w:val="none" w:sz="0" w:space="0" w:color="auto"/>
            <w:left w:val="none" w:sz="0" w:space="0" w:color="auto"/>
            <w:bottom w:val="none" w:sz="0" w:space="0" w:color="auto"/>
            <w:right w:val="none" w:sz="0" w:space="0" w:color="auto"/>
          </w:divBdr>
        </w:div>
        <w:div w:id="568926426">
          <w:marLeft w:val="0"/>
          <w:marRight w:val="0"/>
          <w:marTop w:val="0"/>
          <w:marBottom w:val="0"/>
          <w:divBdr>
            <w:top w:val="none" w:sz="0" w:space="0" w:color="auto"/>
            <w:left w:val="none" w:sz="0" w:space="0" w:color="auto"/>
            <w:bottom w:val="none" w:sz="0" w:space="0" w:color="auto"/>
            <w:right w:val="none" w:sz="0" w:space="0" w:color="auto"/>
          </w:divBdr>
        </w:div>
        <w:div w:id="1079600045">
          <w:marLeft w:val="0"/>
          <w:marRight w:val="0"/>
          <w:marTop w:val="0"/>
          <w:marBottom w:val="0"/>
          <w:divBdr>
            <w:top w:val="none" w:sz="0" w:space="0" w:color="auto"/>
            <w:left w:val="none" w:sz="0" w:space="0" w:color="auto"/>
            <w:bottom w:val="none" w:sz="0" w:space="0" w:color="auto"/>
            <w:right w:val="none" w:sz="0" w:space="0" w:color="auto"/>
          </w:divBdr>
        </w:div>
        <w:div w:id="1388333497">
          <w:marLeft w:val="0"/>
          <w:marRight w:val="0"/>
          <w:marTop w:val="0"/>
          <w:marBottom w:val="0"/>
          <w:divBdr>
            <w:top w:val="none" w:sz="0" w:space="0" w:color="auto"/>
            <w:left w:val="none" w:sz="0" w:space="0" w:color="auto"/>
            <w:bottom w:val="none" w:sz="0" w:space="0" w:color="auto"/>
            <w:right w:val="none" w:sz="0" w:space="0" w:color="auto"/>
          </w:divBdr>
        </w:div>
      </w:divsChild>
    </w:div>
    <w:div w:id="1704133187">
      <w:bodyDiv w:val="1"/>
      <w:marLeft w:val="0"/>
      <w:marRight w:val="0"/>
      <w:marTop w:val="0"/>
      <w:marBottom w:val="0"/>
      <w:divBdr>
        <w:top w:val="none" w:sz="0" w:space="0" w:color="auto"/>
        <w:left w:val="none" w:sz="0" w:space="0" w:color="auto"/>
        <w:bottom w:val="none" w:sz="0" w:space="0" w:color="auto"/>
        <w:right w:val="none" w:sz="0" w:space="0" w:color="auto"/>
      </w:divBdr>
    </w:div>
    <w:div w:id="1736930998">
      <w:bodyDiv w:val="1"/>
      <w:marLeft w:val="225"/>
      <w:marRight w:val="225"/>
      <w:marTop w:val="0"/>
      <w:marBottom w:val="0"/>
      <w:divBdr>
        <w:top w:val="none" w:sz="0" w:space="0" w:color="auto"/>
        <w:left w:val="none" w:sz="0" w:space="0" w:color="auto"/>
        <w:bottom w:val="none" w:sz="0" w:space="0" w:color="auto"/>
        <w:right w:val="none" w:sz="0" w:space="0" w:color="auto"/>
      </w:divBdr>
      <w:divsChild>
        <w:div w:id="284393427">
          <w:marLeft w:val="0"/>
          <w:marRight w:val="0"/>
          <w:marTop w:val="0"/>
          <w:marBottom w:val="0"/>
          <w:divBdr>
            <w:top w:val="none" w:sz="0" w:space="0" w:color="auto"/>
            <w:left w:val="none" w:sz="0" w:space="0" w:color="auto"/>
            <w:bottom w:val="none" w:sz="0" w:space="0" w:color="auto"/>
            <w:right w:val="none" w:sz="0" w:space="0" w:color="auto"/>
          </w:divBdr>
        </w:div>
      </w:divsChild>
    </w:div>
    <w:div w:id="1758408017">
      <w:bodyDiv w:val="1"/>
      <w:marLeft w:val="0"/>
      <w:marRight w:val="0"/>
      <w:marTop w:val="0"/>
      <w:marBottom w:val="0"/>
      <w:divBdr>
        <w:top w:val="none" w:sz="0" w:space="0" w:color="auto"/>
        <w:left w:val="none" w:sz="0" w:space="0" w:color="auto"/>
        <w:bottom w:val="none" w:sz="0" w:space="0" w:color="auto"/>
        <w:right w:val="none" w:sz="0" w:space="0" w:color="auto"/>
      </w:divBdr>
    </w:div>
    <w:div w:id="1759641694">
      <w:bodyDiv w:val="1"/>
      <w:marLeft w:val="225"/>
      <w:marRight w:val="225"/>
      <w:marTop w:val="0"/>
      <w:marBottom w:val="0"/>
      <w:divBdr>
        <w:top w:val="none" w:sz="0" w:space="0" w:color="auto"/>
        <w:left w:val="none" w:sz="0" w:space="0" w:color="auto"/>
        <w:bottom w:val="none" w:sz="0" w:space="0" w:color="auto"/>
        <w:right w:val="none" w:sz="0" w:space="0" w:color="auto"/>
      </w:divBdr>
      <w:divsChild>
        <w:div w:id="302738259">
          <w:marLeft w:val="0"/>
          <w:marRight w:val="0"/>
          <w:marTop w:val="0"/>
          <w:marBottom w:val="0"/>
          <w:divBdr>
            <w:top w:val="none" w:sz="0" w:space="0" w:color="auto"/>
            <w:left w:val="none" w:sz="0" w:space="0" w:color="auto"/>
            <w:bottom w:val="none" w:sz="0" w:space="0" w:color="auto"/>
            <w:right w:val="none" w:sz="0" w:space="0" w:color="auto"/>
          </w:divBdr>
        </w:div>
      </w:divsChild>
    </w:div>
    <w:div w:id="1821920683">
      <w:bodyDiv w:val="1"/>
      <w:marLeft w:val="0"/>
      <w:marRight w:val="0"/>
      <w:marTop w:val="0"/>
      <w:marBottom w:val="0"/>
      <w:divBdr>
        <w:top w:val="none" w:sz="0" w:space="0" w:color="auto"/>
        <w:left w:val="none" w:sz="0" w:space="0" w:color="auto"/>
        <w:bottom w:val="none" w:sz="0" w:space="0" w:color="auto"/>
        <w:right w:val="none" w:sz="0" w:space="0" w:color="auto"/>
      </w:divBdr>
    </w:div>
    <w:div w:id="1839035609">
      <w:bodyDiv w:val="1"/>
      <w:marLeft w:val="225"/>
      <w:marRight w:val="225"/>
      <w:marTop w:val="0"/>
      <w:marBottom w:val="0"/>
      <w:divBdr>
        <w:top w:val="none" w:sz="0" w:space="0" w:color="auto"/>
        <w:left w:val="none" w:sz="0" w:space="0" w:color="auto"/>
        <w:bottom w:val="none" w:sz="0" w:space="0" w:color="auto"/>
        <w:right w:val="none" w:sz="0" w:space="0" w:color="auto"/>
      </w:divBdr>
      <w:divsChild>
        <w:div w:id="715668033">
          <w:marLeft w:val="0"/>
          <w:marRight w:val="0"/>
          <w:marTop w:val="0"/>
          <w:marBottom w:val="0"/>
          <w:divBdr>
            <w:top w:val="none" w:sz="0" w:space="0" w:color="auto"/>
            <w:left w:val="none" w:sz="0" w:space="0" w:color="auto"/>
            <w:bottom w:val="none" w:sz="0" w:space="0" w:color="auto"/>
            <w:right w:val="none" w:sz="0" w:space="0" w:color="auto"/>
          </w:divBdr>
        </w:div>
      </w:divsChild>
    </w:div>
    <w:div w:id="1857573805">
      <w:bodyDiv w:val="1"/>
      <w:marLeft w:val="0"/>
      <w:marRight w:val="0"/>
      <w:marTop w:val="0"/>
      <w:marBottom w:val="0"/>
      <w:divBdr>
        <w:top w:val="none" w:sz="0" w:space="0" w:color="auto"/>
        <w:left w:val="none" w:sz="0" w:space="0" w:color="auto"/>
        <w:bottom w:val="none" w:sz="0" w:space="0" w:color="auto"/>
        <w:right w:val="none" w:sz="0" w:space="0" w:color="auto"/>
      </w:divBdr>
    </w:div>
    <w:div w:id="1857620481">
      <w:bodyDiv w:val="1"/>
      <w:marLeft w:val="0"/>
      <w:marRight w:val="0"/>
      <w:marTop w:val="0"/>
      <w:marBottom w:val="0"/>
      <w:divBdr>
        <w:top w:val="none" w:sz="0" w:space="0" w:color="auto"/>
        <w:left w:val="none" w:sz="0" w:space="0" w:color="auto"/>
        <w:bottom w:val="none" w:sz="0" w:space="0" w:color="auto"/>
        <w:right w:val="none" w:sz="0" w:space="0" w:color="auto"/>
      </w:divBdr>
    </w:div>
    <w:div w:id="1862355397">
      <w:bodyDiv w:val="1"/>
      <w:marLeft w:val="0"/>
      <w:marRight w:val="0"/>
      <w:marTop w:val="0"/>
      <w:marBottom w:val="0"/>
      <w:divBdr>
        <w:top w:val="none" w:sz="0" w:space="0" w:color="auto"/>
        <w:left w:val="none" w:sz="0" w:space="0" w:color="auto"/>
        <w:bottom w:val="none" w:sz="0" w:space="0" w:color="auto"/>
        <w:right w:val="none" w:sz="0" w:space="0" w:color="auto"/>
      </w:divBdr>
    </w:div>
    <w:div w:id="1870560948">
      <w:bodyDiv w:val="1"/>
      <w:marLeft w:val="0"/>
      <w:marRight w:val="0"/>
      <w:marTop w:val="0"/>
      <w:marBottom w:val="0"/>
      <w:divBdr>
        <w:top w:val="none" w:sz="0" w:space="0" w:color="auto"/>
        <w:left w:val="none" w:sz="0" w:space="0" w:color="auto"/>
        <w:bottom w:val="none" w:sz="0" w:space="0" w:color="auto"/>
        <w:right w:val="none" w:sz="0" w:space="0" w:color="auto"/>
      </w:divBdr>
    </w:div>
    <w:div w:id="1906336154">
      <w:bodyDiv w:val="1"/>
      <w:marLeft w:val="0"/>
      <w:marRight w:val="0"/>
      <w:marTop w:val="0"/>
      <w:marBottom w:val="0"/>
      <w:divBdr>
        <w:top w:val="none" w:sz="0" w:space="0" w:color="auto"/>
        <w:left w:val="none" w:sz="0" w:space="0" w:color="auto"/>
        <w:bottom w:val="none" w:sz="0" w:space="0" w:color="auto"/>
        <w:right w:val="none" w:sz="0" w:space="0" w:color="auto"/>
      </w:divBdr>
    </w:div>
    <w:div w:id="1939748494">
      <w:bodyDiv w:val="1"/>
      <w:marLeft w:val="0"/>
      <w:marRight w:val="0"/>
      <w:marTop w:val="0"/>
      <w:marBottom w:val="0"/>
      <w:divBdr>
        <w:top w:val="none" w:sz="0" w:space="0" w:color="auto"/>
        <w:left w:val="none" w:sz="0" w:space="0" w:color="auto"/>
        <w:bottom w:val="none" w:sz="0" w:space="0" w:color="auto"/>
        <w:right w:val="none" w:sz="0" w:space="0" w:color="auto"/>
      </w:divBdr>
    </w:div>
    <w:div w:id="1961955475">
      <w:bodyDiv w:val="1"/>
      <w:marLeft w:val="225"/>
      <w:marRight w:val="225"/>
      <w:marTop w:val="0"/>
      <w:marBottom w:val="0"/>
      <w:divBdr>
        <w:top w:val="none" w:sz="0" w:space="0" w:color="auto"/>
        <w:left w:val="none" w:sz="0" w:space="0" w:color="auto"/>
        <w:bottom w:val="none" w:sz="0" w:space="0" w:color="auto"/>
        <w:right w:val="none" w:sz="0" w:space="0" w:color="auto"/>
      </w:divBdr>
      <w:divsChild>
        <w:div w:id="2002585800">
          <w:marLeft w:val="0"/>
          <w:marRight w:val="0"/>
          <w:marTop w:val="0"/>
          <w:marBottom w:val="0"/>
          <w:divBdr>
            <w:top w:val="none" w:sz="0" w:space="0" w:color="auto"/>
            <w:left w:val="none" w:sz="0" w:space="0" w:color="auto"/>
            <w:bottom w:val="none" w:sz="0" w:space="0" w:color="auto"/>
            <w:right w:val="none" w:sz="0" w:space="0" w:color="auto"/>
          </w:divBdr>
        </w:div>
      </w:divsChild>
    </w:div>
    <w:div w:id="2006589426">
      <w:bodyDiv w:val="1"/>
      <w:marLeft w:val="0"/>
      <w:marRight w:val="0"/>
      <w:marTop w:val="0"/>
      <w:marBottom w:val="0"/>
      <w:divBdr>
        <w:top w:val="none" w:sz="0" w:space="0" w:color="auto"/>
        <w:left w:val="none" w:sz="0" w:space="0" w:color="auto"/>
        <w:bottom w:val="none" w:sz="0" w:space="0" w:color="auto"/>
        <w:right w:val="none" w:sz="0" w:space="0" w:color="auto"/>
      </w:divBdr>
    </w:div>
    <w:div w:id="2058313659">
      <w:bodyDiv w:val="1"/>
      <w:marLeft w:val="0"/>
      <w:marRight w:val="0"/>
      <w:marTop w:val="0"/>
      <w:marBottom w:val="0"/>
      <w:divBdr>
        <w:top w:val="none" w:sz="0" w:space="0" w:color="auto"/>
        <w:left w:val="none" w:sz="0" w:space="0" w:color="auto"/>
        <w:bottom w:val="none" w:sz="0" w:space="0" w:color="auto"/>
        <w:right w:val="none" w:sz="0" w:space="0" w:color="auto"/>
      </w:divBdr>
    </w:div>
    <w:div w:id="2115467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endnotes" Target="endnotes.xml"/>
  <Relationship Id="rId12" Type="http://schemas.openxmlformats.org/officeDocument/2006/relationships/image" Target="media/image1.png"/>
  <Relationship Id="rId13" Type="http://schemas.openxmlformats.org/officeDocument/2006/relationships/image" Target="media/image2.gif"/>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customXml" Target="../customXml/item2.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7.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styles" Target="styles.xml"/>
  <Relationship Id="rId8" Type="http://schemas.openxmlformats.org/officeDocument/2006/relationships/settings" Target="settings.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as" ma:contentTypeID="0x01010049D0FA761F0DBA42BFA6174882C4AF17" ma:contentTypeVersion="1" ma:contentTypeDescription="Kurkite naują dokumentą." ma:contentTypeScope="" ma:versionID="998d0416ff9444d7540a41f5b999b4e8">
  <xsd:schema xmlns:xsd="http://www.w3.org/2001/XMLSchema" xmlns:xs="http://www.w3.org/2001/XMLSchema" xmlns:p="http://schemas.microsoft.com/office/2006/metadata/properties" xmlns:ns2="28130d43-1b56-4a10-ad88-2cd38123f4c1" targetNamespace="http://schemas.microsoft.com/office/2006/metadata/properties" ma:root="true" ma:fieldsID="8371bbb0e07aa477de93ed9326d97380" ns2:_="">
    <xsd:import namespace="28130d43-1b56-4a10-ad88-2cd38123f4c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Parts xmlns="http://lrs.lt/TAIS/DocParts">
  <Part Type="pagrindine" DocPartId="e7020f108f5e4cefa2d79255a97b75a7" PartId="465a27be221e4b008977644bbdd275f1">
    <Part Type="punktas" Nr="1" Abbr="1 p." DocPartId="5c49151453c04323addca57bd3080ba8" PartId="a266141959aa4fb181fdaada57d9cd24"/>
    <Part Type="punktas" Nr="2" Abbr="2 p." DocPartId="d2d99e6412c746348b4f37a1414b4154" PartId="08d8f1a0e4d44d0f9eb4ac4c38891609"/>
    <Part Type="punktas" Nr="3" Abbr="3 p." DocPartId="2e9ace2ef2b64c0eb589420e54c1d458" PartId="0b03161870f24b508655f61bb716d77b"/>
    <Part Type="punktas" Nr="4" Abbr="4 p." DocPartId="c6f7b55792614cd597dd2a6a34bbfca3" PartId="22f68b7d2ab0442ab701159af4a7946e"/>
    <Part Type="punktas" Nr="5" Abbr="5 p." DocPartId="d4e47cb7d27f4bed81d87843e39fb573" PartId="e168ab0771f94e9b926107c0a480abc7"/>
    <Part Type="punktas" Nr="6" Abbr="6 p." DocPartId="47044d06b44a4a56a1ae9eb7193ac2cf" PartId="0b31c6f157204c25aaa029fab4d57a0e"/>
    <Part Type="punktas" Nr="7" Abbr="7 p." DocPartId="3bcf064716524324a8624981cc561a49" PartId="df54be7fc9bf4ffaa4b4de3e26a9a1b6"/>
    <Part Type="punktas" Nr="8" Abbr="8 p." DocPartId="bbd9e9bd154f400598c6a2c5e5963f94" PartId="a3dfcbd4b5a5436983e99ee1e65e36d7"/>
    <Part Type="punktas" Nr="9" Abbr="9 p." DocPartId="1872a42a745049ae974d732afb9ba1cb" PartId="cf23d67528c64c01a5c383e801c965e8"/>
    <Part Type="punktas" Nr="10" Abbr="10 p." DocPartId="35a04d062775429da024efda9648ed9b" PartId="f7e5b19d9d354aa8b62c984e9f2e8791"/>
  </Part>
</Parts>
</file>

<file path=customXml/itemProps1.xml><?xml version="1.0" encoding="utf-8"?>
<ds:datastoreItem xmlns:ds="http://schemas.openxmlformats.org/officeDocument/2006/customXml" ds:itemID="{020C54FE-8A6D-440E-BE97-B4AC824CDE67}">
  <ds:schemaRefs>
    <ds:schemaRef ds:uri="http://schemas.microsoft.com/sharepoint/v3/contenttype/forms"/>
  </ds:schemaRefs>
</ds:datastoreItem>
</file>

<file path=customXml/itemProps2.xml><?xml version="1.0" encoding="utf-8"?>
<ds:datastoreItem xmlns:ds="http://schemas.openxmlformats.org/officeDocument/2006/customXml" ds:itemID="{A022DD92-3484-4150-8B93-1ABB12723413}">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28130d43-1b56-4a10-ad88-2cd38123f4c1"/>
    <ds:schemaRef ds:uri="http://purl.org/dc/term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EB71FA4C-11C9-47CD-B1F2-E2C38CD53483}">
  <ds:schemaRefs>
    <ds:schemaRef ds:uri="http://schemas.microsoft.com/sharepoint/events"/>
  </ds:schemaRefs>
</ds:datastoreItem>
</file>

<file path=customXml/itemProps4.xml><?xml version="1.0" encoding="utf-8"?>
<ds:datastoreItem xmlns:ds="http://schemas.openxmlformats.org/officeDocument/2006/customXml" ds:itemID="{19641151-2F4C-4CDC-B8BE-E18150EC14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45714F3-4CD2-42AE-BAC5-B937AF6F463E}">
  <ds:schemaRefs>
    <ds:schemaRef ds:uri="http://schemas.microsoft.com/office/2006/metadata/longProperties"/>
  </ds:schemaRefs>
</ds:datastoreItem>
</file>

<file path=customXml/itemProps6.xml><?xml version="1.0" encoding="utf-8"?>
<ds:datastoreItem xmlns:ds="http://schemas.openxmlformats.org/officeDocument/2006/customXml" ds:itemID="{7F4114F0-C125-41F1-9A73-0E55CE6808D5}">
  <ds:schemaRefs>
    <ds:schemaRef ds:uri="http://schemas.openxmlformats.org/officeDocument/2006/bibliography"/>
  </ds:schemaRefs>
</ds:datastoreItem>
</file>

<file path=customXml/itemProps7.xml><?xml version="1.0" encoding="utf-8"?>
<ds:datastoreItem xmlns:ds="http://schemas.openxmlformats.org/officeDocument/2006/customXml" ds:itemID="{6C25B994-7683-4BE7-986F-3E885FE81B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1880</Words>
  <Characters>13354</Characters>
  <Application>Microsoft Office Word</Application>
  <DocSecurity>4</DocSecurity>
  <Lines>494</Lines>
  <Paragraphs>132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15102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2021-12-08T12:43:00Z</dcterms:created>
  <dc:creator>egjank</dc:creator>
  <lastModifiedBy>adlibuser</lastModifiedBy>
  <lastPrinted>2020-12-17T12:58:00Z</lastPrinted>
  <dcterms:modified xsi:type="dcterms:W3CDTF">2021-12-08T12:43:00Z</dcterms:modified>
  <revision>2</revision>
  <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Z6YWEJNPDQQR-1726270900-3364</vt:lpwstr>
  </property>
  <property fmtid="{D5CDD505-2E9C-101B-9397-08002B2CF9AE}" pid="3" name="_dlc_DocIdItemGuid">
    <vt:lpwstr>61cbd7aa-4b63-42d0-8763-805f5621f2aa</vt:lpwstr>
  </property>
  <property fmtid="{D5CDD505-2E9C-101B-9397-08002B2CF9AE}" pid="4" name="_dlc_DocIdUrl">
    <vt:lpwstr>https://intranetas.lrs.lt/14/_layouts/15/DocIdRedir.aspx?ID=Z6YWEJNPDQQR-1726270900-3364, Z6YWEJNPDQQR-1726270900-3364</vt:lpwstr>
  </property>
  <property fmtid="{D5CDD505-2E9C-101B-9397-08002B2CF9AE}" pid="5" name="TemplateUrl">
    <vt:lpwstr/>
  </property>
  <property fmtid="{D5CDD505-2E9C-101B-9397-08002B2CF9AE}" pid="6" name="Viesas">
    <vt:lpwstr>0</vt:lpwstr>
  </property>
  <property fmtid="{D5CDD505-2E9C-101B-9397-08002B2CF9AE}" pid="7" name="Pagrindinis">
    <vt:lpwstr>0</vt:lpwstr>
  </property>
  <property fmtid="{D5CDD505-2E9C-101B-9397-08002B2CF9AE}" pid="8" name="xd_ProgID">
    <vt:lpwstr/>
  </property>
  <property fmtid="{D5CDD505-2E9C-101B-9397-08002B2CF9AE}" pid="9" name="Antrinis">
    <vt:lpwstr>0</vt:lpwstr>
  </property>
</Properties>
</file>