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53fd9c1e26418d978abd41c26aae5f"/>
        <w:lock w:val="sdtLocked"/>
        <w:richText/>
      </w:sdtPr>
      <w:sdtContent>
        <w:p w14:paraId="574BFF31" w14:textId="77777777">
          <w:pPr>
            <w:framePr w:hSpace="180" w:wrap="auto" w:vAnchor="text" w:hAnchor="page" w:x="5728" w:y="-61"/>
            <w:tabs>
              <w:tab w:val="center" w:pos="4153"/>
              <w:tab w:val="right" w:pos="8306"/>
            </w:tabs>
            <w:overflowPunct w:val="0"/>
            <w:textAlignment w:val="baseline"/>
            <w:rPr>
              <w:lang w:val="en-GB" w:eastAsia="lt-LT"/>
            </w:rPr>
          </w:pPr>
        </w:p>
        <w:p w14:paraId="601C7B2A" w14:textId="77777777">
          <w:pPr>
            <w:framePr w:hSpace="180" w:wrap="auto" w:vAnchor="text" w:hAnchor="page" w:x="5728" w:y="-61"/>
            <w:overflowPunct w:val="0"/>
            <w:spacing w:line="276" w:lineRule="auto"/>
            <w:jc w:val="both"/>
            <w:textAlignment w:val="baseline"/>
            <w:rPr>
              <w:sz w:val="8"/>
              <w:lang w:eastAsia="lt-LT"/>
            </w:rPr>
          </w:pPr>
          <w:r>
            <w:rPr>
              <w:sz w:val="8"/>
              <w:lang w:val="en-US"/>
            </w:rPr>
            <w:drawing>
              <wp:inline distT="0" distB="0" distL="0" distR="0" wp14:anchorId="54C308FF" wp14:editId="593CF733">
                <wp:extent cx="1059180" cy="723900"/>
                <wp:effectExtent l="0" t="0" r="7620" b="0"/>
                <wp:docPr id="1" name="Paveikslėlis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59180" cy="723900"/>
                        </a:xfrm>
                        <a:prstGeom prst="rect">
                          <a:avLst/>
                        </a:prstGeom>
                        <a:noFill/>
                        <a:ln>
                          <a:noFill/>
                        </a:ln>
                      </pic:spPr>
                    </pic:pic>
                  </a:graphicData>
                </a:graphic>
              </wp:inline>
            </w:drawing>
          </w:r>
        </w:p>
        <w:p w14:paraId="3FADF344" w14:textId="77777777">
          <w:pPr>
            <w:overflowPunct w:val="0"/>
            <w:spacing w:line="276" w:lineRule="auto"/>
            <w:jc w:val="both"/>
            <w:textAlignment w:val="baseline"/>
            <w:rPr>
              <w:lang w:eastAsia="lt-LT"/>
            </w:rPr>
          </w:pPr>
        </w:p>
        <w:p w14:paraId="0F5A5EF5" w14:textId="77777777">
          <w:pPr>
            <w:overflowPunct w:val="0"/>
            <w:spacing w:line="276" w:lineRule="auto"/>
            <w:jc w:val="both"/>
            <w:textAlignment w:val="baseline"/>
            <w:rPr>
              <w:lang w:eastAsia="lt-LT"/>
            </w:rPr>
          </w:pPr>
        </w:p>
        <w:p w14:paraId="18F99C05" w14:textId="77777777">
          <w:pPr>
            <w:framePr w:w="9921" w:h="754" w:hSpace="181" w:wrap="notBeside" w:vAnchor="text" w:hAnchor="page" w:x="1551" w:y="647" w:anchorLock="1"/>
            <w:overflowPunct w:val="0"/>
            <w:spacing w:line="276" w:lineRule="auto"/>
            <w:jc w:val="center"/>
            <w:textAlignment w:val="baseline"/>
            <w:rPr>
              <w:b/>
              <w:szCs w:val="24"/>
              <w:lang w:eastAsia="lt-LT"/>
            </w:rPr>
          </w:pPr>
          <w:r>
            <w:rPr>
              <w:b/>
              <w:szCs w:val="24"/>
              <w:lang w:eastAsia="lt-LT"/>
            </w:rPr>
            <w:t xml:space="preserve">LIETUVOS RESPUBLIKOS ŽEMĖS ŪKIO MINISTERIJOS </w:t>
          </w:r>
        </w:p>
        <w:p w14:paraId="3AE33C71" w14:textId="77777777">
          <w:pPr>
            <w:framePr w:w="9921" w:h="754" w:hSpace="181" w:wrap="notBeside" w:vAnchor="text" w:hAnchor="page" w:x="1551" w:y="647" w:anchorLock="1"/>
            <w:overflowPunct w:val="0"/>
            <w:spacing w:line="276" w:lineRule="auto"/>
            <w:jc w:val="center"/>
            <w:textAlignment w:val="baseline"/>
            <w:rPr>
              <w:b/>
              <w:szCs w:val="24"/>
              <w:lang w:eastAsia="lt-LT"/>
            </w:rPr>
          </w:pPr>
          <w:r>
            <w:rPr>
              <w:b/>
              <w:szCs w:val="24"/>
              <w:lang w:eastAsia="lt-LT"/>
            </w:rPr>
            <w:t>TVARIOS ŽEMĖS ŪKIO GAMYBOS IR MAISTO PRAMONĖS DEPARTAMENTAS</w:t>
          </w:r>
        </w:p>
        <w:p w14:paraId="3A927F9C" w14:textId="77777777">
          <w:pPr>
            <w:overflowPunct w:val="0"/>
            <w:spacing w:line="276" w:lineRule="auto"/>
            <w:jc w:val="both"/>
            <w:textAlignment w:val="baseline"/>
            <w:rPr>
              <w:lang w:eastAsia="lt-LT"/>
            </w:rPr>
          </w:pPr>
        </w:p>
        <w:p w14:paraId="2136653B" w14:textId="77777777">
          <w:pPr>
            <w:framePr w:w="9185" w:h="1077" w:hSpace="181" w:wrap="notBeside" w:vAnchor="text" w:hAnchor="page" w:x="2169" w:y="1099"/>
            <w:overflowPunct w:val="0"/>
            <w:spacing w:line="276" w:lineRule="auto"/>
            <w:jc w:val="center"/>
            <w:textAlignment w:val="baseline"/>
            <w:rPr>
              <w:b/>
              <w:lang w:eastAsia="lt-LT"/>
            </w:rPr>
          </w:pPr>
          <w:r>
            <w:rPr>
              <w:b/>
              <w:lang w:eastAsia="lt-LT"/>
            </w:rPr>
            <w:t xml:space="preserve">AIŠKINAMASIS RAŠTAS </w:t>
          </w:r>
        </w:p>
        <w:p w14:paraId="3E9F4A78" w14:textId="64D8C9BD">
          <w:pPr>
            <w:keepNext/>
            <w:framePr w:w="9185" w:h="1077" w:hSpace="181" w:wrap="notBeside" w:vAnchor="text" w:hAnchor="page" w:x="2169" w:y="1099"/>
            <w:shd w:val="solid" w:color="FFFFFF" w:fill="FFFFFF"/>
            <w:overflowPunct w:val="0"/>
            <w:spacing w:line="276" w:lineRule="auto"/>
            <w:jc w:val="center"/>
            <w:textAlignment w:val="baseline"/>
            <w:rPr>
              <w:b/>
              <w:lang w:eastAsia="lt-LT"/>
            </w:rPr>
          </w:pPr>
          <w:r>
            <w:rPr>
              <w:b/>
              <w:caps/>
              <w:lang w:eastAsia="lt-LT"/>
            </w:rPr>
            <w:t xml:space="preserve">Dėl </w:t>
          </w:r>
          <w:r>
            <w:rPr>
              <w:b/>
              <w:bCs/>
              <w:szCs w:val="24"/>
              <w:lang w:eastAsia="lt-LT"/>
            </w:rPr>
            <w:t xml:space="preserve">NACIONALINĖS PAGALBOS PIENO GAMINTOJAMS </w:t>
          </w:r>
          <w:r>
            <w:rPr>
              <w:b/>
              <w:lang w:eastAsia="lt-LT"/>
            </w:rPr>
            <w:t>TEIKIMO TAISYKLIŲ PATVIRTINIMO</w:t>
          </w:r>
        </w:p>
        <w:p w14:paraId="7FF8AC0A" w14:textId="0B9683C3">
          <w:pPr>
            <w:framePr w:w="9185" w:h="1077" w:hSpace="181" w:wrap="notBeside" w:vAnchor="text" w:hAnchor="page" w:x="2169" w:y="1099"/>
            <w:overflowPunct w:val="0"/>
            <w:spacing w:line="276" w:lineRule="auto"/>
            <w:textAlignment w:val="baseline"/>
            <w:rPr>
              <w:sz w:val="20"/>
              <w:lang w:eastAsia="lt-LT"/>
            </w:rPr>
          </w:pPr>
        </w:p>
        <w:p w14:paraId="01ED02A8" w14:textId="77777777">
          <w:pPr>
            <w:framePr w:w="9185" w:h="1077" w:hSpace="181" w:wrap="notBeside" w:vAnchor="text" w:hAnchor="page" w:x="2169" w:y="1099"/>
            <w:overflowPunct w:val="0"/>
            <w:spacing w:line="276" w:lineRule="auto"/>
            <w:jc w:val="center"/>
            <w:textAlignment w:val="baseline"/>
            <w:rPr>
              <w:sz w:val="20"/>
              <w:lang w:eastAsia="lt-LT"/>
            </w:rPr>
          </w:pPr>
          <w:r>
            <w:rPr>
              <w:sz w:val="20"/>
              <w:lang w:eastAsia="lt-LT"/>
            </w:rPr>
            <w:t xml:space="preserve">____________________ </w:t>
          </w:r>
          <w:r>
            <w:rPr>
              <w:lang w:eastAsia="lt-LT"/>
            </w:rPr>
            <w:t xml:space="preserve">Nr. </w:t>
          </w:r>
          <w:r>
            <w:rPr>
              <w:sz w:val="20"/>
              <w:lang w:eastAsia="lt-LT"/>
            </w:rPr>
            <w:t>__________________</w:t>
          </w:r>
        </w:p>
        <w:p w14:paraId="7C8BA6CB" w14:textId="77777777">
          <w:pPr>
            <w:framePr w:w="9185" w:h="1077" w:hSpace="181" w:wrap="notBeside" w:vAnchor="text" w:hAnchor="page" w:x="2169" w:y="1099"/>
            <w:overflowPunct w:val="0"/>
            <w:spacing w:line="276" w:lineRule="auto"/>
            <w:jc w:val="center"/>
            <w:textAlignment w:val="baseline"/>
            <w:rPr>
              <w:lang w:eastAsia="lt-LT"/>
            </w:rPr>
          </w:pPr>
          <w:r>
            <w:rPr>
              <w:lang w:eastAsia="lt-LT"/>
            </w:rPr>
            <w:t>Vilnius</w:t>
          </w:r>
        </w:p>
        <w:p w14:paraId="148AA9B2" w14:textId="28499813">
          <w:pPr>
            <w:overflowPunct w:val="0"/>
            <w:spacing w:line="276" w:lineRule="auto"/>
            <w:jc w:val="both"/>
            <w:textAlignment w:val="baseline"/>
            <w:rPr>
              <w:lang w:eastAsia="lt-LT"/>
            </w:rPr>
          </w:pPr>
          <w:r>
            <w:rPr>
              <w:lang w:val="en-US"/>
            </w:rPr>
            <mc:AlternateContent>
              <mc:Choice Requires="wps">
                <w:drawing>
                  <wp:anchor distT="0" distB="0" distL="114300" distR="114300" simplePos="0" relativeHeight="251657216" behindDoc="0" locked="0" layoutInCell="1" allowOverlap="1" wp14:anchorId="12E45432" wp14:editId="17983011">
                    <wp:simplePos x="0" y="0"/>
                    <wp:positionH relativeFrom="column">
                      <wp:posOffset>1880235</wp:posOffset>
                    </wp:positionH>
                    <wp:positionV relativeFrom="paragraph">
                      <wp:posOffset>1338580</wp:posOffset>
                    </wp:positionV>
                    <wp:extent cx="1143000" cy="200025"/>
                    <wp:effectExtent l="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200025"/>
                            </a:xfrm>
                            <a:prstGeom prst="rect">
                              <a:avLst/>
                            </a:prstGeom>
                            <a:solidFill>
                              <a:srgbClr val="FFFFFF"/>
                            </a:solidFill>
                            <a:ln w="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426576B" w14:textId="2BFFB37B">
                                <w:pPr>
                                  <w:overflowPunct w:val="0"/>
                                  <w:textAlignment w:val="baseline"/>
                                  <w:rPr>
                                    <w:lang w:val="en-US" w:eastAsia="lt-LT"/>
                                  </w:rPr>
                                </w:pPr>
                                <w:r>
                                  <w:rPr>
                                    <w:lang w:eastAsia="lt-LT"/>
                                  </w:rPr>
                                  <w:t>202</w:t>
                                </w:r>
                                <w:r>
                                  <w:rPr>
                                    <w:lang w:val="en-US" w:eastAsia="lt-LT"/>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E45432" id="Rectangle 2" o:spid="_x0000_s1026" style="position:absolute;left:0;text-align:left;margin-left:148.05pt;margin-top:105.4pt;width:90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mn4FqgIAAIIFAAAOAAAAZHJzL2Uyb0RvYy54bWysVN9v0zAQfkfif7D83iXpj7VETae2axHS gImBeHZtJ7Fw7GC7TQbif+fsNFlhL2iilaI7+/z5u7vPt7xpK4lO3FihVYaTqxgjrqhmQhUZ/vJ5 P1pgZB1RjEiteIYfucU3q9evlk2d8rEutWTcIABRNm3qDJfO1WkUWVryitgrXXMFm7k2FXHgmiJi hjSAXsloHMfXUaMNq42m3FpYve028Srg5zmn7mOeW+6QzDBwc+Frwvfgv9FqSdLCkLoU9EyDvIBF RYSCSweoW+IIOhrxDKoS1Girc3dFdRXpPBeUhxwgmyT+K5uHktQ85ALFsfVQJvv/YOmH071BgmV4 gpEiFbToExSNqEJyNPblaWqbQtRDfW98gra+0/SbRUpvS4jia2N0U3LCgFTi46M/DnjHwlF0aN5r Bujk6HSoVJubygNCDVAbGvI4NIS3DlFYTJLpJI6hbxT2oN3xeBauIGl/ujbWveW6Qt7IsAHuAZ2c 7qzzbEjahwT2Wgq2F1IGxxSHrTToREAc+/A7o9vLMKlQ45m99HwlHEhciirDC0gB0gmi8zXbKRZs R4TsbOArlb+JB/F2SYDXOjDDOpQmCOvnej+L59PJYjSfzyaj6WQXjzaL/Xa03ibX1/PdZrvZJb88 62SaloIxrnYB0/Y6T6b/pqPzi+sUOih9IOhZ6SPk+FCyBjHh+zCZvRknGBx4auN5lzUisoAZQZ3B yGj3VbgyCHyo7WU7FrH/n9sxoId+XlwcPcuti2ihVFDJvmpBkl6FnZpde2ih7F6aB80eQZxAx7Pw gwyMUpsfGDUwFDJsvx+J4RjJdwoE7idIb5jeOPQGURSOZthh1Jlb102aY21EUQJyEkSk9BoeQS6C Pp9YAGXvwEMP5M9DyU+SSz9EPY3O1W8AAAD//wMAUEsDBBQABgAIAAAAIQANpyCl4QAAAAsBAAAP AAAAZHJzL2Rvd25yZXYueG1sTI/BTsMwEETvSPyDtUjcqJ1QtTSNUyEkDkj0QFIhcXPjJU6I7TR2 2/D3bE/ltjs7mn2TbybbsxOOofVOQjITwNDVXreukbCrXh+egIWonFa9dyjhFwNsitubXGXan90H nsrYMApxIVMSTIxDxnmoDVoVZn5AR7dvP1oVaR0brkd1pnDb81SIBbeqdfTBqAFfDNY/5dFK6A7b r63YvXdVuTT12+eh89ZWUt7fTc9rYBGneDXDBZ/QoSCmvT86HVgvIV0tErLSkAjqQI758qLsSZmn j8CLnP/vUPwBAAD//wMAUEsBAi0AFAAGAAgAAAAhALaDOJL+AAAA4QEAABMAAAAAAAAAAAAAAAAA AAAAAFtDb250ZW50X1R5cGVzXS54bWxQSwECLQAUAAYACAAAACEAOP0h/9YAAACUAQAACwAAAAAA AAAAAAAAAAAvAQAAX3JlbHMvLnJlbHNQSwECLQAUAAYACAAAACEA35p+BaoCAACCBQAADgAAAAAA AAAAAAAAAAAuAgAAZHJzL2Uyb0RvYy54bWxQSwECLQAUAAYACAAAACEADacgpeEAAAALAQAADwAA AAAAAAAAAAAAAAAEBQAAZHJzL2Rvd25yZXYueG1sUEsFBgAAAAAEAAQA8wAAABIGAAAAAA== " strokecolor="white" strokeweight="0">
                    <v:textbox inset="0,0,0,0">
                      <w:txbxContent>
                        <w:p w14:paraId="7426576B" w14:textId="2BFFB37B">
                          <w:pPr>
                            <w:overflowPunct w:val="0"/>
                            <w:textAlignment w:val="baseline"/>
                            <w:rPr>
                              <w:rFonts w:ascii="Times New Roman" w:hAnsi="Times New Roman" w:eastAsia="Times New Roman" w:cs="Times New Roman"/>
                              <w:lang w:val="en-US" w:eastAsia="lt-LT"/>
                            </w:rPr>
                          </w:pPr>
                          <w:r>
                            <w:rPr>
                              <w:rFonts w:ascii="Times New Roman" w:hAnsi="Times New Roman" w:eastAsia="Times New Roman" w:cs="Times New Roman"/>
                              <w:lang w:eastAsia="lt-LT"/>
                            </w:rPr>
                            <w:t>202</w:t>
                          </w:r>
                          <w:r>
                            <w:rPr>
                              <w:rFonts w:ascii="Times New Roman" w:hAnsi="Times New Roman" w:eastAsia="Times New Roman" w:cs="Times New Roman"/>
                              <w:lang w:val="en-US" w:eastAsia="lt-LT"/>
                            </w:rPr>
                            <w:t>3-</w:t>
                          </w:r>
                        </w:p>
                      </w:txbxContent>
                    </v:textbox>
                  </v:rect>
                </w:pict>
              </mc:Fallback>
            </mc:AlternateContent>
            <mc:AlternateContent>
              <mc:Choice Requires="wps">
                <w:drawing>
                  <wp:anchor distT="0" distB="0" distL="114300" distR="114300" simplePos="0" relativeHeight="251658240" behindDoc="0" locked="0" layoutInCell="1" allowOverlap="1" wp14:anchorId="02FA128A" wp14:editId="1D60EEBF">
                    <wp:simplePos x="0" y="0"/>
                    <wp:positionH relativeFrom="column">
                      <wp:posOffset>3495675</wp:posOffset>
                    </wp:positionH>
                    <wp:positionV relativeFrom="paragraph">
                      <wp:posOffset>1366520</wp:posOffset>
                    </wp:positionV>
                    <wp:extent cx="1028700" cy="19621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96215"/>
                            </a:xfrm>
                            <a:prstGeom prst="rect">
                              <a:avLst/>
                            </a:prstGeom>
                            <a:solidFill>
                              <a:srgbClr val="FFFFFF"/>
                            </a:solidFill>
                            <a:ln w="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ACBFB4F" w14:textId="77777777">
                                <w:pPr>
                                  <w:overflowPunct w:val="0"/>
                                  <w:textAlignment w:val="baseline"/>
                                  <w:rPr>
                                    <w:szCs w:val="24"/>
                                    <w:lang w:eastAsia="lt-LT"/>
                                  </w:rPr>
                                </w:pPr>
                                <w:r>
                                  <w:rPr>
                                    <w:szCs w:val="24"/>
                                    <w:lang w:eastAsia="lt-LT"/>
                                  </w:rPr>
                                  <w:t>21D-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A128A" id="Rectangle 3" o:spid="_x0000_s1027" style="position:absolute;left:0;text-align:left;margin-left:275.25pt;margin-top:107.6pt;width:81pt;height:15.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zuWmrQIAAIkFAAAOAAAAZHJzL2Uyb0RvYy54bWysVG1v0zAQ/o7Ef7D8vctLXxctnbquRUgD Jgbis2s7jYVjB9ttsiH+O2enyQr7giYSKbqLz4+fu3t8V9dtJdGRGyu0ynFyEWPEFdVMqH2Ov37Z jhYYWUcUI1IrnuNHbvH18u2bq6bOeKpLLRk3CECUzZo6x6VzdRZFlpa8IvZC11zBYqFNRRy4Zh8x QxpAr2SUxvEsarRhtdGUWwt/b7tFvAz4RcGp+1QUljskcwzcXPia8N35b7S8ItnekLoU9ESDvIJF RYSCQweoW+IIOhjxAqoS1GirC3dBdRXpohCUhxwgmyT+K5uHktQ85ALFsfVQJvv/YOnH471BguU4 xUiRClr0GYpG1F5yNPblaWqbQdRDfW98gra+0/S7RUqvS4jiK2N0U3LCgFTi46M/NnjHwla0az5o Bujk4HSoVFuYygNCDVAbGvI4NIS3DlH4mcTpYh5D3yisJZezNJmGI0jW766Nde+4rpA3cmyAe0An xzvrPBuS9SGBvZaCbYWUwTH73VoadCQgjm14Tuj2PEwq1Hhmr91fCQcSl6LK8SL2jz+EZL5mG8WC 7YiQnQ18pfLLPIi3SwK81oEZ/kNpgrB+rrbTeD4ZL0bz+XQ8mow38ehmsV2PVutkNptvbtY3m+SX Z51MslIwxtUmYNpe58nk33R0unGdQgelDwQ9K32AHB9K1iAmfB/G08s0weDAVUuhgz5rROQeZgR1 BiOj3TfhyiDwobbn7VjE/j21Y0AP/Tw7OHqRWxfRQqmgkn3VgiS9Cjs1u3bXBskHvXqF7jR7BI0C K0/GzzMwSm2eMGpgNuTY/jgQwzGS7xXo3A+S3jC9sesNoihszbGDjIO5dt3AOdRG7EtAToKWlF7B XShEkOkzC2DuHbjvIYfTbPID5dwPUc8TdPkbAAD//wMAUEsDBBQABgAIAAAAIQDTbcbW4QAAAAsB AAAPAAAAZHJzL2Rvd25yZXYueG1sTI/BTsMwDIbvSLxDZCRuLGlFN9Q1nRASByR2oJ2QuGVN1rQ0 TtdkW3l7zGkc/fvT78/FZnYDO5spdB4lJAsBzGDjdYethF39+vAELESFWg0ejYQfE2BT3t4UKtf+ gh/mXMWWUQmGXEmwMY4556Gxxqmw8KNB2h385FSkcWq5ntSFyt3AUyGW3KkO6YJVo3mxpvmuTk5C f9x+bcXuva+rlW3ePo+9d66W8v5ufl4Di2aOVxj+9EkdSnLa+xPqwAYJWSYyQiWkSZYCI2KVpJTs KXlcJsDLgv//ofwFAAD//wMAUEsBAi0AFAAGAAgAAAAhALaDOJL+AAAA4QEAABMAAAAAAAAAAAAA AAAAAAAAAFtDb250ZW50X1R5cGVzXS54bWxQSwECLQAUAAYACAAAACEAOP0h/9YAAACUAQAACwAA AAAAAAAAAAAAAAAvAQAAX3JlbHMvLnJlbHNQSwECLQAUAAYACAAAACEAZs7lpq0CAACJBQAADgAA AAAAAAAAAAAAAAAuAgAAZHJzL2Uyb0RvYy54bWxQSwECLQAUAAYACAAAACEA023G1uEAAAALAQAA DwAAAAAAAAAAAAAAAAAHBQAAZHJzL2Rvd25yZXYueG1sUEsFBgAAAAAEAAQA8wAAABUGAAAAAA== " strokecolor="white" strokeweight="0">
                    <v:textbox inset="0,0,0,0">
                      <w:txbxContent>
                        <w:p w14:paraId="2ACBFB4F" w14:textId="77777777">
                          <w:pPr>
                            <w:overflowPunct w:val="0"/>
                            <w:textAlignment w:val="baseline"/>
                            <w:rPr>
                              <w:rFonts w:ascii="Times New Roman" w:hAnsi="Times New Roman" w:eastAsia="Times New Roman" w:cs="Times New Roman"/>
                              <w:szCs w:val="24"/>
                              <w:lang w:eastAsia="lt-LT"/>
                            </w:rPr>
                          </w:pPr>
                          <w:r>
                            <w:rPr>
                              <w:rFonts w:ascii="Times New Roman" w:hAnsi="Times New Roman" w:eastAsia="Times New Roman" w:cs="Times New Roman"/>
                              <w:szCs w:val="24"/>
                              <w:lang w:eastAsia="lt-LT"/>
                            </w:rPr>
                            <w:t>21D-</w:t>
                          </w:r>
                        </w:p>
                      </w:txbxContent>
                    </v:textbox>
                  </v:rect>
                </w:pict>
              </mc:Fallback>
            </mc:AlternateContent>
          </w:r>
        </w:p>
        <w:p w14:paraId="0AB724F1" w14:textId="77777777">
          <w:pPr>
            <w:overflowPunct w:val="0"/>
            <w:spacing w:line="276" w:lineRule="auto"/>
            <w:jc w:val="both"/>
            <w:textAlignment w:val="baseline"/>
            <w:rPr>
              <w:szCs w:val="24"/>
              <w:lang w:eastAsia="lt-LT"/>
            </w:rPr>
          </w:pPr>
        </w:p>
        <w:p w14:paraId="670AB188" w14:textId="77777777">
          <w:pPr>
            <w:tabs>
              <w:tab w:val="left" w:pos="851"/>
            </w:tabs>
            <w:spacing w:line="276" w:lineRule="auto"/>
            <w:ind w:left="567"/>
            <w:jc w:val="both"/>
            <w:rPr>
              <w:b/>
              <w:bCs/>
              <w:color w:val="000000"/>
              <w:lang w:eastAsia="lt-LT"/>
            </w:rPr>
          </w:pPr>
        </w:p>
        <w:sdt>
          <w:sdtPr>
            <w:alias w:val="1 p."/>
            <w:tag w:val="part_5d03eeb7283446a0867457e6229b0762"/>
            <w:lock w:val="sdtLocked"/>
            <w:richText/>
          </w:sdtPr>
          <w:sdtContent>
            <w:p w14:paraId="45F817A5" w14:textId="4CDF2182">
              <w:pPr>
                <w:tabs>
                  <w:tab w:val="left" w:pos="851"/>
                </w:tabs>
                <w:spacing w:line="276" w:lineRule="auto"/>
                <w:ind w:firstLine="567"/>
                <w:jc w:val="both"/>
                <w:rPr>
                  <w:b/>
                  <w:bCs/>
                  <w:color w:val="000000"/>
                  <w:lang w:eastAsia="lt-LT"/>
                </w:rPr>
              </w:pPr>
              <w:sdt>
                <w:sdtPr>
                  <w:alias w:val="Numeris"/>
                  <w:tag w:val="nr_5d03eeb7283446a0867457e6229b0762"/>
                  <w:lock w:val="sdtLocked"/>
                  <w:richText/>
                </w:sdtPr>
                <w:sdtContent>
                  <w:r>
                    <w:rPr>
                      <w:b/>
                      <w:bCs/>
                      <w:color w:val="000000"/>
                      <w:lang w:eastAsia="lt-LT"/>
                    </w:rPr>
                    <w:t>1</w:t>
                  </w:r>
                </w:sdtContent>
              </w:sdt>
              <w:r>
                <w:rPr>
                  <w:b/>
                  <w:bCs/>
                  <w:color w:val="000000"/>
                  <w:lang w:eastAsia="lt-LT"/>
                </w:rPr>
                <w:t>.</w:t>
                <w:tab/>
                <w:t>Įsakymo projekto rengimą paskatinusios priežastys, įsakymo projekto tikslai ir uždaviniai.</w:t>
              </w:r>
            </w:p>
            <w:p w14:paraId="07DC3899" w14:textId="52BF9643">
              <w:pPr>
                <w:suppressAutoHyphens/>
                <w:spacing w:line="276" w:lineRule="auto"/>
                <w:ind w:firstLine="567"/>
                <w:jc w:val="both"/>
                <w:textAlignment w:val="center"/>
                <w:rPr>
                  <w:lang w:eastAsia="lt-LT"/>
                </w:rPr>
              </w:pPr>
              <w:r>
                <w:rPr>
                  <w:lang w:eastAsia="lt-LT"/>
                </w:rPr>
                <w:t xml:space="preserve">Įsakymo projektas teikiamas pakartotinai, atsižvelgiant socialinių partnerių pateiktas pastabas bei pasiūlymus, ir patikslinant TAIS 2023 m. kovo 22 d. paskelbtą projektą Nr. 23-4046. Įsakymo projektas parengtas </w:t>
              </w:r>
              <w:r>
                <w:rPr>
                  <w:color w:val="000000"/>
                  <w:spacing w:val="-2"/>
                  <w:lang w:eastAsia="lt-LT"/>
                </w:rPr>
                <w:t xml:space="preserve">siekiant </w:t>
              </w:r>
              <w:r>
                <w:rPr>
                  <w:lang w:eastAsia="lt-LT"/>
                </w:rPr>
                <w:t>išsaugoti Lietuvos pieno gamybos potencialą esant</w:t>
              </w:r>
              <w:r>
                <w:rPr>
                  <w:color w:val="000000"/>
                  <w:spacing w:val="-2"/>
                  <w:lang w:eastAsia="lt-LT"/>
                </w:rPr>
                <w:t xml:space="preserve"> rinkos veikimo sutrikdymams ir skatinti pieno gamintojų jungimąsi į pripažintas kooperatines bendroves (kooperatyvus). </w:t>
              </w:r>
              <w:r>
                <w:rPr>
                  <w:lang w:eastAsia="lt-LT"/>
                </w:rPr>
                <w:t xml:space="preserve">Nacionalinės pagalbos pieno gamintojams teikimo taisyklės (toliau – taisyklės) parengtos vadovaujantis </w:t>
              </w:r>
              <w:r>
                <w:rPr>
                  <w:rFonts w:eastAsia="Calibri"/>
                  <w:szCs w:val="24"/>
                  <w:lang w:eastAsia="lt-LT"/>
                </w:rPr>
                <w:t xml:space="preserve">2013 m. gruodžio 18 d. Komisijos reglamentu </w:t>
              </w:r>
              <w:fldSimple w:instr="HYPERLINK http://eur-lex.europa.eu/legal-content/LIT/TXT/?uri=CELEX:32013R1408&amp;locale=lt \t _blank">
                <w:r>
                  <w:rPr>
                    <w:rFonts w:eastAsia="Calibri"/>
                    <w:szCs w:val="24"/>
                    <w:lang w:eastAsia="lt-LT"/>
                    <w:u w:val="single"/>
                    <w:color w:val="0000FF" w:themeColor="hyperlink"/>
                  </w:rPr>
                  <w:t>(ES) Nr. 1408/2013</w:t>
                </w:r>
              </w:fldSimple>
              <w:r>
                <w:rPr>
                  <w:rFonts w:eastAsia="Calibri"/>
                  <w:szCs w:val="24"/>
                  <w:lang w:eastAsia="lt-LT"/>
                </w:rPr>
                <w:t xml:space="preserve"> dėl Sutarties dėl Europos Sąjungos veikimo 107 ir 108 straipsnių taikymo </w:t>
              </w:r>
              <w:r>
                <w:rPr>
                  <w:rFonts w:eastAsia="Calibri"/>
                  <w:i/>
                  <w:iCs/>
                  <w:szCs w:val="24"/>
                  <w:lang w:eastAsia="lt-LT"/>
                </w:rPr>
                <w:t>de minimis</w:t>
              </w:r>
              <w:r>
                <w:rPr>
                  <w:rFonts w:eastAsia="Calibri"/>
                  <w:szCs w:val="24"/>
                  <w:lang w:eastAsia="lt-LT"/>
                </w:rPr>
                <w:t xml:space="preserve"> pagalbai žemės ūkio sektoriuje su visais pakeitimais</w:t>
              </w:r>
              <w:r>
                <w:rPr>
                  <w:lang w:eastAsia="lt-LT"/>
                </w:rPr>
                <w:t xml:space="preserve"> (toliau – Reglamentas </w:t>
              </w:r>
              <w:fldSimple w:instr="HYPERLINK http://eur-lex.europa.eu/legal-content/LIT/TXT/?uri=CELEX:32013R1408&amp;locale=lt \t _blank">
                <w:r>
                  <w:rPr>
                    <w:lang w:eastAsia="lt-LT"/>
                    <w:u w:val="single"/>
                    <w:color w:val="0000FF" w:themeColor="hyperlink"/>
                  </w:rPr>
                  <w:t>(ES) Nr. 1408/2013</w:t>
                </w:r>
              </w:fldSimple>
              <w:r>
                <w:rPr>
                  <w:lang w:eastAsia="lt-LT"/>
                </w:rPr>
                <w:t xml:space="preserve">) ir atsižvelgiant į </w:t>
              </w:r>
              <w:r>
                <w:rPr>
                  <w:rFonts w:eastAsia="Arial Unicode MS"/>
                  <w:szCs w:val="24"/>
                  <w:lang w:eastAsia="lt-LT"/>
                </w:rPr>
                <w:t xml:space="preserve">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w:t>
              </w:r>
              <w:r>
                <w:rPr>
                  <w:rFonts w:eastAsia="Arial Unicode MS"/>
                  <w:lang w:eastAsia="lt-LT"/>
                </w:rPr>
                <w:t>B</w:t>
              </w:r>
              <w:r>
                <w:rPr>
                  <w:rFonts w:eastAsia="Arial Unicode MS"/>
                  <w:szCs w:val="24"/>
                  <w:lang w:eastAsia="lt-LT"/>
                </w:rPr>
                <w:t xml:space="preserve">endrosios administravimo taisyklės). </w:t>
              </w:r>
            </w:p>
            <w:p w14:paraId="54DD0A0D" w14:textId="4656892F">
              <w:pPr>
                <w:suppressAutoHyphens/>
                <w:spacing w:line="276" w:lineRule="auto"/>
                <w:ind w:firstLine="567"/>
                <w:jc w:val="both"/>
                <w:textAlignment w:val="center"/>
                <w:rPr>
                  <w:rFonts w:eastAsia="Arial Unicode MS"/>
                  <w:szCs w:val="24"/>
                  <w:lang w:eastAsia="lt-LT"/>
                </w:rPr>
              </w:pPr>
              <w:r>
                <w:rPr>
                  <w:szCs w:val="24"/>
                  <w:lang w:eastAsia="lt-LT"/>
                </w:rPr>
                <w:t>Taisyklių projekte numatyta, kad p</w:t>
              </w:r>
              <w:r>
                <w:rPr>
                  <w:lang w:eastAsia="lt-LT"/>
                </w:rPr>
                <w:t>agalba teikiama pieno gamintojams, kurie atitinka visus šiuos reikalavimus:</w:t>
              </w:r>
            </w:p>
          </w:sdtContent>
        </w:sdt>
        <w:sdt>
          <w:sdtPr>
            <w:alias w:val="1 p."/>
            <w:tag w:val="part_fccc654c172d4f22a1de29aa2a511882"/>
            <w:lock w:val="sdtLocked"/>
            <w:richText/>
          </w:sdtPr>
          <w:sdtContent>
            <w:p w14:paraId="3ED770F6" w14:textId="18F104BC">
              <w:pPr>
                <w:spacing w:line="276" w:lineRule="auto"/>
                <w:ind w:firstLine="709"/>
                <w:jc w:val="both"/>
                <w:rPr>
                  <w:rFonts w:eastAsia="Calibri"/>
                  <w:szCs w:val="24"/>
                </w:rPr>
              </w:pPr>
              <w:sdt>
                <w:sdtPr>
                  <w:alias w:val="Numeris"/>
                  <w:tag w:val="nr_fccc654c172d4f22a1de29aa2a511882"/>
                  <w:lock w:val="sdtLocked"/>
                  <w:richText/>
                </w:sdtPr>
                <w:sdtContent>
                  <w:r>
                    <w:rPr>
                      <w:rFonts w:eastAsia="Calibri"/>
                      <w:szCs w:val="24"/>
                    </w:rPr>
                    <w:t>1</w:t>
                  </w:r>
                </w:sdtContent>
              </w:sdt>
              <w:r>
                <w:rPr>
                  <w:rFonts w:eastAsia="Calibri"/>
                  <w:szCs w:val="24"/>
                </w:rPr>
                <w:t xml:space="preserve">. Lietuvos Respublikos žemės ūkio ir kaimo verslo registre užregistruoti kaip valdos valdytojai arba partneriai ne vėliau kaip iki 2023 m. sausio  31 d.;</w:t>
              </w:r>
            </w:p>
          </w:sdtContent>
        </w:sdt>
        <w:sdt>
          <w:sdtPr>
            <w:alias w:val="2 p."/>
            <w:tag w:val="part_55d3567d784f4b4f9acf024dc5ea6c48"/>
            <w:lock w:val="sdtLocked"/>
            <w:richText/>
          </w:sdtPr>
          <w:sdtContent>
            <w:p w14:paraId="6A1557D8" w14:textId="1FE994AD">
              <w:pPr>
                <w:spacing w:line="276" w:lineRule="auto"/>
                <w:ind w:firstLine="709"/>
                <w:jc w:val="both"/>
                <w:rPr>
                  <w:rFonts w:eastAsia="Calibri"/>
                  <w:szCs w:val="24"/>
                </w:rPr>
              </w:pPr>
              <w:sdt>
                <w:sdtPr>
                  <w:alias w:val="Numeris"/>
                  <w:tag w:val="nr_55d3567d784f4b4f9acf024dc5ea6c48"/>
                  <w:lock w:val="sdtLocked"/>
                  <w:richText/>
                </w:sdtPr>
                <w:sdtContent>
                  <w:r>
                    <w:rPr>
                      <w:rFonts w:eastAsia="Calibri"/>
                      <w:szCs w:val="24"/>
                    </w:rPr>
                    <w:t>2</w:t>
                  </w:r>
                </w:sdtContent>
              </w:sdt>
              <w:r>
                <w:rPr>
                  <w:rFonts w:eastAsia="Calibri"/>
                  <w:szCs w:val="24"/>
                </w:rPr>
                <w:t>. jeigu vidutinė 2023 m. vasario–kovo mėnesių natūralaus žalio pieno supirkimo kaina buvo ne didesnė kaip 35 ct už kilogramą (duomenys apie VĮ Žemės ūkio duomenų centre (toliau – Centras) registruotų pieno supirkėjų sumokėtą pieno kainą kiekvienam pieno gamintojui imami iš Pieno apskaitos informacinės sistemos);</w:t>
              </w:r>
            </w:p>
          </w:sdtContent>
        </w:sdt>
        <w:sdt>
          <w:sdtPr>
            <w:alias w:val="3 p."/>
            <w:tag w:val="part_410edc251848484c85039a1241cc170e"/>
            <w:lock w:val="sdtLocked"/>
            <w:richText/>
          </w:sdtPr>
          <w:sdtContent>
            <w:p w14:paraId="4FD7E870" w14:textId="6D3554E6">
              <w:pPr>
                <w:spacing w:line="276" w:lineRule="auto"/>
                <w:ind w:firstLine="709"/>
                <w:jc w:val="both"/>
                <w:rPr>
                  <w:rFonts w:eastAsia="Calibri"/>
                  <w:szCs w:val="24"/>
                </w:rPr>
              </w:pPr>
              <w:sdt>
                <w:sdtPr>
                  <w:alias w:val="Numeris"/>
                  <w:tag w:val="nr_410edc251848484c85039a1241cc170e"/>
                  <w:lock w:val="sdtLocked"/>
                  <w:richText/>
                </w:sdtPr>
                <w:sdtContent>
                  <w:r>
                    <w:rPr>
                      <w:rFonts w:eastAsia="Calibri"/>
                      <w:szCs w:val="24"/>
                    </w:rPr>
                    <w:t>3</w:t>
                  </w:r>
                </w:sdtContent>
              </w:sdt>
              <w:r>
                <w:rPr>
                  <w:rFonts w:eastAsia="Calibri"/>
                  <w:szCs w:val="24"/>
                </w:rPr>
                <w:t>. kurių vardu Ūkinių gyvūnų registre (toliau – ŪGR) 2023 m. kovo 1 d. buvo registruotų pieninių karvių;</w:t>
              </w:r>
            </w:p>
          </w:sdtContent>
        </w:sdt>
        <w:sdt>
          <w:sdtPr>
            <w:alias w:val="4 p."/>
            <w:tag w:val="part_ef7845129602486b8df460ac75792cce"/>
            <w:lock w:val="sdtLocked"/>
            <w:richText/>
          </w:sdtPr>
          <w:sdtContent>
            <w:p w14:paraId="28FCEAE7" w14:textId="50FDB2E9">
              <w:pPr>
                <w:spacing w:line="276" w:lineRule="auto"/>
                <w:ind w:firstLine="709"/>
                <w:jc w:val="both"/>
                <w:rPr>
                  <w:rFonts w:eastAsia="Calibri"/>
                  <w:color w:val="000000"/>
                  <w:szCs w:val="24"/>
                </w:rPr>
              </w:pPr>
              <w:sdt>
                <w:sdtPr>
                  <w:alias w:val="Numeris"/>
                  <w:tag w:val="nr_ef7845129602486b8df460ac75792cce"/>
                  <w:lock w:val="sdtLocked"/>
                  <w:richText/>
                </w:sdtPr>
                <w:sdtContent>
                  <w:r>
                    <w:rPr>
                      <w:rFonts w:eastAsia="Calibri"/>
                      <w:color w:val="000000"/>
                      <w:szCs w:val="24"/>
                    </w:rPr>
                    <w:t>4</w:t>
                  </w:r>
                </w:sdtContent>
              </w:sdt>
              <w:r>
                <w:rPr>
                  <w:rFonts w:eastAsia="Calibri"/>
                  <w:color w:val="000000"/>
                  <w:szCs w:val="24"/>
                </w:rPr>
                <w:t>. kurie ir kurių sutuoktiniai nėra patvirtinti paramos gavėjai pagal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5 p."/>
            <w:tag w:val="part_918f01492576495e9b56cd4f27269005"/>
            <w:lock w:val="sdtLocked"/>
            <w:richText/>
          </w:sdtPr>
          <w:sdtContent>
            <w:p w14:paraId="09CC6E12" w14:textId="24C52181">
              <w:pPr>
                <w:spacing w:line="276" w:lineRule="auto"/>
                <w:ind w:firstLine="709"/>
                <w:jc w:val="both"/>
                <w:rPr>
                  <w:rFonts w:eastAsia="Calibri"/>
                  <w:color w:val="000000"/>
                  <w:szCs w:val="24"/>
                </w:rPr>
              </w:pPr>
              <w:sdt>
                <w:sdtPr>
                  <w:alias w:val="Numeris"/>
                  <w:tag w:val="nr_918f01492576495e9b56cd4f27269005"/>
                  <w:lock w:val="sdtLocked"/>
                  <w:richText/>
                </w:sdtPr>
                <w:sdtContent>
                  <w:r>
                    <w:rPr>
                      <w:rFonts w:eastAsia="Calibri"/>
                      <w:color w:val="000000"/>
                      <w:szCs w:val="24"/>
                    </w:rPr>
                    <w:t>5</w:t>
                  </w:r>
                </w:sdtContent>
              </w:sdt>
              <w:r>
                <w:rPr>
                  <w:rFonts w:eastAsia="Calibri"/>
                  <w:color w:val="000000"/>
                  <w:szCs w:val="24"/>
                </w:rPr>
                <w:t>. pateikė paraiškas nacionalinei pagalbai gauti.</w:t>
              </w:r>
            </w:p>
            <w:p w14:paraId="02A76D54" w14:textId="70B96900">
              <w:pPr>
                <w:spacing w:line="276" w:lineRule="auto"/>
                <w:ind w:firstLine="709"/>
                <w:jc w:val="both"/>
                <w:rPr>
                  <w:rFonts w:eastAsia="Calibri"/>
                  <w:szCs w:val="24"/>
                </w:rPr>
              </w:pPr>
              <w:r>
                <w:rPr>
                  <w:rFonts w:eastAsia="Calibri"/>
                  <w:szCs w:val="24"/>
                </w:rPr>
                <w:t xml:space="preserve">Pagalba pieno gamintojams mokama už ŪGR 2023 m. kovo 1 d. registruotas pienines karves. </w:t>
              </w:r>
            </w:p>
            <w:p w14:paraId="432A5A5B" w14:textId="7A5EF5AF">
              <w:pPr>
                <w:spacing w:line="276" w:lineRule="auto"/>
                <w:ind w:firstLine="709"/>
                <w:jc w:val="both"/>
                <w:rPr>
                  <w:rFonts w:eastAsia="Calibri"/>
                  <w:szCs w:val="24"/>
                </w:rPr>
              </w:pPr>
              <w:r>
                <w:rPr>
                  <w:rFonts w:eastAsia="Calibri"/>
                  <w:szCs w:val="24"/>
                </w:rPr>
                <w:t>Pieno gamintojams, 2023 m. kovo 1 d. esantiems</w:t>
              </w:r>
              <w:r>
                <w:rPr>
                  <w:rFonts w:eastAsia="Calibri"/>
                  <w:color w:val="000000"/>
                  <w:szCs w:val="24"/>
                </w:rPr>
                <w:t xml:space="preserve"> pripažintos </w:t>
              </w:r>
              <w:r>
                <w:rPr>
                  <w:rFonts w:eastAsia="Calibri"/>
                  <w:szCs w:val="24"/>
                </w:rPr>
                <w:t xml:space="preserve">kooperatinės bendrovės (kooperatyvo) nariais, išmokos dydis yra padidinamas 10 proc. </w:t>
              </w:r>
            </w:p>
            <w:p w14:paraId="64DB0920" w14:textId="4AC4E1C3">
              <w:pPr>
                <w:spacing w:line="276" w:lineRule="auto"/>
                <w:ind w:firstLine="709"/>
                <w:jc w:val="both"/>
                <w:rPr>
                  <w:rFonts w:eastAsia="Calibri"/>
                  <w:szCs w:val="24"/>
                </w:rPr>
              </w:pPr>
              <w:r>
                <w:rPr>
                  <w:rFonts w:eastAsia="Calibri"/>
                  <w:szCs w:val="24"/>
                </w:rPr>
                <w:t xml:space="preserve">Pagalbos dydis pieno gamintojams, atitinkantiems šių taisyklių 6 punkto reikalavimus, ir  pieno gamintojams, atitinkantiems šių taisyklių 6 ir 8 punktų reikalavimus, nustatomas atskiru </w:t>
              </w:r>
              <w:r>
                <w:rPr>
                  <w:rFonts w:eastAsia="Calibri"/>
                  <w:color w:val="000000"/>
                  <w:szCs w:val="24"/>
                </w:rPr>
                <w:t xml:space="preserve">Lietuvos Respublikos </w:t>
              </w:r>
              <w:r>
                <w:rPr>
                  <w:rFonts w:eastAsia="Calibri"/>
                  <w:szCs w:val="24"/>
                </w:rPr>
                <w:t>žemės ūkio ministro įsakymu iki š. m. gegužės 19 d.</w:t>
              </w:r>
            </w:p>
            <w:p w14:paraId="58C519FB" w14:textId="276B3CF4">
              <w:pPr>
                <w:spacing w:line="276" w:lineRule="auto"/>
                <w:ind w:firstLine="709"/>
                <w:jc w:val="both"/>
                <w:rPr>
                  <w:rFonts w:eastAsia="Calibri"/>
                  <w:color w:val="000000"/>
                  <w:szCs w:val="24"/>
                </w:rPr>
              </w:pPr>
              <w:r>
                <w:rPr>
                  <w:rFonts w:eastAsia="Calibri"/>
                  <w:color w:val="000000"/>
                  <w:szCs w:val="24"/>
                </w:rPr>
                <w:t>Bendra nereikšmingos (</w:t>
              </w:r>
              <w:r>
                <w:rPr>
                  <w:rFonts w:eastAsia="Calibri"/>
                  <w:i/>
                  <w:iCs/>
                  <w:color w:val="000000"/>
                  <w:szCs w:val="24"/>
                </w:rPr>
                <w:t>de minimis</w:t>
              </w:r>
              <w:r>
                <w:rPr>
                  <w:rFonts w:eastAsia="Calibri"/>
                  <w:color w:val="000000"/>
                  <w:szCs w:val="24"/>
                </w:rPr>
                <w:t xml:space="preserve">) pagalbos, suteiktos vadovaujantis Reglamento </w:t>
              </w:r>
              <w:fldSimple w:instr="HYPERLINK http://eur-lex.europa.eu/legal-content/LIT/TXT/?uri=CELEX:32013R1408&amp;locale=lt \t _blank">
                <w:r>
                  <w:rPr>
                    <w:rFonts w:eastAsia="Calibri"/>
                    <w:color w:val="0000FF" w:themeColor="hyperlink"/>
                    <w:szCs w:val="24"/>
                    <w:u w:val="single"/>
                  </w:rPr>
                  <w:t>(ES) Nr. 1408/2013</w:t>
                </w:r>
              </w:fldSimple>
              <w:r>
                <w:rPr>
                  <w:rFonts w:eastAsia="Calibri"/>
                  <w:color w:val="000000"/>
                  <w:szCs w:val="24"/>
                </w:rPr>
                <w:t xml:space="preserve"> nuostatomis, suma vienam pieno gamintojui (įskaitant ir su šiuo pieno gamintoju reglamento </w:t>
              </w:r>
              <w:fldSimple w:instr="HYPERLINK http://eur-lex.europa.eu/legal-content/LIT/TXT/?uri=CELEX:32013R1408&amp;locale=lt \t _blank">
                <w:r>
                  <w:rPr>
                    <w:rFonts w:eastAsia="Calibri"/>
                    <w:color w:val="0000FF" w:themeColor="hyperlink"/>
                    <w:szCs w:val="24"/>
                    <w:u w:val="single"/>
                  </w:rPr>
                  <w:t>(ES) Nr. 1408/2013</w:t>
                </w:r>
              </w:fldSimple>
              <w:r>
                <w:rPr>
                  <w:rFonts w:eastAsia="Calibri"/>
                  <w:color w:val="000000"/>
                  <w:szCs w:val="24"/>
                </w:rPr>
                <w:t xml:space="preserve"> 2 straipsnio 2 dalyje nurodytais ryšiais susijusius ūkio subjektus), per einamuosius ir dvejus ankstesnius finansinius metus negali viršyti 25 000 Eur.</w:t>
              </w:r>
            </w:p>
            <w:p w14:paraId="6B410112" w14:textId="28043203">
              <w:pPr>
                <w:spacing w:line="276" w:lineRule="auto"/>
                <w:ind w:firstLine="709"/>
                <w:jc w:val="both"/>
                <w:rPr>
                  <w:rFonts w:eastAsia="Calibri"/>
                  <w:color w:val="000000"/>
                  <w:szCs w:val="24"/>
                </w:rPr>
              </w:pPr>
              <w:r>
                <w:rPr>
                  <w:rFonts w:eastAsia="Calibri"/>
                  <w:color w:val="000000"/>
                  <w:szCs w:val="24"/>
                </w:rPr>
                <w:t>Paraiškų priėmimas numatomas nuo 2023 m. balandžio 24 d. iki 2023 m. gegužės 12 d.</w:t>
              </w:r>
            </w:p>
            <w:p w14:paraId="714E8414" w14:textId="02FFCC68">
              <w:pPr>
                <w:spacing w:line="276" w:lineRule="auto"/>
                <w:ind w:firstLine="709"/>
                <w:jc w:val="both"/>
                <w:rPr>
                  <w:rFonts w:eastAsia="Calibri"/>
                  <w:szCs w:val="24"/>
                </w:rPr>
              </w:pPr>
              <w:r>
                <w:rPr>
                  <w:rFonts w:eastAsia="Calibri"/>
                  <w:color w:val="000000"/>
                  <w:szCs w:val="24"/>
                </w:rPr>
                <w:t>Pagalbą numatoma pradėti mokėti nuo 2023 m. birželio 6 d. Pagalba bus teikiama iš valstybės biudžeto lėšų, neviršijant 8 mln. Eur sumos.</w:t>
              </w:r>
            </w:p>
          </w:sdtContent>
        </w:sdt>
        <w:sdt>
          <w:sdtPr>
            <w:alias w:val="2 p."/>
            <w:tag w:val="part_b41fd63ee6ec451e9d529ef721e1611c"/>
            <w:lock w:val="sdtLocked"/>
            <w:richText/>
          </w:sdtPr>
          <w:sdtContent>
            <w:p w14:paraId="608D6D8C" w14:textId="77777777">
              <w:pPr>
                <w:tabs>
                  <w:tab w:val="left" w:pos="851"/>
                </w:tabs>
                <w:spacing w:line="276" w:lineRule="auto"/>
                <w:ind w:firstLine="567"/>
                <w:jc w:val="both"/>
                <w:rPr>
                  <w:rFonts w:eastAsia="Calibri"/>
                  <w:b/>
                  <w:bCs/>
                  <w:szCs w:val="24"/>
                </w:rPr>
              </w:pPr>
              <w:sdt>
                <w:sdtPr>
                  <w:alias w:val="Numeris"/>
                  <w:tag w:val="nr_b41fd63ee6ec451e9d529ef721e1611c"/>
                  <w:lock w:val="sdtLocked"/>
                  <w:richText/>
                </w:sdtPr>
                <w:sdtContent>
                  <w:r>
                    <w:rPr>
                      <w:b/>
                      <w:bCs/>
                      <w:szCs w:val="24"/>
                      <w:lang w:eastAsia="lt-LT"/>
                    </w:rPr>
                    <w:t>2</w:t>
                  </w:r>
                </w:sdtContent>
              </w:sdt>
              <w:r>
                <w:rPr>
                  <w:b/>
                  <w:bCs/>
                  <w:szCs w:val="24"/>
                  <w:lang w:eastAsia="lt-LT"/>
                </w:rPr>
                <w:t xml:space="preserve">. </w:t>
              </w:r>
              <w:r>
                <w:rPr>
                  <w:rFonts w:eastAsia="Calibri"/>
                  <w:b/>
                  <w:bCs/>
                  <w:szCs w:val="24"/>
                </w:rPr>
                <w:t>Įsakymo projektui įgyvendinti reikalingi institucijų ir (ar) įstaigų informacinių sistemų pakeitimai</w:t>
              </w:r>
            </w:p>
            <w:p w14:paraId="2CB08C6C" w14:textId="77777777">
              <w:pPr>
                <w:overflowPunct w:val="0"/>
                <w:spacing w:line="276" w:lineRule="auto"/>
                <w:ind w:firstLine="567"/>
                <w:jc w:val="both"/>
                <w:textAlignment w:val="baseline"/>
                <w:rPr>
                  <w:rFonts w:eastAsia="Calibri"/>
                </w:rPr>
              </w:pPr>
              <w:r>
                <w:rPr>
                  <w:rFonts w:eastAsia="Calibri"/>
                </w:rPr>
                <w:t xml:space="preserve">Įsakymo projektui įgyvendinti papildomų lėšų nereikės. </w:t>
              </w:r>
            </w:p>
          </w:sdtContent>
        </w:sdt>
        <w:sdt>
          <w:sdtPr>
            <w:alias w:val="3 p."/>
            <w:tag w:val="part_cf39a6dd5867456fb7f75778d40005bd"/>
            <w:lock w:val="sdtLocked"/>
            <w:richText/>
          </w:sdtPr>
          <w:sdtContent>
            <w:p w14:paraId="0C07C8AE" w14:textId="77777777">
              <w:pPr>
                <w:overflowPunct w:val="0"/>
                <w:spacing w:line="276" w:lineRule="auto"/>
                <w:ind w:firstLine="567"/>
                <w:jc w:val="both"/>
                <w:textAlignment w:val="baseline"/>
                <w:rPr>
                  <w:b/>
                  <w:bCs/>
                  <w:lang w:eastAsia="lt-LT"/>
                </w:rPr>
              </w:pPr>
              <w:sdt>
                <w:sdtPr>
                  <w:alias w:val="Numeris"/>
                  <w:tag w:val="nr_cf39a6dd5867456fb7f75778d40005bd"/>
                  <w:lock w:val="sdtLocked"/>
                  <w:richText/>
                </w:sdtPr>
                <w:sdtContent>
                  <w:r>
                    <w:rPr>
                      <w:b/>
                      <w:bCs/>
                      <w:lang w:eastAsia="lt-LT"/>
                    </w:rPr>
                    <w:t>3</w:t>
                  </w:r>
                </w:sdtContent>
              </w:sdt>
              <w:r>
                <w:rPr>
                  <w:b/>
                  <w:bCs/>
                  <w:lang w:eastAsia="lt-LT"/>
                </w:rPr>
                <w:t xml:space="preserve">. Informacija dėl Įsakymo projekto skelbimo Lietuvos Respublikos Seimo kanceliarijos Teisės aktų informacinėje sistemoje (toliau – TAIS) </w:t>
              </w:r>
            </w:p>
            <w:p w14:paraId="21AA6C97" w14:textId="43FF653F">
              <w:pPr>
                <w:overflowPunct w:val="0"/>
                <w:spacing w:line="276" w:lineRule="auto"/>
                <w:ind w:firstLine="567"/>
                <w:jc w:val="both"/>
                <w:textAlignment w:val="baseline"/>
                <w:rPr>
                  <w:lang w:eastAsia="lt-LT"/>
                </w:rPr>
              </w:pPr>
              <w:r>
                <w:rPr>
                  <w:lang w:eastAsia="lt-LT"/>
                </w:rPr>
                <w:t xml:space="preserve">Įsakymo projektas bus skelbiamas Lietuvos Respublikos Seimo informacinės sistemos projektų registravimo posistemyje </w:t>
              </w:r>
              <w:r>
                <w:rPr>
                  <w:szCs w:val="24"/>
                  <w:lang w:eastAsia="lt-LT"/>
                </w:rPr>
                <w:t>5 darbo dienas</w:t>
              </w:r>
              <w:r>
                <w:rPr>
                  <w:lang w:eastAsia="lt-LT"/>
                </w:rPr>
                <w:t>, esant poreikiui kuo skubiau suteikti nacionalinę pagalbą pieno gamintojams – dėl išaugusių žalio pieno pagaminimo kaštų ir staiga labai sumažėjus žalio pieno supirkimo kainoms.</w:t>
              </w:r>
            </w:p>
          </w:sdtContent>
        </w:sdt>
        <w:sdt>
          <w:sdtPr>
            <w:alias w:val="4 p."/>
            <w:tag w:val="part_b883e60919a94ee6a44509ef37957342"/>
            <w:lock w:val="sdtLocked"/>
            <w:richText/>
          </w:sdtPr>
          <w:sdtContent>
            <w:p w14:paraId="2214AB3C" w14:textId="77777777">
              <w:pPr>
                <w:overflowPunct w:val="0"/>
                <w:spacing w:line="276" w:lineRule="auto"/>
                <w:ind w:firstLine="567"/>
                <w:jc w:val="both"/>
                <w:textAlignment w:val="baseline"/>
                <w:rPr>
                  <w:b/>
                  <w:bCs/>
                  <w:color w:val="000000"/>
                  <w:lang w:eastAsia="lt-LT"/>
                </w:rPr>
              </w:pPr>
              <w:sdt>
                <w:sdtPr>
                  <w:alias w:val="Numeris"/>
                  <w:tag w:val="nr_b883e60919a94ee6a44509ef37957342"/>
                  <w:lock w:val="sdtLocked"/>
                  <w:richText/>
                </w:sdtPr>
                <w:sdtContent>
                  <w:r>
                    <w:rPr>
                      <w:b/>
                      <w:bCs/>
                      <w:color w:val="000000"/>
                      <w:lang w:eastAsia="lt-LT"/>
                    </w:rPr>
                    <w:t>4</w:t>
                  </w:r>
                </w:sdtContent>
              </w:sdt>
              <w:r>
                <w:rPr>
                  <w:b/>
                  <w:bCs/>
                  <w:color w:val="000000"/>
                  <w:lang w:eastAsia="lt-LT"/>
                </w:rPr>
                <w:t xml:space="preserve">. Informacija dėl Įsakymo projekto derinimo su suinteresuotomis valstybės institucijomis ir (ar) įstaigomis </w:t>
              </w:r>
            </w:p>
            <w:p w14:paraId="4453226E" w14:textId="494ED551">
              <w:pPr>
                <w:overflowPunct w:val="0"/>
                <w:spacing w:line="276" w:lineRule="auto"/>
                <w:ind w:firstLine="720"/>
                <w:jc w:val="both"/>
                <w:textAlignment w:val="baseline"/>
                <w:rPr>
                  <w:color w:val="000000"/>
                  <w:szCs w:val="24"/>
                  <w:lang w:eastAsia="lt-LT"/>
                </w:rPr>
              </w:pPr>
              <w:r>
                <w:rPr>
                  <w:szCs w:val="24"/>
                  <w:lang w:eastAsia="lt-LT"/>
                </w:rPr>
                <w:t xml:space="preserve">Projektas bus </w:t>
              </w:r>
              <w:r>
                <w:rPr>
                  <w:color w:val="000000"/>
                  <w:szCs w:val="24"/>
                  <w:lang w:eastAsia="lt-LT"/>
                </w:rPr>
                <w:t xml:space="preserve">derinamas su Konkurencijos taryba, Lietuvos savivaldybių asociacija, </w:t>
              </w:r>
              <w:r>
                <w:rPr>
                  <w:szCs w:val="24"/>
                  <w:lang w:eastAsia="lt-LT"/>
                </w:rPr>
                <w:t xml:space="preserve">Nacionaline mokėjimo agentūra prie Žemės ūkio ministerijos ir VĮ Žemės ūkio duomenų centru. </w:t>
              </w:r>
            </w:p>
          </w:sdtContent>
        </w:sdt>
        <w:sdt>
          <w:sdtPr>
            <w:alias w:val="5 p."/>
            <w:tag w:val="part_f271df57de4245109a6920dbb48341d2"/>
            <w:lock w:val="sdtLocked"/>
            <w:richText/>
          </w:sdtPr>
          <w:sdtContent>
            <w:p w14:paraId="43B21F5C" w14:textId="77777777">
              <w:pPr>
                <w:overflowPunct w:val="0"/>
                <w:spacing w:line="276" w:lineRule="auto"/>
                <w:ind w:firstLine="567"/>
                <w:jc w:val="both"/>
                <w:textAlignment w:val="baseline"/>
                <w:rPr>
                  <w:b/>
                  <w:bCs/>
                  <w:color w:val="000000"/>
                  <w:lang w:eastAsia="lt-LT"/>
                </w:rPr>
              </w:pPr>
              <w:sdt>
                <w:sdtPr>
                  <w:alias w:val="Numeris"/>
                  <w:tag w:val="nr_f271df57de4245109a6920dbb48341d2"/>
                  <w:lock w:val="sdtLocked"/>
                  <w:richText/>
                </w:sdtPr>
                <w:sdtContent>
                  <w:r>
                    <w:rPr>
                      <w:b/>
                      <w:bCs/>
                      <w:color w:val="000000"/>
                      <w:lang w:eastAsia="lt-LT"/>
                    </w:rPr>
                    <w:t>5</w:t>
                  </w:r>
                </w:sdtContent>
              </w:sdt>
              <w:r>
                <w:rPr>
                  <w:b/>
                  <w:bCs/>
                  <w:color w:val="000000"/>
                  <w:lang w:eastAsia="lt-LT"/>
                </w:rPr>
                <w:t xml:space="preserve">. Informacija dėl Įsakymo projekto antikorupcinio vertinimo </w:t>
              </w:r>
            </w:p>
            <w:p w14:paraId="2F1A9F54" w14:textId="01750460">
              <w:pPr>
                <w:overflowPunct w:val="0"/>
                <w:spacing w:line="276" w:lineRule="auto"/>
                <w:ind w:firstLine="567"/>
                <w:jc w:val="both"/>
                <w:textAlignment w:val="baseline"/>
                <w:rPr>
                  <w:szCs w:val="24"/>
                  <w:lang w:eastAsia="lt-LT"/>
                </w:rPr>
              </w:pPr>
              <w:r>
                <w:rPr>
                  <w:szCs w:val="24"/>
                  <w:lang w:eastAsia="lt-LT"/>
                </w:rPr>
                <w:t xml:space="preserve">Projekto antikorupcinis vertinimas atliekamas. Parengta teisės akto projekto antikorupcinė vertinimo pažyma. </w:t>
              </w:r>
            </w:p>
          </w:sdtContent>
        </w:sdt>
        <w:sdt>
          <w:sdtPr>
            <w:alias w:val="6 p."/>
            <w:tag w:val="part_16432b29037142e6a6f73b9e70bc507f"/>
            <w:lock w:val="sdtLocked"/>
            <w:richText/>
          </w:sdtPr>
          <w:sdtContent>
            <w:p w14:paraId="31DE5C90" w14:textId="252606AC">
              <w:pPr>
                <w:overflowPunct w:val="0"/>
                <w:spacing w:line="276" w:lineRule="auto"/>
                <w:ind w:firstLine="567"/>
                <w:jc w:val="both"/>
                <w:textAlignment w:val="baseline"/>
                <w:rPr>
                  <w:b/>
                  <w:bCs/>
                  <w:color w:val="000000"/>
                  <w:lang w:eastAsia="lt-LT"/>
                </w:rPr>
              </w:pPr>
              <w:sdt>
                <w:sdtPr>
                  <w:alias w:val="Numeris"/>
                  <w:tag w:val="nr_16432b29037142e6a6f73b9e70bc507f"/>
                  <w:lock w:val="sdtLocked"/>
                  <w:richText/>
                </w:sdtPr>
                <w:sdtContent>
                  <w:r>
                    <w:rPr>
                      <w:b/>
                      <w:bCs/>
                      <w:color w:val="000000"/>
                      <w:lang w:eastAsia="lt-LT"/>
                    </w:rPr>
                    <w:t>6</w:t>
                  </w:r>
                </w:sdtContent>
              </w:sdt>
              <w:r>
                <w:rPr>
                  <w:b/>
                  <w:bCs/>
                  <w:color w:val="000000"/>
                  <w:lang w:eastAsia="lt-LT"/>
                </w:rPr>
                <w:t>. Informacija dėl ūkio subjektams sukeliamų prisitaikymo prie reguliavimo išlaidų vertinimo, numatomo teisinio reguliavimo poveikio vertinimo, įsakymo projekto, perkeliančio ir (ar) įgyvendinančio Europos Sąjungos direktyvų ar kitų Europos Sąjungos teisės aktų nuostatų atitikties.</w:t>
              </w:r>
            </w:p>
            <w:p w14:paraId="7CC92529" w14:textId="37DBF8A8">
              <w:pPr>
                <w:overflowPunct w:val="0"/>
                <w:ind w:firstLine="567"/>
                <w:jc w:val="both"/>
                <w:textAlignment w:val="baseline"/>
                <w:rPr>
                  <w:szCs w:val="24"/>
                  <w:lang w:eastAsia="lt-LT"/>
                </w:rPr>
              </w:pPr>
              <w:r>
                <w:rPr>
                  <w:color w:val="000000"/>
                  <w:lang w:eastAsia="lt-LT"/>
                </w:rPr>
                <w:t>Prisitaikymo prie reguliavimo išlaidų vertinimas</w:t>
              </w:r>
              <w:r>
                <w:rPr>
                  <w:color w:val="000000"/>
                  <w:lang w:val="en-GB" w:eastAsia="lt-LT"/>
                </w:rPr>
                <w:t xml:space="preserve"> </w:t>
              </w:r>
              <w:r>
                <w:rPr>
                  <w:color w:val="000000"/>
                  <w:szCs w:val="24"/>
                  <w:lang w:eastAsia="lt-LT"/>
                </w:rPr>
                <w:t xml:space="preserve">neatliekamas, nes </w:t>
              </w:r>
              <w:r>
                <w:rPr>
                  <w:lang w:eastAsia="lt-LT"/>
                </w:rPr>
                <w:t>vadovaujantis Ūkio subjektų administracinės naštos ir prisitaikymo prie reguliavimo išlaidų vertinimo metodikos, patvirtintos Lietuvos Respublikos Vyriausybės 2012 m. sausio 11 d. nutarimu Nr. 4 „Dėl Ūkio subjektų administracinės naštos ir prisitaikymo prie reguliavimo išlaidų vertinimo metodikos patvirtinimo“, 3 punktu „</w:t>
              </w:r>
              <w:r>
                <w:rPr>
                  <w:color w:val="000000"/>
                  <w:shd w:val="clear" w:color="auto" w:fill="FFFFFF"/>
                  <w:lang w:eastAsia="lt-LT"/>
                </w:rPr>
                <w:t xml:space="preserve">3. Nustatyti Metodikos taikymo išimtį, kad galimas sukelti prisitaikymo prie reguliavimo išlaidų ūkio subjektams pokytis nevertinamas, kai ketinamu keisti teisės aktu nustatytas ar teisės akto projektu siūlomas nustatyti naujas, naikinamas ir (ar) keičiamas galiojantis įpareigojimas ūkio subjektams, kuriam vykdyti nereikia patirti išlaidų investicijoms, ir jis taikomas ne daugiau kaip 5 ūkio subjektams“, ūkio subjektams nereikės atlikti jokių investicijų, norint įgyvendinti savo teises. </w:t>
              </w:r>
              <w:r>
                <w:rPr>
                  <w:color w:val="000000"/>
                  <w:szCs w:val="24"/>
                  <w:lang w:eastAsia="lt-LT"/>
                </w:rPr>
                <w:t xml:space="preserve">Numatomo teisinio reguliavimo poveikio vertinimas atliekamas. </w:t>
              </w:r>
            </w:p>
          </w:sdtContent>
        </w:sdt>
        <w:sdt>
          <w:sdtPr>
            <w:alias w:val="7 p."/>
            <w:tag w:val="part_088ac4ff88d741f091190ab52a303eb9"/>
            <w:lock w:val="sdtLocked"/>
            <w:richText/>
          </w:sdtPr>
          <w:sdtContent>
            <w:p w14:paraId="075CA800" w14:textId="77777777">
              <w:pPr>
                <w:overflowPunct w:val="0"/>
                <w:spacing w:line="276" w:lineRule="auto"/>
                <w:ind w:firstLine="567"/>
                <w:jc w:val="both"/>
                <w:textAlignment w:val="baseline"/>
                <w:rPr>
                  <w:b/>
                  <w:bCs/>
                  <w:color w:val="000000"/>
                  <w:lang w:eastAsia="lt-LT"/>
                </w:rPr>
              </w:pPr>
              <w:sdt>
                <w:sdtPr>
                  <w:alias w:val="Numeris"/>
                  <w:tag w:val="nr_088ac4ff88d741f091190ab52a303eb9"/>
                  <w:lock w:val="sdtLocked"/>
                  <w:richText/>
                </w:sdtPr>
                <w:sdtContent>
                  <w:r>
                    <w:rPr>
                      <w:b/>
                      <w:bCs/>
                      <w:color w:val="000000"/>
                      <w:lang w:eastAsia="lt-LT"/>
                    </w:rPr>
                    <w:t>7</w:t>
                  </w:r>
                </w:sdtContent>
              </w:sdt>
              <w:r>
                <w:rPr>
                  <w:b/>
                  <w:bCs/>
                  <w:color w:val="000000"/>
                  <w:lang w:eastAsia="lt-LT"/>
                </w:rPr>
                <w:t>. Kita svarbi informacija</w:t>
              </w:r>
            </w:p>
            <w:p w14:paraId="08A5BEC7" w14:textId="77777777">
              <w:pPr>
                <w:overflowPunct w:val="0"/>
                <w:spacing w:line="276" w:lineRule="auto"/>
                <w:ind w:firstLine="567"/>
                <w:jc w:val="both"/>
                <w:textAlignment w:val="baseline"/>
                <w:rPr>
                  <w:color w:val="000000"/>
                  <w:lang w:eastAsia="lt-LT"/>
                </w:rPr>
              </w:pPr>
              <w:r>
                <w:rPr>
                  <w:color w:val="000000"/>
                  <w:lang w:eastAsia="lt-LT"/>
                </w:rPr>
                <w:t xml:space="preserve">Priėmus Įsakymo projektą, neigiamų pasekmių nenumatoma. </w:t>
              </w:r>
            </w:p>
            <w:p w14:paraId="5994834D" w14:textId="77777777">
              <w:pPr>
                <w:overflowPunct w:val="0"/>
                <w:spacing w:line="276" w:lineRule="auto"/>
                <w:ind w:firstLine="567"/>
                <w:jc w:val="both"/>
                <w:textAlignment w:val="baseline"/>
                <w:rPr>
                  <w:color w:val="000000"/>
                  <w:lang w:eastAsia="lt-LT"/>
                </w:rPr>
              </w:pPr>
              <w:r>
                <w:rPr>
                  <w:color w:val="000000"/>
                  <w:lang w:eastAsia="lt-LT"/>
                </w:rPr>
                <w:t xml:space="preserve">Patvirtinus Įsakymo projektą, kitų teisės aktų keisti nereikės. </w:t>
              </w:r>
            </w:p>
            <w:p w14:paraId="317E04DA" w14:textId="77777777">
              <w:pPr>
                <w:widowControl w:val="0"/>
                <w:suppressAutoHyphens/>
                <w:overflowPunct w:val="0"/>
                <w:spacing w:line="276" w:lineRule="auto"/>
                <w:ind w:firstLine="567"/>
                <w:jc w:val="both"/>
                <w:textAlignment w:val="baseline"/>
                <w:rPr>
                  <w:rFonts w:eastAsia="SimSun"/>
                  <w:color w:val="000000"/>
                  <w:kern w:val="3"/>
                  <w:lang w:eastAsia="zh-CN" w:bidi="hi-IN"/>
                </w:rPr>
              </w:pPr>
              <w:r>
                <w:rPr>
                  <w:rFonts w:eastAsia="SimSun"/>
                  <w:kern w:val="3"/>
                  <w:lang w:eastAsia="zh-CN" w:bidi="hi-IN"/>
                </w:rPr>
                <w:t xml:space="preserve">Įsakymo projektui įgyvendinti </w:t>
              </w:r>
              <w:r>
                <w:rPr>
                  <w:rFonts w:eastAsia="SimSun"/>
                  <w:color w:val="000000"/>
                  <w:kern w:val="3"/>
                  <w:lang w:eastAsia="zh-CN" w:bidi="hi-IN"/>
                </w:rPr>
                <w:t>papildomų lėšų nereikės.</w:t>
              </w:r>
            </w:p>
            <w:p w14:paraId="4A8CFDE8" w14:textId="77777777">
              <w:pPr>
                <w:overflowPunct w:val="0"/>
                <w:spacing w:line="276" w:lineRule="auto"/>
                <w:ind w:firstLine="567"/>
                <w:jc w:val="both"/>
                <w:textAlignment w:val="baseline"/>
                <w:rPr>
                  <w:color w:val="000000"/>
                  <w:lang w:eastAsia="lt-LT"/>
                </w:rPr>
              </w:pPr>
              <w:r>
                <w:rPr>
                  <w:color w:val="000000"/>
                  <w:lang w:eastAsia="lt-LT"/>
                </w:rPr>
                <w:t>Įsakymo projektas skelbiamas Teisės aktų registre ir ministerijos tinklalapyje.</w:t>
              </w:r>
            </w:p>
            <w:p w14:paraId="1DF5778A" w14:textId="109D2A1B">
              <w:pPr>
                <w:overflowPunct w:val="0"/>
                <w:spacing w:line="276" w:lineRule="auto"/>
                <w:ind w:firstLine="567"/>
                <w:jc w:val="both"/>
                <w:textAlignment w:val="baseline"/>
                <w:rPr>
                  <w:color w:val="000000"/>
                  <w:lang w:eastAsia="lt-LT"/>
                </w:rPr>
              </w:pPr>
              <w:r>
                <w:rPr>
                  <w:color w:val="000000"/>
                  <w:lang w:eastAsia="lt-LT"/>
                </w:rPr>
                <w:t xml:space="preserve">Įsakymo projektą parengė Tvarios žemės ūkio gamybos ir maisto pramonės departamento (direktorius Saulius Jasius, tel. (8 5) 239 1146) Maisto pramonės ir kooperacijos skyriaus (vedėja Jolita Martutaitytė, tel. (8 5) 239 1162, el. p. jolita.martutaityte@zum.lt) vyriausioji specialistė Neringa Michailovaitė, tel. (8 5) 239 1167, el. p. </w:t>
              </w:r>
              <w:r>
                <w:rPr>
                  <w:color w:val="0000FF"/>
                  <w:u w:val="single"/>
                  <w:lang w:eastAsia="lt-LT"/>
                </w:rPr>
                <w:t>neringa@zum.lt</w:t>
              </w:r>
              <w:r>
                <w:rPr>
                  <w:color w:val="0000FF"/>
                  <w:u w:val="single"/>
                  <w:lang w:eastAsia="lt-LT"/>
                </w:rPr>
                <w:t>.</w:t>
              </w:r>
              <w:r>
                <w:rPr>
                  <w:lang w:eastAsia="lt-LT"/>
                </w:rPr>
                <w:t xml:space="preserve"> </w:t>
              </w:r>
            </w:p>
            <w:p w14:paraId="080B99C5" w14:textId="77777777">
              <w:pPr>
                <w:overflowPunct w:val="0"/>
                <w:spacing w:line="276" w:lineRule="auto"/>
                <w:ind w:firstLine="720"/>
                <w:jc w:val="both"/>
                <w:textAlignment w:val="baseline"/>
                <w:rPr>
                  <w:szCs w:val="24"/>
                  <w:lang w:eastAsia="lt-LT"/>
                </w:rPr>
              </w:pPr>
              <w:r>
                <w:rPr>
                  <w:szCs w:val="24"/>
                  <w:lang w:eastAsia="lt-LT"/>
                </w:rPr>
                <w:t>PRIDEDAMA:</w:t>
              </w:r>
            </w:p>
          </w:sdtContent>
        </w:sdt>
        <w:sdt>
          <w:sdtPr>
            <w:alias w:val="1 p."/>
            <w:tag w:val="part_b0860072c2cc417f87837c4ca1978d61"/>
            <w:lock w:val="sdtLocked"/>
            <w:richText/>
          </w:sdtPr>
          <w:sdtContent>
            <w:p w14:paraId="4016DE9A" w14:textId="3BD89BEC">
              <w:pPr>
                <w:tabs>
                  <w:tab w:val="left" w:pos="1134"/>
                </w:tabs>
                <w:overflowPunct w:val="0"/>
                <w:spacing w:line="276" w:lineRule="auto"/>
                <w:ind w:firstLine="720"/>
                <w:jc w:val="both"/>
                <w:textAlignment w:val="baseline"/>
                <w:rPr>
                  <w:lang w:eastAsia="lt-LT"/>
                </w:rPr>
              </w:pPr>
              <w:sdt>
                <w:sdtPr>
                  <w:alias w:val="Numeris"/>
                  <w:tag w:val="nr_b0860072c2cc417f87837c4ca1978d61"/>
                  <w:lock w:val="sdtLocked"/>
                  <w:richText/>
                </w:sdtPr>
                <w:sdtContent>
                  <w:r>
                    <w:rPr>
                      <w:szCs w:val="24"/>
                      <w:lang w:eastAsia="lt-LT"/>
                    </w:rPr>
                    <w:t>1</w:t>
                  </w:r>
                </w:sdtContent>
              </w:sdt>
              <w:r>
                <w:rPr>
                  <w:szCs w:val="24"/>
                  <w:lang w:eastAsia="lt-LT"/>
                </w:rPr>
                <w:t xml:space="preserve">. </w:t>
              </w:r>
              <w:r>
                <w:rPr>
                  <w:lang w:eastAsia="lt-LT"/>
                </w:rPr>
                <w:t>Įsakymo projektas, 11 lapų.</w:t>
              </w:r>
            </w:p>
          </w:sdtContent>
        </w:sdt>
        <w:sdt>
          <w:sdtPr>
            <w:alias w:val="2 p."/>
            <w:tag w:val="part_bfb870fe2b2d49069e7dc174e4a4ad23"/>
            <w:lock w:val="sdtLocked"/>
            <w:richText/>
          </w:sdtPr>
          <w:sdtContent>
            <w:p w14:paraId="48669116" w14:textId="52F28CD9">
              <w:pPr>
                <w:tabs>
                  <w:tab w:val="left" w:pos="1134"/>
                </w:tabs>
                <w:overflowPunct w:val="0"/>
                <w:spacing w:line="276" w:lineRule="auto"/>
                <w:ind w:firstLine="720"/>
                <w:jc w:val="both"/>
                <w:textAlignment w:val="baseline"/>
                <w:rPr>
                  <w:lang w:eastAsia="lt-LT"/>
                </w:rPr>
              </w:pPr>
              <w:sdt>
                <w:sdtPr>
                  <w:alias w:val="Numeris"/>
                  <w:tag w:val="nr_bfb870fe2b2d49069e7dc174e4a4ad23"/>
                  <w:lock w:val="sdtLocked"/>
                  <w:richText/>
                </w:sdtPr>
                <w:sdtContent>
                  <w:r>
                    <w:rPr>
                      <w:szCs w:val="24"/>
                      <w:lang w:eastAsia="lt-LT"/>
                    </w:rPr>
                    <w:t>2</w:t>
                  </w:r>
                </w:sdtContent>
              </w:sdt>
              <w:r>
                <w:rPr>
                  <w:szCs w:val="24"/>
                  <w:lang w:eastAsia="lt-LT"/>
                </w:rPr>
                <w:t xml:space="preserve">. </w:t>
              </w:r>
              <w:r>
                <w:rPr>
                  <w:lang w:eastAsia="lt-LT"/>
                </w:rPr>
                <w:t>Teisės akto antikorupcinis vertinimas, 6 lapai.</w:t>
              </w:r>
            </w:p>
          </w:sdtContent>
        </w:sdt>
        <w:sdt>
          <w:sdtPr>
            <w:alias w:val="3 p."/>
            <w:tag w:val="part_706baeec644e4dcc8692a8a9daeb1132"/>
            <w:lock w:val="sdtLocked"/>
            <w:richText/>
          </w:sdtPr>
          <w:sdtContent>
            <w:p w14:paraId="4AA252CD" w14:textId="350583EA">
              <w:pPr>
                <w:tabs>
                  <w:tab w:val="left" w:pos="1134"/>
                </w:tabs>
                <w:overflowPunct w:val="0"/>
                <w:spacing w:line="276" w:lineRule="auto"/>
                <w:ind w:firstLine="720"/>
                <w:jc w:val="both"/>
                <w:textAlignment w:val="baseline"/>
                <w:rPr>
                  <w:color w:val="000000"/>
                  <w:szCs w:val="24"/>
                  <w:lang w:eastAsia="lt-LT"/>
                </w:rPr>
              </w:pPr>
              <w:sdt>
                <w:sdtPr>
                  <w:alias w:val="Numeris"/>
                  <w:tag w:val="nr_706baeec644e4dcc8692a8a9daeb1132"/>
                  <w:lock w:val="sdtLocked"/>
                  <w:richText/>
                </w:sdtPr>
                <w:sdtContent>
                  <w:r>
                    <w:rPr>
                      <w:lang w:eastAsia="lt-LT"/>
                    </w:rPr>
                    <w:t>3</w:t>
                  </w:r>
                </w:sdtContent>
              </w:sdt>
              <w:r>
                <w:rPr>
                  <w:lang w:eastAsia="lt-LT"/>
                </w:rPr>
                <w:t xml:space="preserve">. </w:t>
              </w:r>
              <w:r>
                <w:rPr>
                  <w:color w:val="000000"/>
                  <w:szCs w:val="24"/>
                  <w:lang w:eastAsia="lt-LT"/>
                </w:rPr>
                <w:t>Konkurencijos poveikio vertinimas, 2 lapai.</w:t>
              </w:r>
            </w:p>
            <w:p w14:paraId="1409AF41" w14:textId="558ED352">
              <w:pPr>
                <w:overflowPunct w:val="0"/>
                <w:spacing w:line="276" w:lineRule="auto"/>
                <w:textAlignment w:val="baseline"/>
                <w:rPr>
                  <w:lang w:eastAsia="lt-LT"/>
                </w:rPr>
              </w:pPr>
            </w:p>
            <w:p w14:paraId="634DD81D" w14:textId="77777777">
              <w:pPr>
                <w:overflowPunct w:val="0"/>
                <w:spacing w:line="276" w:lineRule="auto"/>
                <w:textAlignment w:val="baseline"/>
                <w:rPr>
                  <w:lang w:eastAsia="lt-LT"/>
                </w:rPr>
              </w:pPr>
            </w:p>
          </w:sdtContent>
        </w:sdt>
        <w:sdt>
          <w:sdtPr>
            <w:alias w:val="signatura"/>
            <w:tag w:val="part_c1398ca915bf4595bda0735cc1df49ad"/>
            <w:lock w:val="sdtLocked"/>
            <w:richText/>
          </w:sdtPr>
          <w:sdtContent>
            <w:p w14:paraId="3A29BDED" w14:textId="1015B9A3">
              <w:pPr>
                <w:overflowPunct w:val="0"/>
                <w:spacing w:line="276" w:lineRule="auto"/>
                <w:textAlignment w:val="baseline"/>
                <w:rPr>
                  <w:bCs/>
                  <w:lang w:eastAsia="lt-LT"/>
                </w:rPr>
              </w:pPr>
              <w:r>
                <w:rPr>
                  <w:lang w:eastAsia="lt-LT"/>
                </w:rPr>
                <w:t>Direktorius</w:t>
              </w:r>
              <w:r>
                <w:rPr>
                  <w:bCs/>
                  <w:lang w:eastAsia="lt-LT"/>
                </w:rPr>
                <w:tab/>
                <w:tab/>
                <w:tab/>
                <w:tab/>
                <w:tab/>
                <w:tab/>
                <w:tab/>
                <w:tab/>
                <w:tab/>
                <w:tab/>
                <w:t>Saulius Jasius</w:t>
              </w:r>
            </w:p>
            <w:p w14:paraId="60653B63" w14:textId="1276D576">
              <w:pPr>
                <w:overflowPunct w:val="0"/>
                <w:spacing w:line="276" w:lineRule="auto"/>
                <w:textAlignment w:val="baseline"/>
                <w:rPr>
                  <w:szCs w:val="24"/>
                  <w:lang w:eastAsia="lt-LT"/>
                </w:rPr>
              </w:pPr>
            </w:p>
            <w:p w14:paraId="73E7DA31" w14:textId="11E47790">
              <w:pPr>
                <w:overflowPunct w:val="0"/>
                <w:spacing w:line="276" w:lineRule="auto"/>
                <w:textAlignment w:val="baseline"/>
                <w:rPr>
                  <w:szCs w:val="24"/>
                  <w:lang w:eastAsia="lt-LT"/>
                </w:rPr>
              </w:pPr>
            </w:p>
            <w:p w14:paraId="04CB8CAF" w14:textId="1F73455D">
              <w:pPr>
                <w:overflowPunct w:val="0"/>
                <w:spacing w:line="276" w:lineRule="auto"/>
                <w:textAlignment w:val="baseline"/>
                <w:rPr>
                  <w:szCs w:val="24"/>
                  <w:lang w:eastAsia="lt-LT"/>
                </w:rPr>
              </w:pPr>
            </w:p>
            <w:p w14:paraId="2438B217" w14:textId="275BDD2D">
              <w:pPr>
                <w:overflowPunct w:val="0"/>
                <w:spacing w:line="276" w:lineRule="auto"/>
                <w:textAlignment w:val="baseline"/>
                <w:rPr>
                  <w:szCs w:val="24"/>
                  <w:lang w:eastAsia="lt-LT"/>
                </w:rPr>
              </w:pPr>
            </w:p>
            <w:p w14:paraId="0A40C70A" w14:textId="54DA77F5">
              <w:pPr>
                <w:overflowPunct w:val="0"/>
                <w:spacing w:line="276" w:lineRule="auto"/>
                <w:textAlignment w:val="baseline"/>
                <w:rPr>
                  <w:szCs w:val="24"/>
                  <w:lang w:eastAsia="lt-LT"/>
                </w:rPr>
              </w:pPr>
            </w:p>
            <w:p w14:paraId="5C38C5D9" w14:textId="19F6354A">
              <w:pPr>
                <w:overflowPunct w:val="0"/>
                <w:spacing w:line="276" w:lineRule="auto"/>
                <w:textAlignment w:val="baseline"/>
                <w:rPr>
                  <w:szCs w:val="24"/>
                  <w:lang w:eastAsia="lt-LT"/>
                </w:rPr>
              </w:pPr>
            </w:p>
            <w:p w14:paraId="15670897" w14:textId="3618CAE5">
              <w:pPr>
                <w:overflowPunct w:val="0"/>
                <w:spacing w:line="276" w:lineRule="auto"/>
                <w:textAlignment w:val="baseline"/>
                <w:rPr>
                  <w:szCs w:val="24"/>
                  <w:lang w:eastAsia="lt-LT"/>
                </w:rPr>
              </w:pPr>
            </w:p>
            <w:p w14:paraId="702C9652" w14:textId="0FE1607D">
              <w:pPr>
                <w:overflowPunct w:val="0"/>
                <w:spacing w:line="276" w:lineRule="auto"/>
                <w:textAlignment w:val="baseline"/>
                <w:rPr>
                  <w:szCs w:val="24"/>
                  <w:lang w:eastAsia="lt-LT"/>
                </w:rPr>
              </w:pPr>
            </w:p>
            <w:p w14:paraId="543F5926" w14:textId="130FD411">
              <w:pPr>
                <w:overflowPunct w:val="0"/>
                <w:spacing w:line="276" w:lineRule="auto"/>
                <w:textAlignment w:val="baseline"/>
                <w:rPr>
                  <w:szCs w:val="24"/>
                  <w:lang w:eastAsia="lt-LT"/>
                </w:rPr>
              </w:pPr>
            </w:p>
            <w:p w14:paraId="614758DB" w14:textId="47BA283C">
              <w:pPr>
                <w:overflowPunct w:val="0"/>
                <w:spacing w:line="276" w:lineRule="auto"/>
                <w:textAlignment w:val="baseline"/>
                <w:rPr>
                  <w:szCs w:val="24"/>
                  <w:lang w:eastAsia="lt-LT"/>
                </w:rPr>
              </w:pPr>
            </w:p>
            <w:p w14:paraId="4BA66D0C" w14:textId="0F0C39F0">
              <w:pPr>
                <w:overflowPunct w:val="0"/>
                <w:spacing w:line="276" w:lineRule="auto"/>
                <w:textAlignment w:val="baseline"/>
                <w:rPr>
                  <w:szCs w:val="24"/>
                  <w:lang w:eastAsia="lt-LT"/>
                </w:rPr>
              </w:pPr>
            </w:p>
            <w:p w14:paraId="63176A00" w14:textId="53B35734">
              <w:pPr>
                <w:overflowPunct w:val="0"/>
                <w:spacing w:line="276" w:lineRule="auto"/>
                <w:textAlignment w:val="baseline"/>
                <w:rPr>
                  <w:szCs w:val="24"/>
                  <w:lang w:eastAsia="lt-LT"/>
                </w:rPr>
              </w:pPr>
            </w:p>
            <w:p w14:paraId="22253D8F" w14:textId="648D9564">
              <w:pPr>
                <w:overflowPunct w:val="0"/>
                <w:spacing w:line="276" w:lineRule="auto"/>
                <w:textAlignment w:val="baseline"/>
                <w:rPr>
                  <w:szCs w:val="24"/>
                  <w:lang w:eastAsia="lt-LT"/>
                </w:rPr>
              </w:pPr>
            </w:p>
            <w:p w14:paraId="26A8F85E" w14:textId="0E3977DC">
              <w:pPr>
                <w:overflowPunct w:val="0"/>
                <w:spacing w:line="276" w:lineRule="auto"/>
                <w:textAlignment w:val="baseline"/>
                <w:rPr>
                  <w:szCs w:val="24"/>
                  <w:lang w:eastAsia="lt-LT"/>
                </w:rPr>
              </w:pPr>
            </w:p>
            <w:p w14:paraId="4DB7DBC2" w14:textId="10F31AEC">
              <w:pPr>
                <w:overflowPunct w:val="0"/>
                <w:spacing w:line="276" w:lineRule="auto"/>
                <w:textAlignment w:val="baseline"/>
                <w:rPr>
                  <w:szCs w:val="24"/>
                  <w:lang w:eastAsia="lt-LT"/>
                </w:rPr>
              </w:pPr>
            </w:p>
            <w:p w14:paraId="3B27105F" w14:textId="64ABD4AA">
              <w:pPr>
                <w:overflowPunct w:val="0"/>
                <w:spacing w:line="276" w:lineRule="auto"/>
                <w:textAlignment w:val="baseline"/>
                <w:rPr>
                  <w:szCs w:val="24"/>
                  <w:lang w:eastAsia="lt-LT"/>
                </w:rPr>
              </w:pPr>
            </w:p>
            <w:p w14:paraId="2F0A7AE4" w14:textId="6284678A">
              <w:pPr>
                <w:overflowPunct w:val="0"/>
                <w:spacing w:line="276" w:lineRule="auto"/>
                <w:textAlignment w:val="baseline"/>
                <w:rPr>
                  <w:szCs w:val="24"/>
                  <w:lang w:eastAsia="lt-LT"/>
                </w:rPr>
              </w:pPr>
            </w:p>
            <w:p w14:paraId="0C850316" w14:textId="646A0368">
              <w:pPr>
                <w:overflowPunct w:val="0"/>
                <w:spacing w:line="276" w:lineRule="auto"/>
                <w:textAlignment w:val="baseline"/>
                <w:rPr>
                  <w:szCs w:val="24"/>
                  <w:lang w:eastAsia="lt-LT"/>
                </w:rPr>
              </w:pPr>
            </w:p>
            <w:p w14:paraId="5211A138" w14:textId="32D7AC61">
              <w:pPr>
                <w:overflowPunct w:val="0"/>
                <w:spacing w:line="276" w:lineRule="auto"/>
                <w:textAlignment w:val="baseline"/>
                <w:rPr>
                  <w:szCs w:val="24"/>
                  <w:lang w:eastAsia="lt-LT"/>
                </w:rPr>
              </w:pPr>
            </w:p>
            <w:p w14:paraId="16FCE5AC" w14:textId="4101791F">
              <w:pPr>
                <w:overflowPunct w:val="0"/>
                <w:spacing w:line="276" w:lineRule="auto"/>
                <w:textAlignment w:val="baseline"/>
                <w:rPr>
                  <w:szCs w:val="24"/>
                  <w:lang w:eastAsia="lt-LT"/>
                </w:rPr>
              </w:pPr>
            </w:p>
            <w:p w14:paraId="70907213" w14:textId="17B50BE2">
              <w:pPr>
                <w:overflowPunct w:val="0"/>
                <w:spacing w:line="276" w:lineRule="auto"/>
                <w:textAlignment w:val="baseline"/>
                <w:rPr>
                  <w:szCs w:val="24"/>
                  <w:lang w:eastAsia="lt-LT"/>
                </w:rPr>
              </w:pPr>
            </w:p>
            <w:p w14:paraId="1795A735" w14:textId="71AD35EE">
              <w:pPr>
                <w:overflowPunct w:val="0"/>
                <w:spacing w:line="276" w:lineRule="auto"/>
                <w:textAlignment w:val="baseline"/>
                <w:rPr>
                  <w:szCs w:val="24"/>
                  <w:lang w:eastAsia="lt-LT"/>
                </w:rPr>
              </w:pPr>
            </w:p>
            <w:p w14:paraId="1CFAE453" w14:textId="122EE638">
              <w:pPr>
                <w:overflowPunct w:val="0"/>
                <w:spacing w:line="276" w:lineRule="auto"/>
                <w:textAlignment w:val="baseline"/>
                <w:rPr>
                  <w:szCs w:val="24"/>
                  <w:lang w:eastAsia="lt-LT"/>
                </w:rPr>
              </w:pPr>
            </w:p>
            <w:p w14:paraId="2C42AE23" w14:textId="57DEEC58">
              <w:pPr>
                <w:overflowPunct w:val="0"/>
                <w:spacing w:line="276" w:lineRule="auto"/>
                <w:textAlignment w:val="baseline"/>
                <w:rPr>
                  <w:szCs w:val="24"/>
                  <w:lang w:eastAsia="lt-LT"/>
                </w:rPr>
              </w:pPr>
            </w:p>
            <w:p w14:paraId="1E1DC489" w14:textId="241FCF87">
              <w:pPr>
                <w:overflowPunct w:val="0"/>
                <w:spacing w:line="276" w:lineRule="auto"/>
                <w:textAlignment w:val="baseline"/>
                <w:rPr>
                  <w:szCs w:val="24"/>
                  <w:lang w:eastAsia="lt-LT"/>
                </w:rPr>
              </w:pPr>
            </w:p>
            <w:p w14:paraId="73692D81" w14:textId="3DC935F2">
              <w:pPr>
                <w:overflowPunct w:val="0"/>
                <w:spacing w:line="276" w:lineRule="auto"/>
                <w:textAlignment w:val="baseline"/>
                <w:rPr>
                  <w:szCs w:val="24"/>
                  <w:lang w:eastAsia="lt-LT"/>
                </w:rPr>
              </w:pPr>
            </w:p>
            <w:p w14:paraId="6B27523D" w14:textId="54B4546C">
              <w:pPr>
                <w:overflowPunct w:val="0"/>
                <w:spacing w:line="276" w:lineRule="auto"/>
                <w:textAlignment w:val="baseline"/>
                <w:rPr>
                  <w:szCs w:val="24"/>
                  <w:lang w:eastAsia="lt-LT"/>
                </w:rPr>
              </w:pPr>
            </w:p>
            <w:p w14:paraId="2517910C" w14:textId="3B07CB46">
              <w:pPr>
                <w:overflowPunct w:val="0"/>
                <w:spacing w:line="276" w:lineRule="auto"/>
                <w:textAlignment w:val="baseline"/>
                <w:rPr>
                  <w:szCs w:val="24"/>
                  <w:lang w:eastAsia="lt-LT"/>
                </w:rPr>
              </w:pPr>
            </w:p>
            <w:p w14:paraId="350E1752" w14:textId="24C4BF02">
              <w:pPr>
                <w:overflowPunct w:val="0"/>
                <w:spacing w:line="276" w:lineRule="auto"/>
                <w:textAlignment w:val="baseline"/>
                <w:rPr>
                  <w:szCs w:val="24"/>
                  <w:lang w:eastAsia="lt-LT"/>
                </w:rPr>
              </w:pPr>
            </w:p>
            <w:p w14:paraId="2AE0817A" w14:textId="517966EF">
              <w:pPr>
                <w:overflowPunct w:val="0"/>
                <w:spacing w:line="276" w:lineRule="auto"/>
                <w:textAlignment w:val="baseline"/>
                <w:rPr>
                  <w:szCs w:val="24"/>
                  <w:lang w:eastAsia="lt-LT"/>
                </w:rPr>
              </w:pPr>
            </w:p>
            <w:p w14:paraId="396ECEC5" w14:textId="77777777">
              <w:pPr>
                <w:overflowPunct w:val="0"/>
                <w:spacing w:line="276" w:lineRule="auto"/>
                <w:textAlignment w:val="baseline"/>
                <w:rPr>
                  <w:szCs w:val="24"/>
                  <w:lang w:eastAsia="lt-LT"/>
                </w:rPr>
              </w:pPr>
            </w:p>
            <w:p w14:paraId="66FDEB05" w14:textId="77777777">
              <w:pPr>
                <w:overflowPunct w:val="0"/>
                <w:spacing w:line="276" w:lineRule="auto"/>
                <w:textAlignment w:val="baseline"/>
                <w:rPr>
                  <w:szCs w:val="24"/>
                  <w:lang w:eastAsia="lt-LT"/>
                </w:rPr>
              </w:pPr>
            </w:p>
            <w:p w14:paraId="0F4B3F2B" w14:textId="7BFC59AF">
              <w:pPr>
                <w:overflowPunct w:val="0"/>
                <w:spacing w:line="276" w:lineRule="auto"/>
                <w:textAlignment w:val="baseline"/>
                <w:rPr>
                  <w:szCs w:val="24"/>
                  <w:lang w:eastAsia="lt-LT"/>
                </w:rPr>
              </w:pPr>
              <w:r>
                <w:rPr>
                  <w:szCs w:val="24"/>
                  <w:lang w:eastAsia="lt-LT"/>
                </w:rPr>
                <w:t xml:space="preserve">Neringa Michailovaitė, tel. 239 1167, el. p.  </w:t>
              </w:r>
              <w:r>
                <w:rPr>
                  <w:color w:val="0000FF"/>
                  <w:szCs w:val="24"/>
                  <w:u w:val="single"/>
                  <w:lang w:eastAsia="lt-LT"/>
                </w:rPr>
                <w:t>neringa@zum.lt</w:t>
              </w:r>
              <w:r>
                <w:rPr>
                  <w:szCs w:val="24"/>
                  <w:lang w:eastAsia="lt-LT"/>
                </w:rPr>
                <w:t xml:space="preserve"> </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92E613" w14:textId="77777777">
      <w:pPr>
        <w:overflowPunct w:val="0"/>
        <w:textAlignment w:val="baseline"/>
        <w:rPr>
          <w:lang w:val="en-GB" w:eastAsia="lt-LT"/>
        </w:rPr>
      </w:pPr>
      <w:r>
        <w:rPr>
          <w:lang w:val="en-GB" w:eastAsia="lt-LT"/>
        </w:rPr>
        <w:separator/>
      </w:r>
    </w:p>
  </w:endnote>
  <w:endnote w:type="continuationSeparator" w:id="0">
    <w:p w14:paraId="17D27D31" w14:textId="77777777">
      <w:pPr>
        <w:overflowPunct w:val="0"/>
        <w:textAlignment w:val="baseline"/>
        <w:rPr>
          <w:lang w:val="en-GB" w:eastAsia="lt-LT"/>
        </w:rPr>
      </w:pPr>
      <w:r>
        <w:rPr>
          <w:lang w:val="en-GB"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E6D49" w14:textId="77777777">
    <w:pPr>
      <w:tabs>
        <w:tab w:val="center" w:pos="4153"/>
        <w:tab w:val="right" w:pos="8306"/>
      </w:tabs>
      <w:overflowPunct w:val="0"/>
      <w:textAlignment w:val="baseline"/>
      <w:rPr>
        <w:lang w:val="en-GB"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024EBB" w14:textId="77777777">
    <w:pPr>
      <w:tabs>
        <w:tab w:val="center" w:pos="4153"/>
        <w:tab w:val="right" w:pos="8306"/>
      </w:tabs>
      <w:overflowPunct w:val="0"/>
      <w:textAlignment w:val="baseline"/>
      <w:rPr>
        <w:lang w:val="en-GB"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7B6A3" w14:textId="77777777">
    <w:pPr>
      <w:tabs>
        <w:tab w:val="center" w:pos="4153"/>
        <w:tab w:val="right" w:pos="8306"/>
      </w:tabs>
      <w:overflowPunct w:val="0"/>
      <w:textAlignment w:val="baseline"/>
      <w:rPr>
        <w:lang w:val="en-GB"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277E27" w14:textId="77777777">
      <w:pPr>
        <w:overflowPunct w:val="0"/>
        <w:textAlignment w:val="baseline"/>
        <w:rPr>
          <w:lang w:val="en-GB" w:eastAsia="lt-LT"/>
        </w:rPr>
      </w:pPr>
      <w:r>
        <w:rPr>
          <w:lang w:val="en-GB" w:eastAsia="lt-LT"/>
        </w:rPr>
        <w:separator/>
      </w:r>
    </w:p>
  </w:footnote>
  <w:footnote w:type="continuationSeparator" w:id="0">
    <w:p w14:paraId="77E1DDB6" w14:textId="77777777">
      <w:pPr>
        <w:overflowPunct w:val="0"/>
        <w:textAlignment w:val="baseline"/>
        <w:rPr>
          <w:lang w:val="en-GB" w:eastAsia="lt-LT"/>
        </w:rPr>
      </w:pPr>
      <w:r>
        <w:rPr>
          <w:lang w:val="en-GB"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D320D" w14:textId="77777777">
    <w:pPr>
      <w:framePr w:wrap="auto" w:vAnchor="text" w:hAnchor="margin" w:xAlign="center" w:y="1"/>
      <w:tabs>
        <w:tab w:val="center" w:pos="4153"/>
        <w:tab w:val="right" w:pos="8306"/>
      </w:tabs>
      <w:overflowPunct w:val="0"/>
      <w:textAlignment w:val="baseline"/>
      <w:rPr>
        <w:lang w:val="en-GB" w:eastAsia="lt-LT"/>
      </w:rPr>
    </w:pPr>
    <w:r>
      <w:rPr>
        <w:lang w:val="en-GB" w:eastAsia="lt-LT"/>
      </w:rPr>
      <w:fldChar w:fldCharType="begin"/>
    </w:r>
    <w:r>
      <w:rPr>
        <w:lang w:val="en-GB" w:eastAsia="lt-LT"/>
      </w:rPr>
      <w:instrText xml:space="preserve">PAGE  </w:instrText>
    </w:r>
    <w:r>
      <w:rPr>
        <w:lang w:val="en-GB" w:eastAsia="lt-LT"/>
      </w:rPr>
      <w:fldChar w:fldCharType="end"/>
    </w:r>
  </w:p>
  <w:p w14:paraId="42C5D525" w14:textId="77777777">
    <w:pPr>
      <w:tabs>
        <w:tab w:val="center" w:pos="4153"/>
        <w:tab w:val="right" w:pos="8306"/>
      </w:tabs>
      <w:overflowPunct w:val="0"/>
      <w:textAlignment w:val="baseline"/>
      <w:rPr>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EF8B4" w14:textId="77777777">
    <w:pPr>
      <w:framePr w:wrap="auto" w:vAnchor="text" w:hAnchor="margin" w:xAlign="center" w:y="1"/>
      <w:tabs>
        <w:tab w:val="center" w:pos="4153"/>
        <w:tab w:val="right" w:pos="8306"/>
      </w:tabs>
      <w:overflowPunct w:val="0"/>
      <w:textAlignment w:val="baseline"/>
      <w:rPr>
        <w:lang w:val="en-GB" w:eastAsia="lt-LT"/>
      </w:rPr>
    </w:pPr>
    <w:r>
      <w:rPr>
        <w:lang w:val="en-GB" w:eastAsia="lt-LT"/>
      </w:rPr>
      <w:fldChar w:fldCharType="begin"/>
    </w:r>
    <w:r>
      <w:rPr>
        <w:lang w:val="en-GB" w:eastAsia="lt-LT"/>
      </w:rPr>
      <w:instrText xml:space="preserve">PAGE  </w:instrText>
    </w:r>
    <w:r>
      <w:rPr>
        <w:lang w:val="en-GB" w:eastAsia="lt-LT"/>
      </w:rPr>
      <w:fldChar w:fldCharType="separate"/>
    </w:r>
    <w:r>
      <w:rPr>
        <w:lang w:val="en-GB" w:eastAsia="lt-LT"/>
      </w:rPr>
      <w:t>2</w:t>
    </w:r>
    <w:r>
      <w:rPr>
        <w:lang w:val="en-GB" w:eastAsia="lt-LT"/>
      </w:rPr>
      <w:fldChar w:fldCharType="end"/>
    </w:r>
  </w:p>
  <w:p w14:paraId="0667D1FC" w14:textId="77777777">
    <w:pPr>
      <w:tabs>
        <w:tab w:val="center" w:pos="4153"/>
        <w:tab w:val="right" w:pos="8306"/>
      </w:tabs>
      <w:overflowPunct w:val="0"/>
      <w:textAlignment w:val="baseline"/>
      <w:rPr>
        <w:lang w:val="en-GB"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A231BE" w14:textId="77777777">
    <w:pPr>
      <w:tabs>
        <w:tab w:val="center" w:pos="4153"/>
        <w:tab w:val="right" w:pos="8306"/>
      </w:tabs>
      <w:overflowPunct w:val="0"/>
      <w:textAlignment w:val="baseline"/>
      <w:rPr>
        <w:lang w:val="en-GB"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06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8BCAF5"/>
  <w15:chartTrackingRefBased/>
  <w15:docId w15:val="{E6D14831-F005-4418-AEA9-5C96B60133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3753136">
      <w:bodyDiv w:val="1"/>
      <w:marLeft w:val="0"/>
      <w:marRight w:val="0"/>
      <w:marTop w:val="0"/>
      <w:marBottom w:val="0"/>
      <w:divBdr>
        <w:top w:val="none" w:sz="0" w:space="0" w:color="auto"/>
        <w:left w:val="none" w:sz="0" w:space="0" w:color="auto"/>
        <w:bottom w:val="none" w:sz="0" w:space="0" w:color="auto"/>
        <w:right w:val="none" w:sz="0" w:space="0" w:color="auto"/>
      </w:divBdr>
    </w:div>
    <w:div w:id="868835873">
      <w:bodyDiv w:val="1"/>
      <w:marLeft w:val="0"/>
      <w:marRight w:val="0"/>
      <w:marTop w:val="0"/>
      <w:marBottom w:val="0"/>
      <w:divBdr>
        <w:top w:val="none" w:sz="0" w:space="0" w:color="auto"/>
        <w:left w:val="none" w:sz="0" w:space="0" w:color="auto"/>
        <w:bottom w:val="none" w:sz="0" w:space="0" w:color="auto"/>
        <w:right w:val="none" w:sz="0" w:space="0" w:color="auto"/>
      </w:divBdr>
    </w:div>
    <w:div w:id="923143833">
      <w:bodyDiv w:val="1"/>
      <w:marLeft w:val="0"/>
      <w:marRight w:val="0"/>
      <w:marTop w:val="0"/>
      <w:marBottom w:val="0"/>
      <w:divBdr>
        <w:top w:val="none" w:sz="0" w:space="0" w:color="auto"/>
        <w:left w:val="none" w:sz="0" w:space="0" w:color="auto"/>
        <w:bottom w:val="none" w:sz="0" w:space="0" w:color="auto"/>
        <w:right w:val="none" w:sz="0" w:space="0" w:color="auto"/>
      </w:divBdr>
    </w:div>
    <w:div w:id="1311403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78c75cd13e24f4480df724d7d52b7db" PartId="4953fd9c1e26418d978abd41c26aae5f">
    <Part Type="punktas" Nr="1" Abbr="1 p." DocPartId="38ab24a261d844b69e86f84fc0795689" PartId="5d03eeb7283446a0867457e6229b0762"/>
    <Part Type="punktas" Nr="1" Abbr="1 p." Notes="Numeris ne iš eilės. Trūksta dalių? [DocDalys]" DocPartId="9e57b1bfb4d143a79609005832c68852" PartId="fccc654c172d4f22a1de29aa2a511882"/>
    <Part Type="punktas" Nr="2" Abbr="2 p." DocPartId="49980670b7f74d30820cb65aab01a880" PartId="55d3567d784f4b4f9acf024dc5ea6c48"/>
    <Part Type="punktas" Nr="3" Abbr="3 p." DocPartId="6153025613bb4b3fb6e69890100e7261" PartId="410edc251848484c85039a1241cc170e"/>
    <Part Type="punktas" Nr="4" Abbr="4 p." DocPartId="d0c7371322264cf2b87ed320bed0bdd7" PartId="ef7845129602486b8df460ac75792cce"/>
    <Part Type="punktas" Nr="5" Abbr="5 p." DocPartId="71224e48782c4af3b8f01697bf1f655a" PartId="918f01492576495e9b56cd4f27269005"/>
    <Part Type="punktas" Nr="2" Abbr="2 p." Notes="Numeris ne iš eilės. Trūksta dalių? [DocDalys]" DocPartId="4f73bc933f184d05a7da158109ceb780" PartId="b41fd63ee6ec451e9d529ef721e1611c"/>
    <Part Type="punktas" Nr="3" Abbr="3 p." DocPartId="425eb78cf6e74150858c7c32a6facd0f" PartId="cf39a6dd5867456fb7f75778d40005bd"/>
    <Part Type="punktas" Nr="4" Abbr="4 p." DocPartId="663b432249d64922974fb9f7c4f26bbe" PartId="b883e60919a94ee6a44509ef37957342"/>
    <Part Type="punktas" Nr="5" Abbr="5 p." DocPartId="a768dd70aab24240940a3ec8f962cad7" PartId="f271df57de4245109a6920dbb48341d2"/>
    <Part Type="punktas" Nr="6" Abbr="6 p." DocPartId="2e4e5fe1f11a428e876e7ed475b2bf9a" PartId="16432b29037142e6a6f73b9e70bc507f"/>
    <Part Type="punktas" Nr="7" Abbr="7 p." DocPartId="3c35f7c35cfa469a8d55a5cfcd67c97e" PartId="088ac4ff88d741f091190ab52a303eb9"/>
    <Part Type="punktas" Nr="1" Abbr="1 p." Notes="Numeris ne iš eilės. Trūksta dalių? [DocDalys]" DocPartId="2f9a7e0b40ab4bf08f8c74ab1c65cf8f" PartId="b0860072c2cc417f87837c4ca1978d61"/>
    <Part Type="punktas" Nr="2" Abbr="2 p." DocPartId="0e4f5697f716470da0261a9219e3a597" PartId="bfb870fe2b2d49069e7dc174e4a4ad23"/>
    <Part Type="punktas" Nr="3" Abbr="3 p." DocPartId="a48d1022ad5c492d945fde91c1ff96db" PartId="706baeec644e4dcc8692a8a9daeb1132"/>
    <Part Type="signatura" DocPartId="5da297f3122c47e8b511d629d8830c6e" PartId="c1398ca915bf4595bda0735cc1df49ad"/>
  </Part>
</Parts>
</file>

<file path=customXml/itemProps1.xml><?xml version="1.0" encoding="utf-8"?>
<ds:datastoreItem xmlns:ds="http://schemas.openxmlformats.org/officeDocument/2006/customXml" ds:itemID="{AF26A4F0-A52D-494D-86AD-7FFED0B7C7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893</Words>
  <Characters>6105</Characters>
  <Application>Microsoft Office Word</Application>
  <DocSecurity>4</DocSecurity>
  <Lines>141</Lines>
  <Paragraphs>48</Paragraphs>
  <ScaleCrop>false</ScaleCrop>
  <HeadingPairs>
    <vt:vector size="2" baseType="variant">
      <vt:variant>
        <vt:lpstr>Pavadinimas</vt:lpstr>
      </vt:variant>
      <vt:variant>
        <vt:i4>1</vt:i4>
      </vt:variant>
    </vt:vector>
  </HeadingPairs>
  <TitlesOfParts>
    <vt:vector size="1" baseType="lpstr">
      <vt:lpstr>é</vt:lpstr>
    </vt:vector>
  </TitlesOfParts>
  <Company>ZUM</Company>
  <LinksUpToDate>false</LinksUpToDate>
  <CharactersWithSpaces>6950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2023-03-28T10:51:00Z</dcterms:created>
  <dc:creator>Vida Kučinskienė</dc:creator>
  <dc:description>Dokumentas koreguotas UAB Fotonija 'Korektoriumi' v. 1.1 2001.05.18 15:24:17_x000d_Dokumentas koreguotas UAB Fotonija 'Korektoriumi' v. 1.1 2001.05.21 11:01:19</dc:description>
  <lastModifiedBy>adlibuser</lastModifiedBy>
  <lastPrinted>2017-06-05T13:42:00Z</lastPrinted>
  <dcterms:modified xsi:type="dcterms:W3CDTF">2023-03-28T10:51:00Z</dcterms:modified>
  <revision>2</revision>
  <dc:title>é</dc:title>
</coreProperties>
</file>