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25f03b18b04043b87e430b30cce306"/>
        <w:lock w:val="sdtLocked"/>
        <w:richText/>
      </w:sdtPr>
      <w:sdtContent>
        <w:p>
          <w:pPr>
            <w:tabs>
              <w:tab w:val="center" w:pos="4819"/>
              <w:tab w:val="right" w:pos="9638"/>
            </w:tabs>
            <w:rPr>
              <w:sz w:val="22"/>
              <w:szCs w:val="22"/>
            </w:rPr>
          </w:pPr>
        </w:p>
        <w:p>
          <w:pPr>
            <w:rPr>
              <w:b/>
              <w:color w:val="000000"/>
              <w:szCs w:val="24"/>
              <w:lang w:val="en-US"/>
            </w:rPr>
          </w:pPr>
        </w:p>
        <w:p>
          <w:pPr>
            <w:jc w:val="center"/>
            <w:rPr>
              <w:b/>
              <w:color w:val="000000"/>
              <w:szCs w:val="24"/>
            </w:rPr>
          </w:pPr>
          <w:r>
            <w:rPr>
              <w:b/>
              <w:color w:val="000000"/>
              <w:szCs w:val="24"/>
            </w:rPr>
            <w:t>NUMATOMO POVEIKIO KONKURENCIJAI VERTINIMAS</w:t>
          </w:r>
        </w:p>
        <w:p>
          <w:pPr>
            <w:rPr>
              <w:b/>
              <w:color w:val="0000FF"/>
              <w:sz w:val="28"/>
              <w:szCs w:val="28"/>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Cs w:val="24"/>
                    <w:shd w:val="clear" w:color="auto" w:fill="DBE5F1"/>
                  </w:rPr>
                </w:pPr>
                <w:r>
                  <w:rPr>
                    <w:b/>
                    <w:szCs w:val="24"/>
                    <w:shd w:val="clear" w:color="auto" w:fill="DBE5F1"/>
                  </w:rPr>
                  <w:t>Projekto pavadinimas</w:t>
                </w:r>
              </w:p>
            </w:tc>
            <w:tc>
              <w:tcPr>
                <w:tcW w:w="7337" w:type="dxa"/>
                <w:shd w:val="clear" w:color="auto" w:fill="DBE5F1"/>
              </w:tcPr>
              <w:p>
                <w:pPr>
                  <w:jc w:val="both"/>
                  <w:rPr>
                    <w:szCs w:val="24"/>
                  </w:rPr>
                </w:pPr>
                <w:r>
                  <w:rPr>
                    <w:szCs w:val="24"/>
                  </w:rPr>
                  <w:t>Dėl žemės ūkio ministro įsakymo „Dėl nacionalinės pagalbos pieno gamintojams teikimo taisyklių patvirtinimo“ projekto</w:t>
                </w:r>
              </w:p>
            </w:tc>
          </w:tr>
        </w:tbl>
        <w:p>
          <w:pPr>
            <w:rPr>
              <w:sz w:val="28"/>
              <w:szCs w:val="28"/>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szCs w:val="24"/>
                  </w:rPr>
                </w:pPr>
                <w:r>
                  <w:rPr>
                    <w:b/>
                    <w:szCs w:val="24"/>
                    <w:shd w:val="clear" w:color="auto" w:fill="DBE5F1"/>
                  </w:rPr>
                  <w:t>Projekto rengėjas</w:t>
                </w:r>
              </w:p>
            </w:tc>
            <w:tc>
              <w:tcPr>
                <w:tcW w:w="7337" w:type="dxa"/>
                <w:shd w:val="clear" w:color="auto" w:fill="DBE5F1"/>
                <w:hideMark/>
              </w:tcPr>
              <w:p>
                <w:pPr>
                  <w:jc w:val="both"/>
                  <w:rPr>
                    <w:b/>
                    <w:szCs w:val="24"/>
                  </w:rPr>
                </w:pPr>
                <w:r>
                  <w:rPr>
                    <w:szCs w:val="24"/>
                  </w:rPr>
                  <w:t>Lietuvos Respublikos žemės ūkio ministerija</w:t>
                </w:r>
              </w:p>
            </w:tc>
          </w:tr>
        </w:tbl>
        <w:p>
          <w:pPr>
            <w:rPr>
              <w:sz w:val="28"/>
              <w:szCs w:val="28"/>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rPr>
                    <w:b/>
                    <w:szCs w:val="24"/>
                  </w:rPr>
                </w:pPr>
                <w:r>
                  <w:rPr>
                    <w:b/>
                    <w:szCs w:val="24"/>
                  </w:rPr>
                  <w:t>Projekto tikslas</w:t>
                </w:r>
              </w:p>
            </w:tc>
            <w:tc>
              <w:tcPr>
                <w:tcW w:w="7337" w:type="dxa"/>
                <w:shd w:val="clear" w:color="auto" w:fill="DBE5F1"/>
                <w:hideMark/>
              </w:tcPr>
              <w:p>
                <w:pPr>
                  <w:jc w:val="both"/>
                  <w:rPr>
                    <w:bCs/>
                    <w:szCs w:val="24"/>
                  </w:rPr>
                </w:pPr>
                <w:r>
                  <w:rPr>
                    <w:color w:val="000000"/>
                    <w:spacing w:val="-2"/>
                    <w:szCs w:val="24"/>
                  </w:rPr>
                  <w:t>išsaugoti Lietuvos pieno gamybos potencialą ir skatinti pieno gamintojų jungimąsi į pripažintas kooperatines bendroves (kooperatyvus).</w:t>
                </w:r>
              </w:p>
            </w:tc>
          </w:tr>
        </w:tbl>
        <w:p>
          <w:pPr>
            <w:rPr>
              <w:sz w:val="28"/>
              <w:szCs w:val="28"/>
            </w:rPr>
          </w:pPr>
        </w:p>
        <w:tbl>
          <w:tblPr>
            <w:tblW w:w="0" w:type="auto"/>
            <w:tblLook w:val="00A0" w:firstRow="1" w:lastRow="0" w:firstColumn="1" w:lastColumn="0" w:noHBand="0" w:noVBand="0"/>
          </w:tblPr>
          <w:tblGrid>
            <w:gridCol w:w="9606"/>
          </w:tblGrid>
          <w:tr>
            <w:trPr>
              <w:trHeight w:val="450"/>
            </w:trPr>
            <w:tc>
              <w:tcPr>
                <w:tcW w:w="9606" w:type="dxa"/>
                <w:shd w:val="clear" w:color="auto" w:fill="DBE5F1"/>
                <w:hideMark/>
              </w:tcPr>
              <w:p>
                <w:pPr>
                  <w:jc w:val="both"/>
                  <w:rPr>
                    <w:b/>
                    <w:szCs w:val="24"/>
                  </w:rPr>
                </w:pPr>
                <w:r>
                  <w:rPr>
                    <w:b/>
                    <w:szCs w:val="24"/>
                  </w:rPr>
                  <w:t>Ar siūlomas sprendimas tiesiogiai paveiktų ūkio subjektų įėjimą į rinką?</w:t>
                </w:r>
              </w:p>
            </w:tc>
          </w:tr>
        </w:tbl>
        <w:p>
          <w:pPr>
            <w:rPr>
              <w:szCs w:val="24"/>
            </w:rPr>
          </w:pPr>
        </w:p>
        <w:p>
          <w:pPr>
            <w:suppressAutoHyphens/>
            <w:spacing w:line="360" w:lineRule="auto"/>
            <w:ind w:firstLine="567"/>
            <w:jc w:val="both"/>
            <w:textAlignment w:val="center"/>
            <w:rPr>
              <w:rFonts w:eastAsia="Arial Unicode MS"/>
              <w:szCs w:val="24"/>
            </w:rPr>
          </w:pPr>
          <w:r>
            <w:rPr>
              <w:szCs w:val="24"/>
            </w:rPr>
            <w:t xml:space="preserve">Nacionalinės pagalbos pieno gamintojams teikimo taisyklės (toliau – taisyklės) parengtos vadovaujantis </w:t>
          </w:r>
          <w:r>
            <w:rPr>
              <w:rFonts w:eastAsia="Calibri"/>
              <w:szCs w:val="24"/>
            </w:rPr>
            <w:t xml:space="preserve">2013 m. gruodžio 18 d. Komisijos reglamentu </w:t>
          </w:r>
          <w:fldSimple w:instr="HYPERLINK http://eur-lex.europa.eu/legal-content/LIT/TXT/?uri=CELEX:32013R1408&amp;locale=lt \t _blank">
            <w:r>
              <w:rPr>
                <w:rFonts w:eastAsia="Calibri"/>
                <w:szCs w:val="24"/>
                <w:u w:val="single"/>
                <w:color w:val="0000FF" w:themeColor="hyperlink"/>
              </w:rPr>
              <w:t>(ES) Nr. 1408/2013</w:t>
            </w:r>
          </w:fldSimple>
          <w:r>
            <w:rPr>
              <w:rFonts w:eastAsia="Calibri"/>
              <w:szCs w:val="24"/>
            </w:rPr>
            <w:t xml:space="preserve"> dėl Sutarties dėl Europos Sąjungos veikimo 107 ir 108 straipsnių taikymo </w:t>
          </w:r>
          <w:r>
            <w:rPr>
              <w:rFonts w:eastAsia="Calibri"/>
              <w:i/>
              <w:iCs/>
              <w:szCs w:val="24"/>
            </w:rPr>
            <w:t>de minimis</w:t>
          </w:r>
          <w:r>
            <w:rPr>
              <w:rFonts w:eastAsia="Calibri"/>
              <w:szCs w:val="24"/>
            </w:rPr>
            <w:t xml:space="preserve"> pagalbai žemės ūkio sektoriuje su visais pakeitimais</w:t>
          </w:r>
          <w:r>
            <w:rPr>
              <w:szCs w:val="24"/>
            </w:rPr>
            <w:t xml:space="preserve"> (toliau – Reglamentas </w:t>
          </w:r>
          <w:fldSimple w:instr="HYPERLINK http://eur-lex.europa.eu/legal-content/LIT/TXT/?uri=CELEX:32013R1408&amp;locale=lt \t _blank">
            <w:r>
              <w:rPr>
                <w:szCs w:val="24"/>
                <w:u w:val="single"/>
                <w:color w:val="0000FF" w:themeColor="hyperlink"/>
              </w:rPr>
              <w:t>(ES) Nr. 1408/2013</w:t>
            </w:r>
          </w:fldSimple>
          <w:r>
            <w:rPr>
              <w:szCs w:val="24"/>
            </w:rPr>
            <w:t xml:space="preserve">) ir atsižvelgiant į </w:t>
          </w:r>
          <w:r>
            <w:rPr>
              <w:rFonts w:eastAsia="Arial Unicode MS"/>
              <w:szCs w:val="24"/>
            </w:rPr>
            <w:t xml:space="preserve">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w:t>
          </w:r>
        </w:p>
        <w:p>
          <w:pPr>
            <w:suppressAutoHyphens/>
            <w:spacing w:line="360" w:lineRule="auto"/>
            <w:ind w:firstLine="567"/>
            <w:jc w:val="both"/>
            <w:textAlignment w:val="center"/>
            <w:rPr>
              <w:rFonts w:eastAsia="Arial Unicode MS"/>
              <w:szCs w:val="24"/>
            </w:rPr>
          </w:pPr>
          <w:r>
            <w:rPr>
              <w:szCs w:val="24"/>
            </w:rPr>
            <w:t>Taisyklių projekte numatyta, kad pagalba teikiama pieno gamintojams, kurie atitinka visus šiuos reikalavimus:</w:t>
          </w:r>
        </w:p>
        <w:sdt>
          <w:sdtPr>
            <w:alias w:val="1 p."/>
            <w:tag w:val="part_13129a2ad7df45f3afc45ce162f58e0c"/>
            <w:lock w:val="sdtLocked"/>
            <w:richText/>
          </w:sdtPr>
          <w:sdtContent>
            <w:p>
              <w:pPr>
                <w:spacing w:line="360" w:lineRule="auto"/>
                <w:ind w:firstLine="709"/>
                <w:jc w:val="both"/>
                <w:rPr>
                  <w:rFonts w:eastAsia="Calibri"/>
                  <w:szCs w:val="24"/>
                </w:rPr>
              </w:pPr>
              <w:sdt>
                <w:sdtPr>
                  <w:alias w:val="Numeris"/>
                  <w:tag w:val="nr_13129a2ad7df45f3afc45ce162f58e0c"/>
                  <w:lock w:val="sdtLocked"/>
                  <w:richText/>
                </w:sdtPr>
                <w:sdtContent>
                  <w:r>
                    <w:rPr>
                      <w:rFonts w:eastAsia="Calibri"/>
                      <w:szCs w:val="24"/>
                    </w:rPr>
                    <w:t>1</w:t>
                  </w:r>
                </w:sdtContent>
              </w:sdt>
              <w:r>
                <w:rPr>
                  <w:rFonts w:eastAsia="Calibri"/>
                  <w:szCs w:val="24"/>
                </w:rPr>
                <w:t>. Lietuvos Respublikos žemės ūkio ir kaimo verslo registre užregistruoti kaip valdos valdytojai arba partneriai ne vėliau kaip iki 2023 m. sausio 31 d.;</w:t>
              </w:r>
            </w:p>
          </w:sdtContent>
        </w:sdt>
        <w:sdt>
          <w:sdtPr>
            <w:alias w:val="2 p."/>
            <w:tag w:val="part_891acdfc947a44458448e348391c5448"/>
            <w:lock w:val="sdtLocked"/>
            <w:richText/>
          </w:sdtPr>
          <w:sdtContent>
            <w:p>
              <w:pPr>
                <w:spacing w:line="360" w:lineRule="auto"/>
                <w:ind w:firstLine="709"/>
                <w:jc w:val="both"/>
                <w:rPr>
                  <w:rFonts w:eastAsia="Calibri"/>
                  <w:szCs w:val="24"/>
                </w:rPr>
              </w:pPr>
              <w:sdt>
                <w:sdtPr>
                  <w:alias w:val="Numeris"/>
                  <w:tag w:val="nr_891acdfc947a44458448e348391c5448"/>
                  <w:lock w:val="sdtLocked"/>
                  <w:richText/>
                </w:sdtPr>
                <w:sdtContent>
                  <w:r>
                    <w:rPr>
                      <w:rFonts w:eastAsia="Calibri"/>
                      <w:szCs w:val="24"/>
                    </w:rPr>
                    <w:t>2</w:t>
                  </w:r>
                </w:sdtContent>
              </w:sdt>
              <w:r>
                <w:rPr>
                  <w:rFonts w:eastAsia="Calibri"/>
                  <w:szCs w:val="24"/>
                </w:rPr>
                <w:t>. jeigu vidutinė 2023 m. vasario–kovo mėnesių natūralaus žalio pieno supirkimo kaina buvo ne didesnė kaip 35 ct už kilogramą (duomenys apie VĮ Žemės ūkio duomenų centre (toliau – Centras) registruotų pieno supirkėjų sumokėtą pieno kainą kiekvienam pieno gamintojui imami iš Pieno apskaitos informacinės sistemos).</w:t>
              </w:r>
            </w:p>
          </w:sdtContent>
        </w:sdt>
        <w:sdt>
          <w:sdtPr>
            <w:alias w:val="3 p."/>
            <w:tag w:val="part_545adb87aca940529eab9b9638c0abfb"/>
            <w:lock w:val="sdtLocked"/>
            <w:richText/>
          </w:sdtPr>
          <w:sdtContent>
            <w:p>
              <w:pPr>
                <w:spacing w:line="360" w:lineRule="auto"/>
                <w:ind w:firstLine="709"/>
                <w:jc w:val="both"/>
                <w:rPr>
                  <w:rFonts w:eastAsia="Calibri"/>
                  <w:szCs w:val="24"/>
                </w:rPr>
              </w:pPr>
              <w:sdt>
                <w:sdtPr>
                  <w:alias w:val="Numeris"/>
                  <w:tag w:val="nr_545adb87aca940529eab9b9638c0abfb"/>
                  <w:lock w:val="sdtLocked"/>
                  <w:richText/>
                </w:sdtPr>
                <w:sdtContent>
                  <w:r>
                    <w:rPr>
                      <w:rFonts w:eastAsia="Calibri"/>
                      <w:szCs w:val="24"/>
                    </w:rPr>
                    <w:t>3</w:t>
                  </w:r>
                </w:sdtContent>
              </w:sdt>
              <w:r>
                <w:rPr>
                  <w:rFonts w:eastAsia="Calibri"/>
                  <w:szCs w:val="24"/>
                </w:rPr>
                <w:t>. kurių vardu Ūkinių gyvūnų registre (toliau – ŪGR) 2023 m. kovo 1 d. buvo registruotų pieninių karvių.</w:t>
              </w:r>
            </w:p>
          </w:sdtContent>
        </w:sdt>
        <w:sdt>
          <w:sdtPr>
            <w:alias w:val="4 p."/>
            <w:tag w:val="part_254e9d2021b4402fa6411fd08dc02210"/>
            <w:lock w:val="sdtLocked"/>
            <w:richText/>
          </w:sdtPr>
          <w:sdtContent>
            <w:p>
              <w:pPr>
                <w:spacing w:line="360" w:lineRule="auto"/>
                <w:ind w:firstLine="709"/>
                <w:jc w:val="both"/>
                <w:rPr>
                  <w:rFonts w:eastAsia="Calibri"/>
                  <w:color w:val="000000"/>
                  <w:szCs w:val="24"/>
                </w:rPr>
              </w:pPr>
              <w:sdt>
                <w:sdtPr>
                  <w:alias w:val="Numeris"/>
                  <w:tag w:val="nr_254e9d2021b4402fa6411fd08dc02210"/>
                  <w:lock w:val="sdtLocked"/>
                  <w:richText/>
                </w:sdtPr>
                <w:sdtContent>
                  <w:r>
                    <w:rPr>
                      <w:rFonts w:eastAsia="Calibri"/>
                      <w:color w:val="000000"/>
                      <w:szCs w:val="24"/>
                    </w:rPr>
                    <w:t>4</w:t>
                  </w:r>
                </w:sdtContent>
              </w:sdt>
              <w:r>
                <w:rPr>
                  <w:rFonts w:eastAsia="Calibri"/>
                  <w:color w:val="000000"/>
                  <w:szCs w:val="24"/>
                </w:rPr>
                <w:t>. kurie ir kurių sutuoktiniai nėra patvirtinti paramos gavėjai pagal Kaimo plėtros 2004–2006 metų plano priemonę „Ankstyvo pasitraukimo iš prekinės žemės ūkio gamybos rėmimas“ ir Lietuvos kaimo plėtros 2007–2013 metų programos priemonę „Ankstyvas pasitraukimas iš prekinės žemės ūkio gamybos“.</w:t>
              </w:r>
            </w:p>
          </w:sdtContent>
        </w:sdt>
        <w:sdt>
          <w:sdtPr>
            <w:alias w:val="5 p."/>
            <w:tag w:val="part_3f648638526846bf8fb72564856f9270"/>
            <w:lock w:val="sdtLocked"/>
            <w:richText/>
          </w:sdtPr>
          <w:sdtContent>
            <w:p>
              <w:pPr>
                <w:spacing w:line="360" w:lineRule="auto"/>
                <w:ind w:firstLine="709"/>
                <w:jc w:val="both"/>
                <w:rPr>
                  <w:rFonts w:eastAsia="Calibri"/>
                  <w:color w:val="000000"/>
                  <w:szCs w:val="24"/>
                </w:rPr>
              </w:pPr>
              <w:sdt>
                <w:sdtPr>
                  <w:alias w:val="Numeris"/>
                  <w:tag w:val="nr_3f648638526846bf8fb72564856f9270"/>
                  <w:lock w:val="sdtLocked"/>
                  <w:richText/>
                </w:sdtPr>
                <w:sdtContent>
                  <w:r>
                    <w:rPr>
                      <w:rFonts w:eastAsia="Calibri"/>
                      <w:color w:val="000000"/>
                      <w:szCs w:val="24"/>
                    </w:rPr>
                    <w:t>5</w:t>
                  </w:r>
                </w:sdtContent>
              </w:sdt>
              <w:r>
                <w:rPr>
                  <w:rFonts w:eastAsia="Calibri"/>
                  <w:color w:val="000000"/>
                  <w:szCs w:val="24"/>
                </w:rPr>
                <w:t>. pateikė paraiškas nacionalinei pagalbai gauti.</w:t>
              </w:r>
            </w:p>
            <w:p>
              <w:pPr>
                <w:spacing w:line="360" w:lineRule="auto"/>
                <w:ind w:firstLine="709"/>
                <w:jc w:val="both"/>
                <w:rPr>
                  <w:rFonts w:eastAsia="Calibri"/>
                  <w:szCs w:val="24"/>
                </w:rPr>
              </w:pPr>
              <w:r>
                <w:rPr>
                  <w:rFonts w:eastAsia="Calibri"/>
                  <w:szCs w:val="24"/>
                </w:rPr>
                <w:t xml:space="preserve">Pagalba pieno gamintojams mokama už ŪGR 2023 m. kovo 1 d. registruotas pienines karves. </w:t>
              </w:r>
            </w:p>
            <w:p>
              <w:pPr>
                <w:spacing w:line="360" w:lineRule="auto"/>
                <w:ind w:firstLine="709"/>
                <w:jc w:val="both"/>
                <w:rPr>
                  <w:rFonts w:eastAsia="Calibri"/>
                  <w:szCs w:val="24"/>
                </w:rPr>
              </w:pPr>
              <w:r>
                <w:rPr>
                  <w:rFonts w:eastAsia="Calibri"/>
                  <w:szCs w:val="24"/>
                </w:rPr>
                <w:t>Pieno gamintojams, 2023 m. kovo 1 d. esantiems</w:t>
              </w:r>
              <w:r>
                <w:rPr>
                  <w:rFonts w:eastAsia="Calibri"/>
                  <w:color w:val="000000"/>
                  <w:szCs w:val="24"/>
                </w:rPr>
                <w:t xml:space="preserve"> pripažintos </w:t>
              </w:r>
              <w:r>
                <w:rPr>
                  <w:rFonts w:eastAsia="Calibri"/>
                  <w:szCs w:val="24"/>
                </w:rPr>
                <w:t xml:space="preserve">kooperatinės bendrovės (kooperatyvo) nariais, išmokos dydis yra padidinamas 10 proc. </w:t>
              </w:r>
            </w:p>
            <w:p>
              <w:pPr>
                <w:spacing w:line="360" w:lineRule="auto"/>
                <w:ind w:firstLine="709"/>
                <w:jc w:val="both"/>
                <w:rPr>
                  <w:szCs w:val="24"/>
                </w:rPr>
              </w:pPr>
              <w:r>
                <w:rPr>
                  <w:szCs w:val="24"/>
                </w:rPr>
                <w:t xml:space="preserve">Pagalbos dydis pieno gamintojams, atitinkantiems šių taisyklių 6 punkto reikalavimus, ir  pieno gamintojams, atitinkantiems šių taisyklių 6 ir 8 punktų reikalavimus, nustatomas atskiru </w:t>
              </w:r>
              <w:r>
                <w:rPr>
                  <w:color w:val="000000"/>
                  <w:szCs w:val="24"/>
                </w:rPr>
                <w:t xml:space="preserve">Lietuvos Respublikos </w:t>
              </w:r>
              <w:r>
                <w:rPr>
                  <w:szCs w:val="24"/>
                </w:rPr>
                <w:t>žemės ūkio ministro įsakymu iki š. m. gegužės 19 d.</w:t>
              </w:r>
            </w:p>
            <w:p>
              <w:pPr>
                <w:rPr>
                  <w:sz w:val="14"/>
                  <w:szCs w:val="14"/>
                </w:rPr>
              </w:pPr>
            </w:p>
            <w:p>
              <w:pPr>
                <w:spacing w:line="360" w:lineRule="auto"/>
                <w:ind w:firstLine="720"/>
                <w:jc w:val="both"/>
                <w:rPr>
                  <w:szCs w:val="24"/>
                </w:rPr>
              </w:pPr>
              <w:r>
                <w:rPr>
                  <w:szCs w:val="24"/>
                </w:rPr>
                <w:t xml:space="preserve">Skirtingi išmokų dydžiai siūlomi todėl, kad Lietuvoje pieno gamintojai yra silpnoji visos pieno grandinės dalis. Vienas iš būdų sustiprinti derybines galias, derantis su pieno supirkėjais dėl žalio pieno kainos, yra jungimasis į pripažintas kooperatines bendroves (kooperatyvus). Pastaraisiais metais šis kooperavimosi procesas Lietuvoje vyksta gana lėtai. Šiuo metu pripažinti kooperatyvai superka apie 25 proc. nuo bendro Lietuvoje supirkto žalio pieno kiekio ir apima apie 20 proc. Lietuvos pieno gamintojų, parduodančių pieną perdirbti. </w:t>
              </w:r>
            </w:p>
            <w:p>
              <w:pPr>
                <w:spacing w:line="360" w:lineRule="auto"/>
                <w:ind w:firstLine="720"/>
                <w:jc w:val="both"/>
                <w:rPr>
                  <w:szCs w:val="24"/>
                </w:rPr>
              </w:pPr>
              <w:r>
                <w:rPr>
                  <w:szCs w:val="24"/>
                </w:rPr>
                <w:t>Siekiant, kad kooperacijos procesas pieno sektoriuje būtų spartesnis, būtina įvairiomis politikos priemonėmis skatinti pieno ūkių jungimąsi į pripažintus kooperatyvus. Atkreiptinas dėmesys, kad pripažintų kooperatyvų atstovai kartu derasi su pieno supirkėjais dėl bendro pieno kiekio ir gauna aukštesnę pieno supirkimo kainą. Manome, kad 10 proc. didesnis išmokos dydis neiškreiptų konkurencijos pieno sektoriuje, o kaip tik sustiprintų silpniausios pieno grandinės dalies – pieno gamintojų padėtį ir tokiu būdu ateityje, esant pieno rinkos svyravimams, papildomos paramos poreikis tiek iš valstybės biudžeto, tiek iš ES biudžeto galimai sumažės.</w:t>
              </w:r>
            </w:p>
            <w:p>
              <w:pPr>
                <w:ind w:left="1296"/>
                <w:jc w:val="both"/>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69"/>
                <w:gridCol w:w="6859"/>
              </w:tblGrid>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szCs w:val="24"/>
                      </w:rPr>
                    </w:pPr>
                    <w:r>
                      <w:rPr>
                        <w:szCs w:val="24"/>
                      </w:rPr>
                      <w:t>Neringa Michailovaitė</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rPr>
                        <w:bCs/>
                        <w:szCs w:val="24"/>
                      </w:rPr>
                    </w:pPr>
                    <w:r>
                      <w:rPr>
                        <w:bCs/>
                        <w:szCs w:val="24"/>
                      </w:rPr>
                      <w:t xml:space="preserve">Vyriausioji specialistė </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b/>
                        <w:szCs w:val="24"/>
                      </w:rPr>
                    </w:pPr>
                    <w:r>
                      <w:rPr>
                        <w:szCs w:val="24"/>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jc w:val="both"/>
                      <w:rPr>
                        <w:bCs/>
                        <w:szCs w:val="24"/>
                      </w:rPr>
                    </w:pPr>
                    <w:r>
                      <w:rPr>
                        <w:bCs/>
                        <w:szCs w:val="24"/>
                      </w:rPr>
                      <w:t>Lietuvos Respublikos žemės ūkio ministerija (Tvarios žemės ūkio gamybos ir maisto pramonės departamento Maisto pramonės ir kooperacijos skyrius)</w:t>
                    </w:r>
                  </w:p>
                </w:tc>
              </w:tr>
              <w:tr>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pPr>
                      <w:rPr>
                        <w:szCs w:val="24"/>
                      </w:rPr>
                    </w:pPr>
                    <w:r>
                      <w:rPr>
                        <w:szCs w:val="24"/>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pPr>
                      <w:spacing w:line="259" w:lineRule="auto"/>
                      <w:rPr>
                        <w:szCs w:val="24"/>
                        <w:lang w:eastAsia="lt-LT"/>
                      </w:rPr>
                    </w:pPr>
                    <w:r>
                      <w:rPr>
                        <w:szCs w:val="24"/>
                        <w:lang w:eastAsia="lt-LT"/>
                      </w:rPr>
                      <w:t xml:space="preserve">Tel.: (8 5) 239 1167 </w:t>
                    </w:r>
                    <w:r>
                      <w:rPr>
                        <w:bCs/>
                        <w:szCs w:val="24"/>
                      </w:rPr>
                      <w:t xml:space="preserve">el. p. </w:t>
                    </w:r>
                    <w:r>
                      <w:rPr>
                        <w:color w:val="0563C1"/>
                        <w:szCs w:val="24"/>
                        <w:u w:val="single"/>
                        <w:lang w:eastAsia="lt-LT"/>
                      </w:rPr>
                      <w:t>n</w:t>
                    </w:r>
                    <w:r>
                      <w:rPr>
                        <w:color w:val="0563C1"/>
                        <w:sz w:val="22"/>
                        <w:szCs w:val="22"/>
                        <w:u w:val="single"/>
                        <w:lang w:eastAsia="lt-LT"/>
                      </w:rPr>
                      <w:t>eringa</w:t>
                    </w:r>
                    <w:r>
                      <w:rPr>
                        <w:color w:val="0563C1"/>
                        <w:szCs w:val="24"/>
                        <w:u w:val="single"/>
                        <w:lang w:eastAsia="lt-LT"/>
                      </w:rPr>
                      <w:t>@zum.lt</w:t>
                    </w:r>
                  </w:p>
                </w:tc>
              </w:tr>
            </w:tbl>
            <w:p/>
          </w:sdtContent>
        </w:sdt>
        <w:sdt>
          <w:sdtPr>
            <w:alias w:val="pabaiga"/>
            <w:tag w:val="part_6a9cc8689a834f5f8654a7a4f902abdb"/>
            <w:lock w:val="sdtLocked"/>
            <w:richText/>
          </w:sdtPr>
          <w:sdtContent>
            <w:p>
              <w:pPr>
                <w:tabs>
                  <w:tab w:val="left" w:pos="6237"/>
                </w:tabs>
                <w:jc w:val="center"/>
                <w:rPr>
                  <w:sz w:val="22"/>
                  <w:szCs w:val="22"/>
                </w:rPr>
              </w:pPr>
              <w:r>
                <w:rPr>
                  <w:sz w:val="22"/>
                  <w:szCs w:val="22"/>
                </w:rPr>
                <w:t>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9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B9F8ED-7B9C-47B4-AAA4-02A73B452D3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01566765">
      <w:bodyDiv w:val="1"/>
      <w:marLeft w:val="0"/>
      <w:marRight w:val="0"/>
      <w:marTop w:val="0"/>
      <w:marBottom w:val="0"/>
      <w:divBdr>
        <w:top w:val="none" w:sz="0" w:space="0" w:color="auto"/>
        <w:left w:val="none" w:sz="0" w:space="0" w:color="auto"/>
        <w:bottom w:val="none" w:sz="0" w:space="0" w:color="auto"/>
        <w:right w:val="none" w:sz="0" w:space="0" w:color="auto"/>
      </w:divBdr>
    </w:div>
    <w:div w:id="875628477">
      <w:bodyDiv w:val="1"/>
      <w:marLeft w:val="0"/>
      <w:marRight w:val="0"/>
      <w:marTop w:val="0"/>
      <w:marBottom w:val="0"/>
      <w:divBdr>
        <w:top w:val="none" w:sz="0" w:space="0" w:color="auto"/>
        <w:left w:val="none" w:sz="0" w:space="0" w:color="auto"/>
        <w:bottom w:val="none" w:sz="0" w:space="0" w:color="auto"/>
        <w:right w:val="none" w:sz="0" w:space="0" w:color="auto"/>
      </w:divBdr>
    </w:div>
    <w:div w:id="1531456534">
      <w:bodyDiv w:val="1"/>
      <w:marLeft w:val="0"/>
      <w:marRight w:val="0"/>
      <w:marTop w:val="0"/>
      <w:marBottom w:val="0"/>
      <w:divBdr>
        <w:top w:val="none" w:sz="0" w:space="0" w:color="auto"/>
        <w:left w:val="none" w:sz="0" w:space="0" w:color="auto"/>
        <w:bottom w:val="none" w:sz="0" w:space="0" w:color="auto"/>
        <w:right w:val="none" w:sz="0" w:space="0" w:color="auto"/>
      </w:divBdr>
      <w:divsChild>
        <w:div w:id="1389186322">
          <w:marLeft w:val="0"/>
          <w:marRight w:val="0"/>
          <w:marTop w:val="0"/>
          <w:marBottom w:val="0"/>
          <w:divBdr>
            <w:top w:val="none" w:sz="0" w:space="0" w:color="auto"/>
            <w:left w:val="none" w:sz="0" w:space="0" w:color="auto"/>
            <w:bottom w:val="none" w:sz="0" w:space="0" w:color="auto"/>
            <w:right w:val="none" w:sz="0" w:space="0" w:color="auto"/>
          </w:divBdr>
          <w:divsChild>
            <w:div w:id="2146385532">
              <w:marLeft w:val="0"/>
              <w:marRight w:val="0"/>
              <w:marTop w:val="0"/>
              <w:marBottom w:val="0"/>
              <w:divBdr>
                <w:top w:val="none" w:sz="0" w:space="0" w:color="auto"/>
                <w:left w:val="none" w:sz="0" w:space="0" w:color="auto"/>
                <w:bottom w:val="none" w:sz="0" w:space="0" w:color="auto"/>
                <w:right w:val="none" w:sz="0" w:space="0" w:color="auto"/>
              </w:divBdr>
            </w:div>
            <w:div w:id="595331432">
              <w:marLeft w:val="0"/>
              <w:marRight w:val="0"/>
              <w:marTop w:val="0"/>
              <w:marBottom w:val="0"/>
              <w:divBdr>
                <w:top w:val="none" w:sz="0" w:space="0" w:color="auto"/>
                <w:left w:val="none" w:sz="0" w:space="0" w:color="auto"/>
                <w:bottom w:val="none" w:sz="0" w:space="0" w:color="auto"/>
                <w:right w:val="none" w:sz="0" w:space="0" w:color="auto"/>
              </w:divBdr>
            </w:div>
            <w:div w:id="1023476381">
              <w:marLeft w:val="0"/>
              <w:marRight w:val="0"/>
              <w:marTop w:val="0"/>
              <w:marBottom w:val="0"/>
              <w:divBdr>
                <w:top w:val="none" w:sz="0" w:space="0" w:color="auto"/>
                <w:left w:val="none" w:sz="0" w:space="0" w:color="auto"/>
                <w:bottom w:val="none" w:sz="0" w:space="0" w:color="auto"/>
                <w:right w:val="none" w:sz="0" w:space="0" w:color="auto"/>
              </w:divBdr>
              <w:divsChild>
                <w:div w:id="839546600">
                  <w:marLeft w:val="0"/>
                  <w:marRight w:val="0"/>
                  <w:marTop w:val="0"/>
                  <w:marBottom w:val="0"/>
                  <w:divBdr>
                    <w:top w:val="none" w:sz="0" w:space="0" w:color="auto"/>
                    <w:left w:val="none" w:sz="0" w:space="0" w:color="auto"/>
                    <w:bottom w:val="none" w:sz="0" w:space="0" w:color="auto"/>
                    <w:right w:val="none" w:sz="0" w:space="0" w:color="auto"/>
                  </w:divBdr>
                  <w:divsChild>
                    <w:div w:id="1859193951">
                      <w:marLeft w:val="0"/>
                      <w:marRight w:val="0"/>
                      <w:marTop w:val="0"/>
                      <w:marBottom w:val="0"/>
                      <w:divBdr>
                        <w:top w:val="none" w:sz="0" w:space="0" w:color="auto"/>
                        <w:left w:val="none" w:sz="0" w:space="0" w:color="auto"/>
                        <w:bottom w:val="none" w:sz="0" w:space="0" w:color="auto"/>
                        <w:right w:val="none" w:sz="0" w:space="0" w:color="auto"/>
                      </w:divBdr>
                      <w:divsChild>
                        <w:div w:id="1534490852">
                          <w:marLeft w:val="0"/>
                          <w:marRight w:val="0"/>
                          <w:marTop w:val="0"/>
                          <w:marBottom w:val="0"/>
                          <w:divBdr>
                            <w:top w:val="none" w:sz="0" w:space="0" w:color="auto"/>
                            <w:left w:val="none" w:sz="0" w:space="0" w:color="auto"/>
                            <w:bottom w:val="none" w:sz="0" w:space="0" w:color="auto"/>
                            <w:right w:val="none" w:sz="0" w:space="0" w:color="auto"/>
                          </w:divBdr>
                          <w:divsChild>
                            <w:div w:id="504053043">
                              <w:marLeft w:val="0"/>
                              <w:marRight w:val="0"/>
                              <w:marTop w:val="0"/>
                              <w:marBottom w:val="0"/>
                              <w:divBdr>
                                <w:top w:val="none" w:sz="0" w:space="0" w:color="auto"/>
                                <w:left w:val="none" w:sz="0" w:space="0" w:color="auto"/>
                                <w:bottom w:val="none" w:sz="0" w:space="0" w:color="auto"/>
                                <w:right w:val="none" w:sz="0" w:space="0" w:color="auto"/>
                              </w:divBdr>
                              <w:divsChild>
                                <w:div w:id="881553987">
                                  <w:marLeft w:val="0"/>
                                  <w:marRight w:val="0"/>
                                  <w:marTop w:val="0"/>
                                  <w:marBottom w:val="0"/>
                                  <w:divBdr>
                                    <w:top w:val="none" w:sz="0" w:space="0" w:color="auto"/>
                                    <w:left w:val="none" w:sz="0" w:space="0" w:color="auto"/>
                                    <w:bottom w:val="none" w:sz="0" w:space="0" w:color="auto"/>
                                    <w:right w:val="none" w:sz="0" w:space="0" w:color="auto"/>
                                  </w:divBdr>
                                  <w:divsChild>
                                    <w:div w:id="1614550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8764123">
      <w:bodyDiv w:val="1"/>
      <w:marLeft w:val="0"/>
      <w:marRight w:val="0"/>
      <w:marTop w:val="0"/>
      <w:marBottom w:val="0"/>
      <w:divBdr>
        <w:top w:val="none" w:sz="0" w:space="0" w:color="auto"/>
        <w:left w:val="none" w:sz="0" w:space="0" w:color="auto"/>
        <w:bottom w:val="none" w:sz="0" w:space="0" w:color="auto"/>
        <w:right w:val="none" w:sz="0" w:space="0" w:color="auto"/>
      </w:divBdr>
      <w:divsChild>
        <w:div w:id="16150155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c8850e0daf44ef0bcf9ec56a229a484" PartId="f125f03b18b04043b87e430b30cce306">
    <Part Type="punktas" Nr="1" Abbr="1 p." DocPartId="26e543c77ed14fac9366364d009c9dd4" PartId="13129a2ad7df45f3afc45ce162f58e0c"/>
    <Part Type="punktas" Nr="2" Abbr="2 p." DocPartId="2be5aa19acc744778f9dc00c3ecfcc3a" PartId="891acdfc947a44458448e348391c5448"/>
    <Part Type="punktas" Nr="3" Abbr="3 p." DocPartId="00d3dccd75624c9f8a3e82c8b4b5423b" PartId="545adb87aca940529eab9b9638c0abfb"/>
    <Part Type="punktas" Nr="4" Abbr="4 p." DocPartId="e9a7ae83437c46ed97e706985047d5cc" PartId="254e9d2021b4402fa6411fd08dc02210"/>
    <Part Type="punktas" Nr="5" Abbr="5 p." DocPartId="95cdb78bebcd40adb265cb6872948549" PartId="3f648638526846bf8fb72564856f9270"/>
    <Part Type="pabaiga" DocPartId="3cf51d5507464654abed067f750a87e7" PartId="6a9cc8689a834f5f8654a7a4f902abdb"/>
  </Part>
</Parts>
</file>

<file path=customXml/itemProps1.xml><?xml version="1.0" encoding="utf-8"?>
<ds:datastoreItem xmlns:ds="http://schemas.openxmlformats.org/officeDocument/2006/customXml" ds:itemID="{04FD9934-5DD4-41F4-BAC9-771EC4C30D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583</Words>
  <Characters>3871</Characters>
  <Application>Microsoft Office Word</Application>
  <DocSecurity>4</DocSecurity>
  <Lines>75</Lines>
  <Paragraphs>33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2023-03-28T10:51:00Z</dcterms:created>
  <dc:creator>Nomeda Padvaiskaitė</dc:creator>
  <lastModifiedBy>adlibuser</lastModifiedBy>
  <lastPrinted>2022-12-08T15:04:00Z</lastPrinted>
  <dcterms:modified xsi:type="dcterms:W3CDTF">2023-03-28T10:51:00Z</dcterms:modified>
  <revision>2</revision>
</coreProperties>
</file>