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8928d6751d1b4f3d8c336583295c56f3"/>
        <w:lock w:val="sdtLocked"/>
        <w:richText/>
      </w:sdtPr>
      <w:sdtContent>
        <w:tbl>
          <w:tblPr>
            <w:tblW w:w="0" w:type="auto"/>
            <w:tblLook w:val="0000" w:firstRow="0" w:lastRow="0" w:firstColumn="0" w:lastColumn="0" w:noHBand="0" w:noVBand="0"/>
          </w:tblPr>
          <w:tblGrid>
            <w:gridCol w:w="4819"/>
            <w:gridCol w:w="4819"/>
          </w:tblGrid>
          <w:tr>
            <w:trPr>
              <w:cantSplit/>
              <w:trHeight w:val="1079"/>
            </w:trPr>
            <w:tc>
              <w:tcPr>
                <w:tcW w:w="9640" w:type="dxa"/>
                <w:gridSpan w:val="2"/>
              </w:tcPr>
              <w:p>
                <w:pPr>
                  <w:jc w:val="center"/>
                  <w:rPr>
                    <w:szCs w:val="24"/>
                  </w:rPr>
                </w:pPr>
                <w:r>
                  <w:rPr>
                    <w:szCs w:val="24"/>
                  </w:rPr>
                  <w:object w:dxaOrig="706" w:dyaOrig="796" w14:anchorId="41BECF5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75pt;height:45pt" o:ole="" fillcolor="window">
                      <v:imagedata r:id="rId7" o:title=""/>
                    </v:shape>
                    <o:OLEObject Type="Embed" ProgID="Word.Picture.8" ShapeID="_x0000_i1025" DrawAspect="Content" ObjectID="_1726060345" r:id="rId8"/>
                  </w:object>
                </w:r>
              </w:p>
            </w:tc>
          </w:tr>
          <w:tr>
            <w:trPr>
              <w:cantSplit/>
              <w:trHeight w:val="397"/>
            </w:trPr>
            <w:tc>
              <w:tcPr>
                <w:tcW w:w="9640" w:type="dxa"/>
                <w:gridSpan w:val="2"/>
              </w:tcPr>
              <w:p>
                <w:pPr>
                  <w:keepNext/>
                  <w:jc w:val="center"/>
                  <w:rPr>
                    <w:b/>
                    <w:bCs/>
                    <w:sz w:val="28"/>
                    <w:szCs w:val="24"/>
                  </w:rPr>
                </w:pPr>
                <w:r>
                  <w:rPr>
                    <w:b/>
                    <w:bCs/>
                    <w:sz w:val="28"/>
                    <w:szCs w:val="24"/>
                  </w:rPr>
                  <w:t>LIETUVOS RESPUBLIKOS KULTŪROS MINISTERIJA</w:t>
                </w:r>
              </w:p>
            </w:tc>
          </w:tr>
          <w:tr>
            <w:trPr>
              <w:cantSplit/>
              <w:trHeight w:val="312"/>
            </w:trPr>
            <w:tc>
              <w:tcPr>
                <w:tcW w:w="9640" w:type="dxa"/>
                <w:gridSpan w:val="2"/>
                <w:tcBorders>
                  <w:bottom w:val="single" w:sz="4" w:space="0" w:color="auto"/>
                </w:tcBorders>
              </w:tcPr>
              <w:p>
                <w:pPr>
                  <w:jc w:val="center"/>
                  <w:rPr>
                    <w:sz w:val="16"/>
                    <w:szCs w:val="16"/>
                  </w:rPr>
                </w:pPr>
                <w:r>
                  <w:rPr>
                    <w:sz w:val="16"/>
                    <w:szCs w:val="16"/>
                  </w:rPr>
                  <w:t>Biudžetinė įstaiga, J. Basanavičiaus g. 5, LT-01118 Vilnius, tel. (8 5) 219 3400, el. p. dmm@lrkm.lt.</w:t>
                </w:r>
              </w:p>
              <w:p>
                <w:pPr>
                  <w:jc w:val="center"/>
                  <w:rPr>
                    <w:b/>
                    <w:bCs/>
                    <w:sz w:val="18"/>
                    <w:szCs w:val="24"/>
                  </w:rPr>
                </w:pPr>
                <w:r>
                  <w:rPr>
                    <w:sz w:val="16"/>
                    <w:szCs w:val="16"/>
                  </w:rPr>
                  <w:t>Duomenys kaupiami ir saugomi Juridinių asmenų registre, kodas 188683671</w:t>
                </w:r>
              </w:p>
            </w:tc>
          </w:tr>
          <w:tr>
            <w:trPr>
              <w:cantSplit/>
              <w:trHeight w:val="328"/>
            </w:trPr>
            <w:tc>
              <w:tcPr>
                <w:tcW w:w="9640" w:type="dxa"/>
                <w:gridSpan w:val="2"/>
                <w:tcBorders>
                  <w:top w:val="single" w:sz="4" w:space="0" w:color="auto"/>
                </w:tcBorders>
              </w:tcPr>
              <w:p>
                <w:pPr>
                  <w:jc w:val="center"/>
                  <w:rPr>
                    <w:b/>
                    <w:bCs/>
                    <w:szCs w:val="24"/>
                  </w:rPr>
                </w:pPr>
              </w:p>
            </w:tc>
          </w:tr>
          <w:tr>
            <w:trPr>
              <w:cantSplit/>
            </w:trPr>
            <w:tc>
              <w:tcPr>
                <w:tcW w:w="4820" w:type="dxa"/>
              </w:tcPr>
              <w:p>
                <w:pPr>
                  <w:tabs>
                    <w:tab w:val="left" w:pos="619"/>
                  </w:tabs>
                  <w:suppressAutoHyphens/>
                  <w:rPr>
                    <w:szCs w:val="24"/>
                  </w:rPr>
                </w:pPr>
                <w:r>
                  <w:rPr>
                    <w:szCs w:val="24"/>
                  </w:rPr>
                  <w:t xml:space="preserve">Lietuvos Respublikos Vyriausybei  </w:t>
                </w:r>
              </w:p>
              <w:p>
                <w:pPr>
                  <w:rPr>
                    <w:b/>
                    <w:bCs/>
                    <w:szCs w:val="24"/>
                  </w:rPr>
                </w:pPr>
              </w:p>
              <w:p>
                <w:pPr>
                  <w:rPr>
                    <w:b/>
                    <w:bCs/>
                    <w:szCs w:val="24"/>
                  </w:rPr>
                </w:pPr>
              </w:p>
            </w:tc>
            <w:tc>
              <w:tcPr>
                <w:tcW w:w="4820" w:type="dxa"/>
              </w:tcPr>
              <w:p>
                <w:pPr>
                  <w:tabs>
                    <w:tab w:val="left" w:pos="198"/>
                    <w:tab w:val="left" w:pos="2126"/>
                    <w:tab w:val="left" w:pos="2977"/>
                  </w:tabs>
                  <w:ind w:firstLine="682"/>
                  <w:rPr>
                    <w:szCs w:val="24"/>
                  </w:rPr>
                </w:pPr>
                <w:r>
                  <w:rPr>
                    <w:szCs w:val="24"/>
                  </w:rPr>
                  <w:t xml:space="preserve">2022-00-00    Nr.      </w:t>
                </w:r>
              </w:p>
              <w:p>
                <w:pPr>
                  <w:ind w:firstLine="496"/>
                  <w:rPr>
                    <w:b/>
                    <w:bCs/>
                    <w:szCs w:val="24"/>
                  </w:rPr>
                </w:pPr>
              </w:p>
            </w:tc>
          </w:tr>
          <w:tr>
            <w:trPr>
              <w:cantSplit/>
            </w:trPr>
            <w:tc>
              <w:tcPr>
                <w:tcW w:w="4820" w:type="dxa"/>
              </w:tcPr>
              <w:p>
                <w:pPr>
                  <w:tabs>
                    <w:tab w:val="left" w:pos="619"/>
                  </w:tabs>
                  <w:suppressAutoHyphens/>
                  <w:rPr>
                    <w:szCs w:val="24"/>
                  </w:rPr>
                </w:pPr>
              </w:p>
            </w:tc>
            <w:tc>
              <w:tcPr>
                <w:tcW w:w="4820" w:type="dxa"/>
              </w:tcPr>
              <w:p>
                <w:pPr>
                  <w:tabs>
                    <w:tab w:val="left" w:pos="198"/>
                    <w:tab w:val="left" w:pos="2126"/>
                    <w:tab w:val="left" w:pos="2977"/>
                  </w:tabs>
                  <w:rPr>
                    <w:szCs w:val="24"/>
                  </w:rPr>
                </w:pPr>
              </w:p>
            </w:tc>
          </w:tr>
          <w:tr>
            <w:trPr>
              <w:cantSplit/>
            </w:trPr>
            <w:tc>
              <w:tcPr>
                <w:tcW w:w="9640" w:type="dxa"/>
                <w:gridSpan w:val="2"/>
              </w:tcPr>
              <w:p>
                <w:pPr>
                  <w:tabs>
                    <w:tab w:val="left" w:pos="619"/>
                  </w:tabs>
                  <w:jc w:val="both"/>
                  <w:rPr>
                    <w:b/>
                    <w:caps/>
                    <w:szCs w:val="24"/>
                  </w:rPr>
                </w:pPr>
                <w:r>
                  <w:rPr>
                    <w:b/>
                    <w:caps/>
                    <w:szCs w:val="24"/>
                  </w:rPr>
                  <w:t>DĖL PATIKSLINTO LIETUVOS RESPUBLIKOS KULTŪROS CENTRŲ ĮSTATYMO NR. IX-2395 PAKEITIMO ĮSTATYMO PROJEKTO</w:t>
                </w:r>
              </w:p>
              <w:p>
                <w:pPr>
                  <w:rPr>
                    <w:b/>
                    <w:bCs/>
                    <w:szCs w:val="24"/>
                  </w:rPr>
                </w:pPr>
              </w:p>
              <w:p>
                <w:pPr>
                  <w:rPr>
                    <w:b/>
                    <w:bCs/>
                    <w:szCs w:val="24"/>
                  </w:rPr>
                </w:pPr>
              </w:p>
            </w:tc>
          </w:tr>
        </w:tbl>
        <w:p>
          <w:pPr>
            <w:rPr>
              <w:szCs w:val="24"/>
            </w:rPr>
            <w:sectPr>
              <w:footerReference w:type="default" r:id="rId9"/>
              <w:type w:val="continuous"/>
              <w:pgSz w:w="11906" w:h="16838" w:code="9"/>
              <w:pgMar w:top="1134" w:right="567" w:bottom="1134" w:left="1701" w:header="709" w:footer="665" w:gutter="0"/>
              <w:cols w:space="708"/>
              <w:docGrid w:linePitch="360"/>
            </w:sectPr>
          </w:pPr>
        </w:p>
      </w:sdtContent>
    </w:sdt>
    <w:sdt>
      <w:sdtPr>
        <w:alias w:val="pastraipa"/>
        <w:tag w:val="part_ae2df7dbfc0b4f2792a1a06b86e87431"/>
        <w:lock w:val="sdtLocked"/>
        <w:richText/>
      </w:sdtPr>
      <w:sdtContent>
        <w:p>
          <w:pPr>
            <w:spacing w:line="276" w:lineRule="auto"/>
            <w:ind w:firstLine="567"/>
            <w:jc w:val="both"/>
            <w:rPr>
              <w:szCs w:val="24"/>
            </w:rPr>
          </w:pPr>
          <w:r>
            <w:rPr>
              <w:szCs w:val="24"/>
            </w:rPr>
            <w:t>Lietuvos Respublikos kultūros ministerija, įvertinusi 2022 m. rugsėjo 20 d. vykusio Tarpinstitucinio pasitarimo metu pateiktas pastabas ir pasiūlymus,</w:t>
          </w:r>
          <w:r>
            <w:rPr>
              <w:color w:val="FF0000"/>
              <w:szCs w:val="24"/>
            </w:rPr>
            <w:t xml:space="preserve"> </w:t>
          </w:r>
          <w:r>
            <w:rPr>
              <w:szCs w:val="24"/>
            </w:rPr>
            <w:t xml:space="preserve">teikia patikslintą Lietuvos Respublikos kultūros centrų įstatymo </w:t>
          </w:r>
          <w:r>
            <w:rPr>
              <w:bCs/>
              <w:szCs w:val="24"/>
            </w:rPr>
            <w:t xml:space="preserve">NR. IX-2395 </w:t>
          </w:r>
          <w:r>
            <w:rPr>
              <w:szCs w:val="24"/>
            </w:rPr>
            <w:t>pakeitimo įstatymo projektą (toliau – Įstatymo projektas).</w:t>
          </w:r>
        </w:p>
      </w:sdtContent>
    </w:sdt>
    <w:sdt>
      <w:sdtPr>
        <w:alias w:val="pastraipa"/>
        <w:tag w:val="part_3794b949139241a2833d483c91514ab2"/>
        <w:lock w:val="sdtLocked"/>
        <w:richText/>
      </w:sdtPr>
      <w:sdtContent>
        <w:p>
          <w:pPr>
            <w:ind w:firstLine="567"/>
            <w:jc w:val="both"/>
            <w:rPr>
              <w:szCs w:val="24"/>
            </w:rPr>
          </w:pPr>
          <w:r>
            <w:rPr>
              <w:bCs/>
              <w:szCs w:val="24"/>
            </w:rPr>
            <w:t>Įstatymo projektu siekiama</w:t>
          </w:r>
          <w:r>
            <w:rPr>
              <w:szCs w:val="24"/>
              <w:lang w:eastAsia="lt-LT"/>
            </w:rPr>
            <w:t xml:space="preserve"> išsamiau reglamentuoti </w:t>
          </w:r>
          <w:r>
            <w:rPr>
              <w:szCs w:val="24"/>
            </w:rPr>
            <w:t>kultūros centrų sistemą, kultūros centrų teisinį statusą, tinklą, valdymą, veiklą, finansavimą, kultūros centrų veiklos valstybinio valdymo reguliavimą, vadovų darbo santykius bei kitus, su kultūros centrų veikla susijusius, santykius.</w:t>
          </w:r>
        </w:p>
      </w:sdtContent>
    </w:sdt>
    <w:sdt>
      <w:sdtPr>
        <w:alias w:val="pastraipa"/>
        <w:tag w:val="part_b53783793665438896ec78b25ba5dad7"/>
        <w:lock w:val="sdtLocked"/>
        <w:richText/>
      </w:sdtPr>
      <w:sdtContent>
        <w:p>
          <w:pPr>
            <w:ind w:firstLine="567"/>
            <w:jc w:val="both"/>
            <w:rPr>
              <w:szCs w:val="24"/>
            </w:rPr>
          </w:pPr>
          <w:r>
            <w:rPr>
              <w:szCs w:val="24"/>
            </w:rPr>
            <w:t>Neigiamų pasekmių nenumatoma. Įstatymo projektui įgyvendinti papildomų valstybės biudžeto lėšų nereikės.</w:t>
          </w:r>
        </w:p>
      </w:sdtContent>
    </w:sdt>
    <w:sdt>
      <w:sdtPr>
        <w:alias w:val="pastraipa"/>
        <w:tag w:val="part_e43ddaa158b04dd3b367b6f3ee24b441"/>
        <w:lock w:val="sdtLocked"/>
        <w:richText/>
      </w:sdtPr>
      <w:sdtContent>
        <w:p>
          <w:pPr>
            <w:suppressAutoHyphens/>
            <w:ind w:right="-1" w:firstLine="567"/>
            <w:jc w:val="both"/>
            <w:rPr>
              <w:rFonts w:eastAsia="Calibri"/>
              <w:bCs/>
              <w:szCs w:val="24"/>
              <w:lang w:eastAsia="lt-LT"/>
            </w:rPr>
          </w:pPr>
          <w:r>
            <w:rPr>
              <w:rFonts w:eastAsia="Calibri"/>
              <w:bCs/>
              <w:szCs w:val="24"/>
              <w:lang w:eastAsia="lt-LT"/>
            </w:rPr>
            <w:t>Įstatymo projektas neprieštarauja Europos Sąjungos teisei, nėra perkeliami ir (ar) įgyvendinami Europos Sąjungos teisės aktai.</w:t>
          </w:r>
        </w:p>
      </w:sdtContent>
    </w:sdt>
    <w:sdt>
      <w:sdtPr>
        <w:alias w:val="pastraipa"/>
        <w:tag w:val="part_4a6301beee3b4e2290beabfb6bbc104d"/>
        <w:lock w:val="sdtLocked"/>
        <w:richText/>
      </w:sdtPr>
      <w:sdtContent>
        <w:p>
          <w:pPr>
            <w:tabs>
              <w:tab w:val="left" w:pos="567"/>
              <w:tab w:val="left" w:pos="851"/>
              <w:tab w:val="center" w:pos="4153"/>
              <w:tab w:val="right" w:pos="8306"/>
            </w:tabs>
            <w:ind w:firstLine="567"/>
            <w:jc w:val="both"/>
          </w:pPr>
          <w:r>
            <w:rPr>
              <w:szCs w:val="24"/>
              <w:lang w:eastAsia="lt-LT"/>
            </w:rPr>
            <w:t>Įstatymo projektas nenotifikuotinas Europos Komisijai</w:t>
          </w:r>
          <w:r>
            <w:rPr>
              <w:bCs/>
            </w:rPr>
            <w:t xml:space="preserve"> pagal Lietuvos Respublikos Vyriausybės 1999 m. gegužės 20 d. nutarimo Nr. 617 „Dėl Informacijos apie techninius reglamentus ir atitikties įvertinimo procedūras taisyklių patvirtinimo“ reikalavimus.</w:t>
          </w:r>
        </w:p>
      </w:sdtContent>
    </w:sdt>
    <w:sdt>
      <w:sdtPr>
        <w:alias w:val="pastraipa"/>
        <w:tag w:val="part_3d20425712104c3292afaaeed3e84ab2"/>
        <w:lock w:val="sdtLocked"/>
        <w:richText/>
      </w:sdtPr>
      <w:sdtContent>
        <w:p>
          <w:pPr>
            <w:tabs>
              <w:tab w:val="left" w:pos="567"/>
              <w:tab w:val="left" w:pos="851"/>
              <w:tab w:val="center" w:pos="4153"/>
              <w:tab w:val="right" w:pos="8306"/>
            </w:tabs>
            <w:ind w:firstLine="567"/>
            <w:jc w:val="both"/>
            <w:rPr>
              <w:szCs w:val="24"/>
            </w:rPr>
          </w:pPr>
          <w:r>
            <w:rPr>
              <w:szCs w:val="24"/>
            </w:rPr>
            <w:t>Vadovaujantis Lietuvos Respublikos teisėkūros pagrindų įstatymo 15 straipsnio 1 dalimi ir Numatomo teisinio reguliavimo poveikio vertinimo metodikos, patvirtintos Vyriausybės 2003 m. vasario 26 d. nutarimo Nr. 276 „Dėl Numatomo teisinio reguliavimo poveikio vertinimo metodikos patvirtinimo“, 4 punktu, Įstatymo projekto numatomo teisinio reguliavimo poveikio vertinimas neatliekamas.</w:t>
          </w:r>
        </w:p>
      </w:sdtContent>
    </w:sdt>
    <w:sdt>
      <w:sdtPr>
        <w:alias w:val="pastraipa"/>
        <w:tag w:val="part_59dcc14971024cc3a987eb4a98a66468"/>
        <w:lock w:val="sdtLocked"/>
        <w:richText/>
      </w:sdtPr>
      <w:sdtContent>
        <w:p>
          <w:pPr>
            <w:tabs>
              <w:tab w:val="left" w:pos="567"/>
              <w:tab w:val="left" w:pos="851"/>
              <w:tab w:val="center" w:pos="4153"/>
              <w:tab w:val="right" w:pos="8306"/>
            </w:tabs>
            <w:ind w:firstLine="567"/>
            <w:jc w:val="both"/>
            <w:rPr>
              <w:szCs w:val="24"/>
            </w:rPr>
          </w:pPr>
          <w:r>
            <w:rPr>
              <w:szCs w:val="24"/>
            </w:rPr>
            <w:t>Konkrečios Įstatymo projekte siūlomos nustatyti teisinio reguliavimo priemonės apibūdinamos ir jas pagrindžiantys argumentai nurodyti kartu su Įstatymo projektu pateiktame Įstatymo projekto aiškinamajame rašte.</w:t>
          </w:r>
        </w:p>
      </w:sdtContent>
    </w:sdt>
    <w:sdt>
      <w:sdtPr>
        <w:alias w:val="pastraipa"/>
        <w:tag w:val="part_0ae54a6771164c5c99ed45e1a4d597c8"/>
        <w:lock w:val="sdtLocked"/>
        <w:richText/>
      </w:sdtPr>
      <w:sdtContent>
        <w:p>
          <w:pPr>
            <w:ind w:firstLine="567"/>
            <w:jc w:val="both"/>
            <w:rPr>
              <w:szCs w:val="24"/>
              <w:shd w:val="clear" w:color="auto" w:fill="FFFFFF"/>
            </w:rPr>
          </w:pPr>
          <w:r>
            <w:rPr>
              <w:szCs w:val="24"/>
              <w:lang w:eastAsia="lt-LT"/>
            </w:rPr>
            <w:t xml:space="preserve">Įstatymo projektas Kultūros ministerijos 2022 m. vasario 10 d. raštu Nr. S2-300 buvo teiktas derinimui suinteresuotoms institucijoms – Lietuvos Respublikos </w:t>
          </w:r>
          <w:r>
            <w:rPr>
              <w:szCs w:val="24"/>
            </w:rPr>
            <w:t xml:space="preserve">ekonomikos ir inovacijų ministerijai, </w:t>
          </w:r>
          <w:r>
            <w:rPr>
              <w:szCs w:val="24"/>
              <w:lang w:eastAsia="lt-LT"/>
            </w:rPr>
            <w:t xml:space="preserve">Lietuvos Respublikos finansų ministerijai, </w:t>
          </w:r>
          <w:r>
            <w:rPr>
              <w:szCs w:val="24"/>
            </w:rPr>
            <w:t xml:space="preserve">Lietuvos Respublikos socialinės apsaugos ir darbo ministerijai, Lietuvos Respublikos švietimo, mokslo ir sporto ministerijai, Lietuvos Respublikos teisingumo ministerijai, Lietuvos Respublikos užsienio reikalų ministerijai, Lietuvos Respublikos vidaus reikalų ministerijai, Lietuvos nacionaliniam kultūros centrui, Lietuvos savivaldybių asociacijai, Lietuvos kultūros centrų asociacijai, asociacijai „Kultūros savivaldos kolegija“, </w:t>
          </w:r>
          <w:r>
            <w:rPr>
              <w:szCs w:val="24"/>
              <w:shd w:val="clear" w:color="auto" w:fill="FFFFFF"/>
            </w:rPr>
            <w:t xml:space="preserve">asociacijai „Nacionalinė kūrybinių ir kultūrinių industrijų asociacija“. </w:t>
          </w:r>
          <w:r>
            <w:rPr>
              <w:szCs w:val="24"/>
              <w:lang w:eastAsia="lt-LT"/>
            </w:rPr>
            <w:t>E</w:t>
          </w:r>
          <w:r>
            <w:rPr>
              <w:szCs w:val="24"/>
            </w:rPr>
            <w:t>konomikos ir inovacijų ministerija ir U</w:t>
          </w:r>
          <w:r>
            <w:rPr>
              <w:szCs w:val="24"/>
              <w:shd w:val="clear" w:color="auto" w:fill="FFFFFF"/>
            </w:rPr>
            <w:t>žsienio reikalų ministerija pastabų Įstatymo projektui nepateikė. Papildomai Įstatymo projektas derintas su Kultūros centrų taryba, veikiančia prie Kultūros ministerijos, taip pat gautos pastabos iš Etninės kultūros globos tarybos.</w:t>
          </w:r>
          <w:r>
            <w:rPr>
              <w:szCs w:val="24"/>
            </w:rPr>
            <w:t xml:space="preserve"> </w:t>
          </w:r>
        </w:p>
      </w:sdtContent>
    </w:sdt>
    <w:sdt>
      <w:sdtPr>
        <w:alias w:val="pastraipa"/>
        <w:tag w:val="part_2ee6a62fd30442ce8437a8ee24c7acc1"/>
        <w:lock w:val="sdtLocked"/>
        <w:richText/>
      </w:sdtPr>
      <w:sdtContent>
        <w:p>
          <w:pPr>
            <w:ind w:firstLine="567"/>
            <w:jc w:val="both"/>
            <w:rPr>
              <w:rFonts w:ascii="Segoe UI" w:hAnsi="Segoe UI" w:cs="Segoe UI"/>
              <w:sz w:val="18"/>
              <w:szCs w:val="18"/>
            </w:rPr>
          </w:pPr>
          <w:r>
            <w:rPr>
              <w:szCs w:val="24"/>
            </w:rPr>
            <w:t>Po 2022 m. rugsėjo 20 d. vykusio Tarpinstitucinio pasitarimo Įstatymo projekte patikslintos savivaldybių ir kitų kultūros centrų apibrėžtys, Lietuvos nacionalinio kultūros centro, savivaldybių ir kitų kultūros centrų funkcijų formuluotės, kultūros centrų darbuotojų darbo santykių reglamentavimo ypatumai, kultūros centrų finansavimo reglamentavimas, Kultūros ministerijos ir savivaldybių institucijų kompetencijos kultūros centrų veiklos valdymo srityje, pastarąsias derinant su naujos redakcijos Lietuvos Respublikos vietos savivaldos įstatymo nuostatomis. Taip pat dėl šios priežasties Įstatymo projekto įsigaliojimo datą siūloma nukelti į 2023 m. balandžio 1 d. Šie pakeitimai darbo tvarka suderinti su Finansų ministerija, Socialinės apsaugos ir darbo ministerija, Švietimo, mokslo ir sporto ministerija, Teisingumo ministerija, Vidaus reikalų ministerija, Lietuvos savivaldybių asociacija, Lietuvos nacionaliniu kultūros centru, Lietuvos kultūros centrų asociacija, Lietuvos Respublikos Vyriausybės kanceliarijos Teisės grupe.</w:t>
          </w:r>
        </w:p>
      </w:sdtContent>
    </w:sdt>
    <w:sdt>
      <w:sdtPr>
        <w:alias w:val="pastraipa"/>
        <w:tag w:val="part_ff3e25a20a3540a5a9c57e38376e2c43"/>
        <w:lock w:val="sdtLocked"/>
        <w:richText/>
      </w:sdtPr>
      <w:sdtContent>
        <w:p>
          <w:pPr>
            <w:ind w:firstLine="567"/>
            <w:jc w:val="both"/>
            <w:rPr>
              <w:szCs w:val="24"/>
            </w:rPr>
          </w:pPr>
          <w:r>
            <w:rPr>
              <w:szCs w:val="24"/>
            </w:rPr>
            <w:t>Su visuomene buvo konsultuotasi Įstatymo</w:t>
          </w:r>
          <w:r>
            <w:rPr>
              <w:szCs w:val="24"/>
              <w:lang w:eastAsia="lt-LT"/>
            </w:rPr>
            <w:t xml:space="preserve"> projektą paskelbus Lietuvos Respublikos Seimo teisės aktų informacinės sistemos Projektų registravimo posistemyje. </w:t>
          </w:r>
          <w:r>
            <w:rPr>
              <w:szCs w:val="24"/>
            </w:rPr>
            <w:t>Visuomenė pastabų Įstatymo projektui nepateikė.</w:t>
          </w:r>
        </w:p>
      </w:sdtContent>
    </w:sdt>
    <w:sdt>
      <w:sdtPr>
        <w:alias w:val="pastraipa"/>
        <w:tag w:val="part_8618c703ec354212aacdfe40192fe4f4"/>
        <w:lock w:val="sdtLocked"/>
        <w:richText/>
      </w:sdtPr>
      <w:sdtContent>
        <w:p>
          <w:pPr>
            <w:tabs>
              <w:tab w:val="left" w:pos="567"/>
              <w:tab w:val="center" w:pos="4153"/>
              <w:tab w:val="right" w:pos="8306"/>
            </w:tabs>
            <w:ind w:firstLine="567"/>
            <w:jc w:val="both"/>
          </w:pPr>
          <w:r>
            <w:rPr>
              <w:szCs w:val="24"/>
              <w:lang w:eastAsia="lt-LT"/>
            </w:rPr>
            <w:tab/>
          </w:r>
          <w:r>
            <w:rPr>
              <w:szCs w:val="24"/>
            </w:rPr>
            <w:t xml:space="preserve">Įstatymo projektas parengtas laikantis Lietuvos Respublikos valstybinės kalbos įstatymo, Lietuvos Respublikos teisėkūros pagrindų įstatymo reikalavimų ir atitinka bendrinės lietuvių kalbos normas, patikslinti terminai yra derinami Lietuvos Respublikos </w:t>
          </w:r>
          <w:r>
            <w:rPr>
              <w:lang w:eastAsia="lt-LT"/>
            </w:rPr>
            <w:t xml:space="preserve">terminų banko įstatymo </w:t>
          </w:r>
          <w:r>
            <w:t>ir jo įgyvendinamųjų teisės aktų nustatyta tvarka.</w:t>
          </w:r>
        </w:p>
      </w:sdtContent>
    </w:sdt>
    <w:sdt>
      <w:sdtPr>
        <w:alias w:val="pastraipa"/>
        <w:tag w:val="part_474f2dcad6c548a99e1f7de1a0d2423c"/>
        <w:lock w:val="sdtLocked"/>
        <w:richText/>
      </w:sdtPr>
      <w:sdtContent>
        <w:p>
          <w:pPr>
            <w:ind w:firstLine="567"/>
            <w:jc w:val="both"/>
            <w:rPr>
              <w:szCs w:val="24"/>
            </w:rPr>
          </w:pPr>
          <w:r>
            <w:rPr>
              <w:szCs w:val="24"/>
            </w:rPr>
            <w:t xml:space="preserve">Įstatymo projekto lyginamasis variantas nerengiamas, nes Įstatymo projektas dėstomas nauja redakcija. </w:t>
          </w:r>
        </w:p>
      </w:sdtContent>
    </w:sdt>
    <w:sdt>
      <w:sdtPr>
        <w:alias w:val="pastraipa"/>
        <w:tag w:val="part_e0f29202ed324aeb8423118f25cd92ce"/>
        <w:lock w:val="sdtLocked"/>
        <w:richText/>
      </w:sdtPr>
      <w:sdtContent>
        <w:p>
          <w:pPr>
            <w:ind w:firstLine="567"/>
            <w:jc w:val="both"/>
            <w:rPr>
              <w:szCs w:val="24"/>
            </w:rPr>
          </w:pPr>
          <w:r>
            <w:rPr>
              <w:szCs w:val="24"/>
            </w:rPr>
            <w:t>Įstatymo projektą parengė Darbo grupė Lietuvos Respublikos kultūros centrų įstatymo pakeitimo projektui parengti, sudaryta Lietuvos Respublikos kultūros ministro 2021 m. kovo 3 d. įsakymu Nr. ĮV-299 „Dėl Darbo grupės Lietuvos Respublikos kultūros centrų įstatymo pakeitimo projektui parengti sudarymo“.</w:t>
          </w:r>
          <w:r>
            <w:rPr>
              <w:caps/>
              <w:szCs w:val="24"/>
            </w:rPr>
            <w:t xml:space="preserve"> </w:t>
          </w:r>
          <w:r>
            <w:rPr>
              <w:szCs w:val="24"/>
              <w:lang w:eastAsia="lt-LT"/>
            </w:rPr>
            <w:t xml:space="preserve">Darbo grupės vadovas – kultūros viceministras Albinas Vilčinskas. Įstatymo projektą apibendrino Kultūros ministerijos Kultūrinės edukacijos politikos grupės (vadovė Iveta Ieva Gedvilaitė-Puodžiūnienė, tel. +370 608 45 641, el. p. </w:t>
          </w:r>
          <w:r>
            <w:rPr>
              <w:szCs w:val="24"/>
              <w:lang w:eastAsia="lt-LT"/>
            </w:rPr>
            <w:t>iveta.puodžiuniene@lrkm.lt</w:t>
          </w:r>
          <w:r>
            <w:rPr>
              <w:szCs w:val="24"/>
              <w:lang w:eastAsia="lt-LT"/>
            </w:rPr>
            <w:t xml:space="preserve">) patarėja Birutė Kazlauskienė, tel. +370 608 45 631, el. p. </w:t>
          </w:r>
          <w:r>
            <w:rPr>
              <w:szCs w:val="24"/>
            </w:rPr>
            <w:t>birute.kazlauskiene@lrkm.lt</w:t>
          </w:r>
          <w:r>
            <w:rPr>
              <w:szCs w:val="24"/>
            </w:rPr>
            <w:t xml:space="preserve">. </w:t>
          </w:r>
        </w:p>
      </w:sdtContent>
    </w:sdt>
    <w:sdt>
      <w:sdtPr>
        <w:alias w:val="pastraipa"/>
        <w:tag w:val="part_4b35a93789da4c0ea39527075098d011"/>
        <w:lock w:val="sdtLocked"/>
        <w:richText/>
      </w:sdtPr>
      <w:sdtContent>
        <w:p>
          <w:pPr>
            <w:tabs>
              <w:tab w:val="center" w:pos="4153"/>
              <w:tab w:val="right" w:pos="8306"/>
            </w:tabs>
            <w:ind w:firstLine="567"/>
            <w:jc w:val="both"/>
          </w:pPr>
          <w:r>
            <w:rPr>
              <w:szCs w:val="24"/>
            </w:rPr>
            <w:t xml:space="preserve">PRIDEDAMA: </w:t>
          </w:r>
        </w:p>
        <w:sdt>
          <w:sdtPr>
            <w:alias w:val="1 p."/>
            <w:tag w:val="part_77fbd8ddfbae412aaea4350b52ac4823"/>
            <w:lock w:val="sdtLocked"/>
            <w:richText/>
          </w:sdtPr>
          <w:sdtContent>
            <w:p>
              <w:pPr>
                <w:tabs>
                  <w:tab w:val="left" w:pos="709"/>
                </w:tabs>
                <w:ind w:firstLine="567"/>
                <w:jc w:val="both"/>
              </w:pPr>
              <w:sdt>
                <w:sdtPr>
                  <w:alias w:val="Numeris"/>
                  <w:tag w:val="nr_77fbd8ddfbae412aaea4350b52ac4823"/>
                  <w:lock w:val="sdtLocked"/>
                  <w:richText/>
                </w:sdtPr>
                <w:sdtContent>
                  <w:r>
                    <w:t>1</w:t>
                  </w:r>
                </w:sdtContent>
              </w:sdt>
              <w:r>
                <w:t xml:space="preserve">. Lietuvos Respublikos kultūros centrų įstatymo </w:t>
              </w:r>
              <w:r>
                <w:rPr>
                  <w:bCs/>
                </w:rPr>
                <w:t>NR. IX-2395</w:t>
              </w:r>
              <w:r>
                <w:rPr>
                  <w:b/>
                </w:rPr>
                <w:t xml:space="preserve"> </w:t>
              </w:r>
              <w:r>
                <w:t>pakeitimo įstatymo projektas</w:t>
              </w:r>
              <w:r>
                <w:rPr>
                  <w:szCs w:val="24"/>
                </w:rPr>
                <w:t>, 9 lapai.</w:t>
              </w:r>
            </w:p>
          </w:sdtContent>
        </w:sdt>
        <w:sdt>
          <w:sdtPr>
            <w:alias w:val="2 p."/>
            <w:tag w:val="part_3f36ff8458844d32b3addcd8b7499aad"/>
            <w:lock w:val="sdtLocked"/>
            <w:richText/>
          </w:sdtPr>
          <w:sdtContent>
            <w:p>
              <w:pPr>
                <w:tabs>
                  <w:tab w:val="left" w:pos="0"/>
                  <w:tab w:val="left" w:pos="709"/>
                </w:tabs>
                <w:ind w:firstLine="567"/>
                <w:jc w:val="both"/>
                <w:rPr>
                  <w:szCs w:val="24"/>
                </w:rPr>
              </w:pPr>
              <w:sdt>
                <w:sdtPr>
                  <w:alias w:val="Numeris"/>
                  <w:tag w:val="nr_3f36ff8458844d32b3addcd8b7499aad"/>
                  <w:lock w:val="sdtLocked"/>
                  <w:richText/>
                </w:sdtPr>
                <w:sdtContent>
                  <w:r>
                    <w:rPr>
                      <w:bCs/>
                      <w:szCs w:val="24"/>
                      <w:lang w:eastAsia="lt-LT"/>
                    </w:rPr>
                    <w:t>2</w:t>
                  </w:r>
                </w:sdtContent>
              </w:sdt>
              <w:r>
                <w:rPr>
                  <w:bCs/>
                  <w:szCs w:val="24"/>
                  <w:lang w:eastAsia="lt-LT"/>
                </w:rPr>
                <w:t xml:space="preserve">. </w:t>
              </w:r>
              <w:r>
                <w:rPr>
                  <w:szCs w:val="24"/>
                </w:rPr>
                <w:t>Aiškinamasis raštas</w:t>
              </w:r>
              <w:r>
                <w:rPr>
                  <w:szCs w:val="24"/>
                  <w:lang w:eastAsia="lt-LT"/>
                </w:rPr>
                <w:t>, 8 lapai.</w:t>
              </w:r>
            </w:p>
          </w:sdtContent>
        </w:sdt>
        <w:sdt>
          <w:sdtPr>
            <w:alias w:val="3 p."/>
            <w:tag w:val="part_a7804ef0e8a9400d88faf471b51f263d"/>
            <w:lock w:val="sdtLocked"/>
            <w:richText/>
          </w:sdtPr>
          <w:sdtContent>
            <w:p>
              <w:pPr>
                <w:tabs>
                  <w:tab w:val="left" w:pos="709"/>
                  <w:tab w:val="right" w:pos="8306"/>
                </w:tabs>
                <w:ind w:firstLine="567"/>
                <w:jc w:val="both"/>
                <w:rPr>
                  <w:szCs w:val="24"/>
                  <w:lang w:eastAsia="lt-LT"/>
                </w:rPr>
              </w:pPr>
              <w:sdt>
                <w:sdtPr>
                  <w:alias w:val="Numeris"/>
                  <w:tag w:val="nr_a7804ef0e8a9400d88faf471b51f263d"/>
                  <w:lock w:val="sdtLocked"/>
                  <w:richText/>
                </w:sdtPr>
                <w:sdtContent>
                  <w:r>
                    <w:t>3</w:t>
                  </w:r>
                </w:sdtContent>
              </w:sdt>
              <w:r>
                <w:t xml:space="preserve">. Lietuvos Respublikos Vyriausybės nutarimo „Dėl Lietuvos Respublikos kultūros centrų įstatymo </w:t>
              </w:r>
              <w:r>
                <w:rPr>
                  <w:bCs/>
                </w:rPr>
                <w:t>NR. IX-2395</w:t>
              </w:r>
              <w:r>
                <w:t xml:space="preserve"> pakeitimo įstatymo</w:t>
              </w:r>
              <w:r>
                <w:rPr>
                  <w:rFonts w:eastAsia="MS Mincho"/>
                </w:rPr>
                <w:t xml:space="preserve"> pateikimo Lietuvos Respublikos Seimui“ projektas, 1 lapas.</w:t>
              </w:r>
              <w:r>
                <w:rPr>
                  <w:szCs w:val="24"/>
                  <w:lang w:eastAsia="lt-LT"/>
                </w:rPr>
                <w:t xml:space="preserve"> </w:t>
              </w:r>
            </w:p>
          </w:sdtContent>
        </w:sdt>
        <w:sdt>
          <w:sdtPr>
            <w:alias w:val="4 p."/>
            <w:tag w:val="part_ee896bf017a149059a50f8494b375939"/>
            <w:lock w:val="sdtLocked"/>
            <w:richText/>
          </w:sdtPr>
          <w:sdtContent>
            <w:p>
              <w:pPr>
                <w:ind w:firstLine="567"/>
                <w:rPr>
                  <w:bCs/>
                  <w:szCs w:val="24"/>
                  <w:lang w:eastAsia="lt-LT"/>
                </w:rPr>
              </w:pPr>
              <w:sdt>
                <w:sdtPr>
                  <w:alias w:val="Numeris"/>
                  <w:tag w:val="nr_ee896bf017a149059a50f8494b375939"/>
                  <w:lock w:val="sdtLocked"/>
                  <w:richText/>
                </w:sdtPr>
                <w:sdtContent>
                  <w:r>
                    <w:rPr>
                      <w:szCs w:val="24"/>
                      <w:lang w:eastAsia="lt-LT"/>
                    </w:rPr>
                    <w:t>4</w:t>
                  </w:r>
                </w:sdtContent>
              </w:sdt>
              <w:r>
                <w:rPr>
                  <w:szCs w:val="24"/>
                  <w:lang w:eastAsia="lt-LT"/>
                </w:rPr>
                <w:t xml:space="preserve">. </w:t>
              </w:r>
              <w:r>
                <w:rPr>
                  <w:bCs/>
                  <w:szCs w:val="24"/>
                  <w:lang w:eastAsia="lt-LT"/>
                </w:rPr>
                <w:t>Teisės akto projekto antikorupcinio vertinimo pažyma, 6 lapai.</w:t>
              </w:r>
            </w:p>
            <w:p>
              <w:pPr>
                <w:tabs>
                  <w:tab w:val="left" w:pos="709"/>
                  <w:tab w:val="right" w:pos="8306"/>
                </w:tabs>
                <w:ind w:firstLine="567"/>
                <w:jc w:val="both"/>
                <w:rPr>
                  <w:szCs w:val="24"/>
                  <w:lang w:eastAsia="lt-LT"/>
                </w:rPr>
              </w:pPr>
            </w:p>
            <w:tbl>
              <w:tblPr>
                <w:tblW w:w="0" w:type="auto"/>
                <w:tblLayout w:type="fixed"/>
                <w:tblCellMar>
                  <w:left w:w="0" w:type="dxa"/>
                  <w:right w:w="0" w:type="dxa"/>
                </w:tblCellMar>
                <w:tblLook w:val="0000" w:firstRow="0" w:lastRow="0" w:firstColumn="0" w:lastColumn="0" w:noHBand="0" w:noVBand="0"/>
              </w:tblPr>
              <w:tblGrid>
                <w:gridCol w:w="4680"/>
                <w:gridCol w:w="1620"/>
                <w:gridCol w:w="3198"/>
              </w:tblGrid>
              <w:tr>
                <w:trPr>
                  <w:cantSplit/>
                  <w:trHeight w:val="215"/>
                </w:trPr>
                <w:tc>
                  <w:tcPr>
                    <w:tcW w:w="4680" w:type="dxa"/>
                  </w:tcPr>
                  <w:p>
                    <w:pPr>
                      <w:keepNext/>
                      <w:tabs>
                        <w:tab w:val="left" w:pos="7777"/>
                      </w:tabs>
                      <w:rPr>
                        <w:szCs w:val="24"/>
                      </w:rPr>
                    </w:pPr>
                    <w:r>
                      <w:rPr>
                        <w:szCs w:val="24"/>
                      </w:rPr>
                      <w:t>Švietimo, mokslo ir sporto ministrė,</w:t>
                    </w:r>
                  </w:p>
                  <w:p>
                    <w:pPr>
                      <w:keepNext/>
                      <w:tabs>
                        <w:tab w:val="left" w:pos="7777"/>
                      </w:tabs>
                      <w:rPr>
                        <w:szCs w:val="24"/>
                      </w:rPr>
                    </w:pPr>
                    <w:r>
                      <w:rPr>
                        <w:szCs w:val="24"/>
                      </w:rPr>
                      <w:t>pavaduojanti kultūros ministrą</w:t>
                    </w:r>
                  </w:p>
                </w:tc>
                <w:tc>
                  <w:tcPr>
                    <w:tcW w:w="1620" w:type="dxa"/>
                  </w:tcPr>
                  <w:p>
                    <w:pPr>
                      <w:keepNext/>
                      <w:tabs>
                        <w:tab w:val="left" w:pos="7777"/>
                      </w:tabs>
                      <w:rPr>
                        <w:vanish/>
                        <w:color w:val="0000FF"/>
                        <w:szCs w:val="24"/>
                      </w:rPr>
                    </w:pPr>
                  </w:p>
                </w:tc>
                <w:tc>
                  <w:tcPr>
                    <w:tcW w:w="3198" w:type="dxa"/>
                  </w:tcPr>
                  <w:p>
                    <w:pPr>
                      <w:keepNext/>
                      <w:tabs>
                        <w:tab w:val="left" w:pos="7777"/>
                      </w:tabs>
                      <w:rPr>
                        <w:szCs w:val="24"/>
                      </w:rPr>
                    </w:pPr>
                    <w:r>
                      <w:rPr>
                        <w:szCs w:val="24"/>
                      </w:rPr>
                      <w:t>Jurgita Šiugždinienė</w:t>
                    </w:r>
                  </w:p>
                </w:tc>
              </w:tr>
            </w:tbl>
            <w:p>
              <w:pPr>
                <w:overflowPunct w:val="0"/>
              </w:pPr>
            </w:p>
            <w:tbl>
              <w:tblPr>
                <w:tblW w:w="9782" w:type="dxa"/>
                <w:tblLook w:val="04A0" w:firstRow="1" w:lastRow="0" w:firstColumn="1" w:lastColumn="0" w:noHBand="0" w:noVBand="1"/>
              </w:tblPr>
              <w:tblGrid>
                <w:gridCol w:w="8075"/>
                <w:gridCol w:w="1707"/>
              </w:tblGrid>
              <w:tr>
                <w:trPr>
                  <w:trHeight w:val="493"/>
                </w:trPr>
                <w:tc>
                  <w:tcPr>
                    <w:tcW w:w="8075" w:type="dxa"/>
                    <w:vAlign w:val="center"/>
                    <w:hideMark/>
                  </w:tcPr>
                  <w:p>
                    <w:pPr>
                      <w:rPr>
                        <w:szCs w:val="24"/>
                      </w:rPr>
                    </w:pPr>
                    <w:r>
                      <w:rPr>
                        <w:szCs w:val="24"/>
                      </w:rPr>
                      <w:t xml:space="preserve">Birutė Kazlauskienė, tel.+370 608 45 608,  el. p. birute.kazlauskiene@lrkm.lt</w:t>
                    </w:r>
                  </w:p>
                </w:tc>
                <w:tc>
                  <w:tcPr>
                    <w:tcW w:w="1707" w:type="dxa"/>
                  </w:tcPr>
                  <w:p>
                    <w:pPr>
                      <w:jc w:val="center"/>
                      <w:rPr>
                        <w:szCs w:val="24"/>
                      </w:rPr>
                    </w:pPr>
                  </w:p>
                </w:tc>
              </w:tr>
            </w:tbl>
            <w:p>
              <w:pPr>
                <w:rPr>
                  <w:szCs w:val="24"/>
                </w:rPr>
              </w:pPr>
            </w:p>
          </w:sdtContent>
        </w:sdt>
      </w:sdtContent>
    </w:sdt>
    <w:sectPr>
      <w:type w:val="continuous"/>
      <w:pgSz w:w="11906" w:h="16838" w:code="9"/>
      <w:pgMar w:top="1134" w:right="567" w:bottom="1134" w:left="1701" w:header="709" w:footer="665" w:gutter="0"/>
      <w:cols w:space="708"/>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10022FF" w:usb1="C000E47F" w:usb2="00000029" w:usb3="00000000" w:csb0="000001DF" w:csb1="00000000"/>
  </w:font>
  <w:font w:name="MS Mincho">
    <w:altName w:val="ＭＳ 明朝"/>
    <w:panose1 w:val="02020609040205080304"/>
    <w:charset w:val="80"/>
    <w:family w:val="modern"/>
    <w:pitch w:val="fixed"/>
    <w:sig w:usb0="E00002FF" w:usb1="6AC7FDFB" w:usb2="08000012" w:usb3="00000000" w:csb0="0002009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jc w:val="right"/>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191"/>
  <w:hyphenationZone w:val="396"/>
  <w:doNotHyphenateCaps/>
  <w:noPunctuationKerning/>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B7EA9"/>
  </w:rsids>
  <m:mathPr>
    <m:mathFont m:val="Cambria Math"/>
    <m:brkBin m:val="before"/>
    <m:brkBinSub m:val="--"/>
    <m:smallFrac m:val="0"/>
    <m:dispDef/>
    <m:lMargin m:val="0"/>
    <m:rMargin m:val="0"/>
    <m:defJc m:val="centerGroup"/>
    <m:wrapIndent m:val="1440"/>
    <m:intLim m:val="subSup"/>
    <m:naryLim m:val="undOvr"/>
  </m:mathPr>
  <w:themeFontLang w:val="lt-LT" w:eastAsia="ko-KR"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5:docId w15:val="{1244CA33-9872-4B4C-9D3F-2D3EF62A9A8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82154917">
      <w:bodyDiv w:val="1"/>
      <w:marLeft w:val="0"/>
      <w:marRight w:val="0"/>
      <w:marTop w:val="0"/>
      <w:marBottom w:val="0"/>
      <w:divBdr>
        <w:top w:val="none" w:sz="0" w:space="0" w:color="auto"/>
        <w:left w:val="none" w:sz="0" w:space="0" w:color="auto"/>
        <w:bottom w:val="none" w:sz="0" w:space="0" w:color="auto"/>
        <w:right w:val="none" w:sz="0" w:space="0" w:color="auto"/>
      </w:divBdr>
    </w:div>
    <w:div w:id="979847178">
      <w:bodyDiv w:val="1"/>
      <w:marLeft w:val="0"/>
      <w:marRight w:val="0"/>
      <w:marTop w:val="0"/>
      <w:marBottom w:val="0"/>
      <w:divBdr>
        <w:top w:val="none" w:sz="0" w:space="0" w:color="auto"/>
        <w:left w:val="none" w:sz="0" w:space="0" w:color="auto"/>
        <w:bottom w:val="none" w:sz="0" w:space="0" w:color="auto"/>
        <w:right w:val="none" w:sz="0" w:space="0" w:color="auto"/>
      </w:divBdr>
    </w:div>
    <w:div w:id="17116071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wmf"/>
  <Relationship Id="rId8" Type="http://schemas.openxmlformats.org/officeDocument/2006/relationships/oleObject" Target="embeddings/oleObject1.bin"/>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lentele" DocPartId="0f36bd351afc42f5920d3dc7fe408bb9" PartId="8928d6751d1b4f3d8c336583295c56f3"/>
  <Part Type="pastraipa" DocPartId="9d01dbcb417b4f69bd5c2d31884d6d8a" PartId="ae2df7dbfc0b4f2792a1a06b86e87431"/>
  <Part Type="pastraipa" DocPartId="adb9bc42061247d280a00d62eb867345" PartId="3794b949139241a2833d483c91514ab2"/>
  <Part Type="pastraipa" DocPartId="390fd832d73d485e93118d78d1e71663" PartId="b53783793665438896ec78b25ba5dad7"/>
  <Part Type="pastraipa" DocPartId="3a9dc0eb8a684f67b231512dcfa9c3fb" PartId="e43ddaa158b04dd3b367b6f3ee24b441"/>
  <Part Type="pastraipa" DocPartId="e1da8b109c954d0f89d3fa57298781a1" PartId="4a6301beee3b4e2290beabfb6bbc104d"/>
  <Part Type="pastraipa" DocPartId="533e3ab7468f4b83a8effda6ec6780aa" PartId="3d20425712104c3292afaaeed3e84ab2"/>
  <Part Type="pastraipa" DocPartId="0dd61f3bcd6c4f2eb3ae938f44264026" PartId="59dcc14971024cc3a987eb4a98a66468"/>
  <Part Type="pastraipa" DocPartId="4175c0f5e99c437c8533e4e06c3553bf" PartId="0ae54a6771164c5c99ed45e1a4d597c8"/>
  <Part Type="pastraipa" DocPartId="49e10a4cbbba4455bf380ff10070b344" PartId="2ee6a62fd30442ce8437a8ee24c7acc1"/>
  <Part Type="pastraipa" DocPartId="dd41247c3b444d7196602bea031f949f" PartId="ff3e25a20a3540a5a9c57e38376e2c43"/>
  <Part Type="pastraipa" DocPartId="556598d8e38d40dbac70a90386bf5b96" PartId="8618c703ec354212aacdfe40192fe4f4"/>
  <Part Type="pastraipa" DocPartId="92edfaafd63143b687b0b4f93a8a0baa" PartId="474f2dcad6c548a99e1f7de1a0d2423c"/>
  <Part Type="pastraipa" DocPartId="70fcb43d5c1848bfbd4c3c198bf86a6d" PartId="e0f29202ed324aeb8423118f25cd92ce"/>
  <Part Type="pastraipa" DocPartId="06ff28697d014661b775182008214c14" PartId="4b35a93789da4c0ea39527075098d011">
    <Part Type="punktas" Nr="1" Abbr="1 p." DocPartId="e887a45178d743a6ba79e27b7299364b" PartId="77fbd8ddfbae412aaea4350b52ac4823"/>
    <Part Type="punktas" Nr="2" Abbr="2 p." DocPartId="caf49cd2158f42e59e48f044e54229a2" PartId="3f36ff8458844d32b3addcd8b7499aad"/>
    <Part Type="punktas" Nr="3" Abbr="3 p." DocPartId="923e9fb9d631476793e74c36f009a4e0" PartId="a7804ef0e8a9400d88faf471b51f263d"/>
    <Part Type="punktas" Nr="4" Abbr="4 p." DocPartId="7cb203ff63b24d40b5245afdd4603f86" PartId="ee896bf017a149059a50f8494b375939"/>
  </Part>
</Parts>
</file>

<file path=customXml/itemProps1.xml><?xml version="1.0" encoding="utf-8"?>
<ds:datastoreItem xmlns:ds="http://schemas.openxmlformats.org/officeDocument/2006/customXml" ds:itemID="{F5DBC6AA-0B9E-4727-83F9-46E39BFC55A6}">
  <ds:schemaRefs>
    <ds:schemaRef ds:uri="http://schemas.openxmlformats.org/officeDocument/2006/bibliography"/>
  </ds:schemaRefs>
</ds:datastoreItem>
</file>

<file path=customXml/itemProps2.xml><?xml version="1.0" encoding="utf-8"?>
<ds:datastoreItem xmlns:ds="http://schemas.openxmlformats.org/officeDocument/2006/customXml" ds:itemID="{FBA5F87C-8200-4763-AF00-9E90C7B1184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700</Words>
  <Characters>5378</Characters>
  <Application>Microsoft Office Word</Application>
  <DocSecurity>4</DocSecurity>
  <Lines>96</Lines>
  <Paragraphs>32</Paragraphs>
  <ScaleCrop>false</ScaleCrop>
  <HeadingPairs>
    <vt:vector size="2" baseType="variant">
      <vt:variant>
        <vt:lpstr>Title</vt:lpstr>
      </vt:variant>
      <vt:variant>
        <vt:i4>1</vt:i4>
      </vt:variant>
    </vt:vector>
  </HeadingPairs>
  <TitlesOfParts>
    <vt:vector size="1" baseType="lpstr">
      <vt:lpstr/>
    </vt:vector>
  </TitlesOfParts>
  <Company>KM</Company>
  <LinksUpToDate>false</LinksUpToDate>
  <CharactersWithSpaces>6046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2022-09-30T13:26:00Z</dcterms:created>
  <dc:creator>A</dc:creator>
  <lastModifiedBy>adlibuser</lastModifiedBy>
  <lastPrinted>2008-11-12T06:44:00Z</lastPrinted>
  <dcterms:modified xsi:type="dcterms:W3CDTF">2022-09-30T13:26:00Z</dcterms:modified>
  <revision>2</revision>
</coreProperties>
</file>