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639cae631b3347fea28cd09563d8dd9e"/>
        <w:lock w:val="sdtLocked"/>
        <w:richText/>
      </w:sdtPr>
      <w:sdtContent>
        <w:p>
          <w:pPr>
            <w:widowControl w:val="0"/>
            <w:tabs>
              <w:tab w:val="center" w:pos="4819"/>
              <w:tab w:val="right" w:pos="9638"/>
            </w:tabs>
            <w:rPr>
              <w:szCs w:val="24"/>
              <w:lang w:eastAsia="lt-LT"/>
            </w:rPr>
          </w:pPr>
        </w:p>
        <w:p>
          <w:pPr>
            <w:jc w:val="center"/>
            <w:rPr>
              <w:b/>
            </w:rPr>
          </w:pPr>
          <w:r>
            <w:rPr>
              <w:b/>
            </w:rPr>
            <w:t>LIETUVOS RESPUBLIKOS</w:t>
          </w:r>
        </w:p>
        <w:p>
          <w:pPr>
            <w:jc w:val="center"/>
            <w:rPr>
              <w:b/>
              <w:caps/>
            </w:rPr>
          </w:pPr>
          <w:r>
            <w:rPr>
              <w:b/>
              <w:bCs/>
              <w:caps/>
              <w:szCs w:val="24"/>
              <w:lang w:eastAsia="lt-LT"/>
            </w:rPr>
            <w:t xml:space="preserve">ŽEMĖS ĮSTATYMO NR. I-446 9 STRAIPSNIO PAKEITIMO ĮSTATYMO </w:t>
          </w:r>
          <w:r>
            <w:rPr>
              <w:b/>
              <w:bCs/>
              <w:color w:val="000000"/>
            </w:rPr>
            <w:t>PROJEKTO</w:t>
          </w:r>
        </w:p>
        <w:p>
          <w:pPr>
            <w:widowControl w:val="0"/>
            <w:tabs>
              <w:tab w:val="left" w:pos="0"/>
            </w:tabs>
            <w:jc w:val="center"/>
            <w:rPr>
              <w:b/>
              <w:bCs/>
              <w:caps/>
              <w:szCs w:val="24"/>
              <w:lang w:eastAsia="lt-LT"/>
            </w:rPr>
          </w:pPr>
          <w:r>
            <w:rPr>
              <w:b/>
              <w:bCs/>
              <w:caps/>
              <w:szCs w:val="24"/>
              <w:lang w:eastAsia="lt-LT"/>
            </w:rPr>
            <w:t>aiškinamasis raštas</w:t>
          </w:r>
        </w:p>
        <w:p>
          <w:pPr>
            <w:widowControl w:val="0"/>
            <w:tabs>
              <w:tab w:val="left" w:pos="0"/>
            </w:tabs>
            <w:jc w:val="center"/>
            <w:rPr>
              <w:b/>
              <w:bCs/>
              <w:caps/>
              <w:szCs w:val="24"/>
              <w:lang w:eastAsia="lt-LT"/>
            </w:rPr>
          </w:pPr>
        </w:p>
        <w:p>
          <w:pPr>
            <w:jc w:val="both"/>
            <w:rPr>
              <w:szCs w:val="24"/>
              <w:lang w:eastAsia="lt-LT"/>
            </w:rPr>
          </w:pPr>
        </w:p>
        <w:sdt>
          <w:sdtPr>
            <w:alias w:val="1 p."/>
            <w:tag w:val="part_fc95059c29a9421d8f7ab70711638df7"/>
            <w:lock w:val="sdtLocked"/>
            <w:richText/>
          </w:sdtPr>
          <w:sdtContent>
            <w:p>
              <w:pPr>
                <w:widowControl w:val="0"/>
                <w:ind w:firstLine="709"/>
                <w:jc w:val="both"/>
                <w:rPr>
                  <w:b/>
                  <w:bCs/>
                  <w:szCs w:val="24"/>
                  <w:lang w:eastAsia="lt-LT"/>
                </w:rPr>
              </w:pPr>
              <w:sdt>
                <w:sdtPr>
                  <w:alias w:val="Numeris"/>
                  <w:tag w:val="nr_fc95059c29a9421d8f7ab70711638df7"/>
                  <w:lock w:val="sdtLocked"/>
                  <w:richText/>
                </w:sdtPr>
                <w:sdtContent>
                  <w:r>
                    <w:rPr>
                      <w:b/>
                      <w:bCs/>
                      <w:szCs w:val="24"/>
                      <w:lang w:eastAsia="lt-LT"/>
                    </w:rPr>
                    <w:t>1</w:t>
                  </w:r>
                </w:sdtContent>
              </w:sdt>
              <w:r>
                <w:rPr>
                  <w:b/>
                  <w:bCs/>
                  <w:szCs w:val="24"/>
                  <w:lang w:eastAsia="lt-LT"/>
                </w:rPr>
                <w:t xml:space="preserve">. Įstatymo projekto </w:t>
              </w:r>
              <w:r>
                <w:rPr>
                  <w:b/>
                  <w:bCs/>
                  <w:szCs w:val="24"/>
                </w:rPr>
                <w:t>rengimą</w:t>
              </w:r>
              <w:r>
                <w:rPr>
                  <w:b/>
                  <w:bCs/>
                  <w:szCs w:val="24"/>
                  <w:lang w:eastAsia="lt-LT"/>
                </w:rPr>
                <w:t xml:space="preserve"> paskatinusios priežastys, parengto projekto tikslai ir uždaviniai</w:t>
              </w:r>
            </w:p>
            <w:p>
              <w:pPr>
                <w:ind w:firstLine="709"/>
                <w:jc w:val="both"/>
                <w:rPr>
                  <w:szCs w:val="24"/>
                </w:rPr>
              </w:pPr>
              <w:r>
                <w:rPr>
                  <w:szCs w:val="24"/>
                </w:rPr>
                <w:t xml:space="preserve">Įstatymo projekto tikslas – pakeisti Lietuvos Respublikos žemės įstatymo nuostatas, reguliuojančias teisėtai pastatytų statinių ir įrenginių išpirkimą, kai dėl valstybinės žemės netinkamo naudojimo yra priimamas sprendimas nutraukti valstybinės žemės nuomos sutartį. </w:t>
              </w:r>
            </w:p>
            <w:p>
              <w:pPr>
                <w:ind w:firstLine="709"/>
                <w:jc w:val="both"/>
                <w:rPr>
                  <w:szCs w:val="24"/>
                </w:rPr>
              </w:pPr>
              <w:r>
                <w:rPr>
                  <w:szCs w:val="24"/>
                </w:rPr>
                <w:t>Šiuo metu Žemės įstatymas numato, kad sklypuose, kuriuose yra teisėtai pastatytų statinių ir įrenginių, bet nutraukiamos valstybinės žemės nuomos sutartys, išpirkimą Vyriausybės nustatyta tvarka vykdo valstybė. Nors Žemės įstatymo nuostatos galioja jau daugiau kaip metai, Vyriausybės tvarka nėra nustatyta, o Nacionalinės žemės tarnybos priimti sprendimai nėra įgyvendinti.</w:t>
              </w:r>
            </w:p>
            <w:p>
              <w:pPr>
                <w:ind w:firstLine="709"/>
                <w:jc w:val="both"/>
                <w:rPr>
                  <w:szCs w:val="24"/>
                </w:rPr>
              </w:pPr>
              <w:r>
                <w:rPr>
                  <w:szCs w:val="24"/>
                </w:rPr>
                <w:t xml:space="preserve">Pakeitimu siekiama sudaryti sąlygas valstybinės žemės patikėtiniams (savivaldybėms) vykdyti išpirkimą ir savarankiškai spręsti dėl tokių sklypų tolimesnio panaudojimo. </w:t>
              </w:r>
            </w:p>
            <w:p>
              <w:pPr>
                <w:shd w:val="clear" w:color="auto" w:fill="FFFFFF"/>
                <w:rPr>
                  <w:rFonts w:ascii="inherit" w:hAnsi="inherit" w:cs="Segoe UI Historic"/>
                  <w:color w:val="050505"/>
                  <w:sz w:val="23"/>
                  <w:szCs w:val="23"/>
                  <w:lang w:eastAsia="lt-LT"/>
                </w:rPr>
              </w:pPr>
            </w:p>
          </w:sdtContent>
        </w:sdt>
        <w:sdt>
          <w:sdtPr>
            <w:alias w:val="2 p."/>
            <w:tag w:val="part_558d724b948545e38f55d35dfb78299e"/>
            <w:lock w:val="sdtLocked"/>
            <w:richText/>
          </w:sdtPr>
          <w:sdtContent>
            <w:p>
              <w:pPr>
                <w:ind w:firstLine="771"/>
                <w:jc w:val="both"/>
                <w:rPr>
                  <w:b/>
                  <w:szCs w:val="24"/>
                </w:rPr>
              </w:pPr>
              <w:sdt>
                <w:sdtPr>
                  <w:alias w:val="Numeris"/>
                  <w:tag w:val="nr_558d724b948545e38f55d35dfb78299e"/>
                  <w:lock w:val="sdtLocked"/>
                  <w:richText/>
                </w:sdtPr>
                <w:sdtContent>
                  <w:r>
                    <w:rPr>
                      <w:b/>
                      <w:szCs w:val="24"/>
                    </w:rPr>
                    <w:t>2</w:t>
                  </w:r>
                </w:sdtContent>
              </w:sdt>
              <w:r>
                <w:rPr>
                  <w:b/>
                  <w:szCs w:val="24"/>
                </w:rPr>
                <w:t>. Įstatymo projekto iniciatoriai ir rengėjai</w:t>
              </w:r>
            </w:p>
            <w:p>
              <w:pPr>
                <w:tabs>
                  <w:tab w:val="left" w:pos="567"/>
                </w:tabs>
                <w:ind w:firstLine="709"/>
                <w:jc w:val="both"/>
                <w:rPr>
                  <w:szCs w:val="24"/>
                  <w:lang w:eastAsia="lt-LT"/>
                </w:rPr>
              </w:pPr>
              <w:r>
                <w:rPr>
                  <w:szCs w:val="24"/>
                </w:rPr>
                <w:t>Įstatymo projektą iniciavo Seimo nariai Laurynas Šedvydis, Orinta Leiputė, Robertas Kaunas, Audrius Radvilavičius.</w:t>
              </w:r>
            </w:p>
            <w:p>
              <w:pPr>
                <w:widowControl w:val="0"/>
                <w:tabs>
                  <w:tab w:val="left" w:pos="1134"/>
                </w:tabs>
                <w:ind w:firstLine="709"/>
                <w:jc w:val="both"/>
                <w:rPr>
                  <w:b/>
                  <w:szCs w:val="24"/>
                </w:rPr>
              </w:pPr>
            </w:p>
          </w:sdtContent>
        </w:sdt>
        <w:sdt>
          <w:sdtPr>
            <w:alias w:val="3 p."/>
            <w:tag w:val="part_a48e9086d8dc4abdaa37e328a47689ee"/>
            <w:lock w:val="sdtLocked"/>
            <w:richText/>
          </w:sdtPr>
          <w:sdtContent>
            <w:p>
              <w:pPr>
                <w:widowControl w:val="0"/>
                <w:tabs>
                  <w:tab w:val="left" w:pos="1134"/>
                </w:tabs>
                <w:ind w:firstLine="709"/>
                <w:jc w:val="both"/>
                <w:rPr>
                  <w:b/>
                  <w:szCs w:val="24"/>
                </w:rPr>
              </w:pPr>
              <w:sdt>
                <w:sdtPr>
                  <w:alias w:val="Numeris"/>
                  <w:tag w:val="nr_a48e9086d8dc4abdaa37e328a47689ee"/>
                  <w:lock w:val="sdtLocked"/>
                  <w:richText/>
                </w:sdtPr>
                <w:sdtContent>
                  <w:r>
                    <w:rPr>
                      <w:b/>
                      <w:szCs w:val="24"/>
                    </w:rPr>
                    <w:t>3</w:t>
                  </w:r>
                </w:sdtContent>
              </w:sdt>
              <w:r>
                <w:rPr>
                  <w:b/>
                  <w:szCs w:val="24"/>
                </w:rPr>
                <w:t>. Kaip šiuo metu yra reguliuojami įstatymo projekte aptarti teisiniai santykiai</w:t>
              </w:r>
            </w:p>
            <w:p>
              <w:pPr>
                <w:widowControl w:val="0"/>
                <w:tabs>
                  <w:tab w:val="left" w:pos="1134"/>
                </w:tabs>
                <w:ind w:firstLine="709"/>
                <w:jc w:val="both"/>
                <w:rPr>
                  <w:szCs w:val="24"/>
                </w:rPr>
              </w:pPr>
              <w:r>
                <w:rPr>
                  <w:szCs w:val="24"/>
                </w:rPr>
                <w:t>Žemės ir statinių bei įrenginių klausimus reguliuoja tiek Civilinio kodekso, tiek Žemės įstatymo nuostatos, pagal kurias, nutrūkus žemės nuomos teisiniams santykiams žemės savininkas turi spręsti dėl tolimesnio statinių ir įrenginių sklype likimo – kompensuoti statinių savininkui arba nustatyti servitutą ar pan., kuriuo suteikiama teisė naudotis žemės sklypu ar jo dalimi. Nacionalinė žemės tarnyba per daugelį metų yra priėmusi daug sprendimų dėl valstybinės žemės nuomos sutarčių nutraukimo, tačiau sklypuose esančių statinių ir įrenginių klausimas nebuvo sprendžiamas. 2022 m. liepos mėn 21 d. buvo patvirtintas Žemės ūkio ministro įsakymas Nr. 3D-362 „Dėl Valstybinėje žemėje teisėtai pastatytų statinių ir įrenginių, kurie nenaudojami pagal Nekilnojamojo turto registre įregistruotą jų tiesioginę paskirtį, išpirkimo valstybės nuosavybėn tvarkos aprašo patvirtinimo“, tačiau pagal šį aprašą statiniai ir įrenginiai nebuvo išpirkti.</w:t>
              </w:r>
            </w:p>
            <w:p>
              <w:pPr>
                <w:widowControl w:val="0"/>
                <w:tabs>
                  <w:tab w:val="left" w:pos="1134"/>
                </w:tabs>
                <w:ind w:firstLine="709"/>
                <w:jc w:val="both"/>
                <w:rPr>
                  <w:szCs w:val="24"/>
                </w:rPr>
              </w:pPr>
              <w:r>
                <w:rPr>
                  <w:szCs w:val="24"/>
                </w:rPr>
                <w:t>Valstybės biudžete lėšos šiai funkcijai vykdyti nėra pakankamos, išpirkimas nėra vykdomas, todėl susidaro teisiškai neapibrėžta situacija tiek valstybinės žemės sklypo atžvilgiu, tiek jame teisėtai stovinčių statinių ir įrenginių atžvilgiu.</w:t>
              </w:r>
            </w:p>
            <w:p>
              <w:pPr>
                <w:ind w:firstLine="709"/>
                <w:jc w:val="both"/>
                <w:rPr>
                  <w:szCs w:val="24"/>
                  <w:lang w:eastAsia="lt-LT"/>
                </w:rPr>
              </w:pPr>
            </w:p>
          </w:sdtContent>
        </w:sdt>
        <w:sdt>
          <w:sdtPr>
            <w:alias w:val="4 p."/>
            <w:tag w:val="part_50e908d24c0a4a7b99117b56ffbc3473"/>
            <w:lock w:val="sdtLocked"/>
            <w:richText/>
          </w:sdtPr>
          <w:sdtContent>
            <w:p>
              <w:pPr>
                <w:widowControl w:val="0"/>
                <w:tabs>
                  <w:tab w:val="left" w:pos="1134"/>
                </w:tabs>
                <w:ind w:firstLine="709"/>
                <w:jc w:val="both"/>
                <w:rPr>
                  <w:b/>
                  <w:szCs w:val="24"/>
                  <w:lang w:eastAsia="lt-LT"/>
                </w:rPr>
              </w:pPr>
              <w:sdt>
                <w:sdtPr>
                  <w:alias w:val="Numeris"/>
                  <w:tag w:val="nr_50e908d24c0a4a7b99117b56ffbc3473"/>
                  <w:lock w:val="sdtLocked"/>
                  <w:richText/>
                </w:sdtPr>
                <w:sdtContent>
                  <w:r>
                    <w:rPr>
                      <w:b/>
                      <w:szCs w:val="24"/>
                      <w:lang w:eastAsia="lt-LT"/>
                    </w:rPr>
                    <w:t>4</w:t>
                  </w:r>
                </w:sdtContent>
              </w:sdt>
              <w:r>
                <w:rPr>
                  <w:b/>
                  <w:szCs w:val="24"/>
                  <w:lang w:eastAsia="lt-LT"/>
                </w:rPr>
                <w:t>. Kokios siūlomos naujos teisinio reguliavimo nuostatos ir kokių teigiamų rezultatų laukiama</w:t>
              </w:r>
            </w:p>
            <w:p>
              <w:pPr>
                <w:ind w:firstLine="709"/>
                <w:jc w:val="both"/>
                <w:rPr>
                  <w:bCs/>
                  <w:szCs w:val="24"/>
                </w:rPr>
              </w:pPr>
              <w:r>
                <w:rPr>
                  <w:bCs/>
                  <w:szCs w:val="24"/>
                </w:rPr>
                <w:t xml:space="preserve">Pakeitus Žemės įstatymo nustatytą reguliavimą būtų sudarytos sąlygos valstybinės žemės patikėtiniams (savivaldybėms) išpirkti teisėtai pastatytus statinius ir įrenginius valstybinės žemės sklypuose, kurių nuomos sutartys yra nutrauktos, ir spręsti valstybinės žemės sklypo tolimesnio panaudojimo klausimus. </w:t>
              </w:r>
            </w:p>
            <w:p>
              <w:pPr>
                <w:widowControl w:val="0"/>
                <w:tabs>
                  <w:tab w:val="left" w:pos="720"/>
                </w:tabs>
                <w:jc w:val="both"/>
                <w:rPr>
                  <w:szCs w:val="24"/>
                  <w:lang w:eastAsia="lt-LT"/>
                </w:rPr>
              </w:pPr>
            </w:p>
          </w:sdtContent>
        </w:sdt>
        <w:sdt>
          <w:sdtPr>
            <w:alias w:val="5 p."/>
            <w:tag w:val="part_8822581ecec54c10b5189a94b4a70942"/>
            <w:lock w:val="sdtLocked"/>
            <w:richText/>
          </w:sdtPr>
          <w:sdtContent>
            <w:p>
              <w:pPr>
                <w:widowControl w:val="0"/>
                <w:ind w:firstLine="709"/>
                <w:jc w:val="both"/>
                <w:rPr>
                  <w:b/>
                  <w:szCs w:val="24"/>
                  <w:lang w:eastAsia="lt-LT"/>
                </w:rPr>
              </w:pPr>
              <w:sdt>
                <w:sdtPr>
                  <w:alias w:val="Numeris"/>
                  <w:tag w:val="nr_8822581ecec54c10b5189a94b4a70942"/>
                  <w:lock w:val="sdtLocked"/>
                  <w:richText/>
                </w:sdtPr>
                <w:sdtContent>
                  <w:r>
                    <w:rPr>
                      <w:b/>
                      <w:szCs w:val="24"/>
                      <w:lang w:eastAsia="lt-LT"/>
                    </w:rPr>
                    <w:t>5</w:t>
                  </w:r>
                </w:sdtContent>
              </w:sdt>
              <w:r>
                <w:rPr>
                  <w:b/>
                  <w:szCs w:val="24"/>
                  <w:lang w:eastAsia="lt-LT"/>
                </w:rPr>
                <w:t>. Numatomo teisinio reguliavimo poveikio vertinimo rezultatai, galimos neigiamos priimtų įstatymų pasekmės ir kokių priemonių reikėtų imtis, kad tokių pasekmių būtų išvengta</w:t>
              </w:r>
            </w:p>
            <w:p>
              <w:pPr>
                <w:ind w:firstLine="709"/>
                <w:jc w:val="both"/>
                <w:rPr>
                  <w:szCs w:val="24"/>
                </w:rPr>
              </w:pPr>
              <w:r>
                <w:rPr>
                  <w:szCs w:val="24"/>
                </w:rPr>
                <w:t>Neigiamų projekto priėmimo pasekmių nenumatoma.</w:t>
              </w:r>
            </w:p>
            <w:p>
              <w:pPr>
                <w:widowControl w:val="0"/>
                <w:ind w:firstLine="709"/>
                <w:jc w:val="both"/>
                <w:rPr>
                  <w:szCs w:val="24"/>
                  <w:lang w:eastAsia="lt-LT"/>
                </w:rPr>
              </w:pPr>
            </w:p>
          </w:sdtContent>
        </w:sdt>
        <w:sdt>
          <w:sdtPr>
            <w:alias w:val="6 p."/>
            <w:tag w:val="part_cc918654232749ba8dc2dd45909f8856"/>
            <w:lock w:val="sdtLocked"/>
            <w:richText/>
          </w:sdtPr>
          <w:sdtContent>
            <w:p>
              <w:pPr>
                <w:widowControl w:val="0"/>
                <w:ind w:firstLine="709"/>
                <w:jc w:val="both"/>
                <w:rPr>
                  <w:b/>
                  <w:szCs w:val="24"/>
                  <w:lang w:eastAsia="lt-LT"/>
                </w:rPr>
              </w:pPr>
              <w:sdt>
                <w:sdtPr>
                  <w:alias w:val="Numeris"/>
                  <w:tag w:val="nr_cc918654232749ba8dc2dd45909f8856"/>
                  <w:lock w:val="sdtLocked"/>
                  <w:richText/>
                </w:sdtPr>
                <w:sdtContent>
                  <w:r>
                    <w:rPr>
                      <w:b/>
                      <w:szCs w:val="24"/>
                      <w:lang w:eastAsia="lt-LT"/>
                    </w:rPr>
                    <w:t>6</w:t>
                  </w:r>
                </w:sdtContent>
              </w:sdt>
              <w:r>
                <w:rPr>
                  <w:b/>
                  <w:szCs w:val="24"/>
                  <w:lang w:eastAsia="lt-LT"/>
                </w:rPr>
                <w:t>. Kokią įtaką priimtas įstatymas turės kriminogeninei situacijai, korupcijai</w:t>
              </w:r>
            </w:p>
            <w:p>
              <w:pPr>
                <w:ind w:firstLine="709"/>
                <w:jc w:val="both"/>
                <w:rPr>
                  <w:b/>
                  <w:szCs w:val="24"/>
                </w:rPr>
              </w:pPr>
              <w:r>
                <w:rPr>
                  <w:szCs w:val="24"/>
                </w:rPr>
                <w:t>Priėmus projektą, poveikio korupcijai ir kriminogeninei situacijai nenumatoma.</w:t>
              </w:r>
            </w:p>
            <w:p>
              <w:pPr>
                <w:widowControl w:val="0"/>
                <w:ind w:firstLine="709"/>
                <w:jc w:val="both"/>
                <w:rPr>
                  <w:szCs w:val="24"/>
                  <w:lang w:eastAsia="lt-LT"/>
                </w:rPr>
              </w:pPr>
            </w:p>
          </w:sdtContent>
        </w:sdt>
        <w:sdt>
          <w:sdtPr>
            <w:alias w:val="7 p."/>
            <w:tag w:val="part_8f3592c253c34f15b303d7d1af5aaddc"/>
            <w:lock w:val="sdtLocked"/>
            <w:richText/>
          </w:sdtPr>
          <w:sdtContent>
            <w:p>
              <w:pPr>
                <w:widowControl w:val="0"/>
                <w:ind w:firstLine="709"/>
                <w:jc w:val="both"/>
                <w:rPr>
                  <w:b/>
                  <w:szCs w:val="24"/>
                  <w:lang w:eastAsia="lt-LT"/>
                </w:rPr>
              </w:pPr>
              <w:sdt>
                <w:sdtPr>
                  <w:alias w:val="Numeris"/>
                  <w:tag w:val="nr_8f3592c253c34f15b303d7d1af5aaddc"/>
                  <w:lock w:val="sdtLocked"/>
                  <w:richText/>
                </w:sdtPr>
                <w:sdtContent>
                  <w:r>
                    <w:rPr>
                      <w:b/>
                      <w:szCs w:val="24"/>
                      <w:lang w:eastAsia="lt-LT"/>
                    </w:rPr>
                    <w:t>7</w:t>
                  </w:r>
                </w:sdtContent>
              </w:sdt>
              <w:r>
                <w:rPr>
                  <w:b/>
                  <w:szCs w:val="24"/>
                  <w:lang w:eastAsia="lt-LT"/>
                </w:rPr>
                <w:t>. Kaip įstatymo įgyvendinimas atsilieps verslo sąlygoms ir jo plėtrai</w:t>
              </w:r>
            </w:p>
            <w:p>
              <w:pPr>
                <w:ind w:firstLine="709"/>
                <w:jc w:val="both"/>
                <w:rPr>
                  <w:szCs w:val="24"/>
                </w:rPr>
              </w:pPr>
              <w:r>
                <w:rPr>
                  <w:szCs w:val="24"/>
                </w:rPr>
                <w:t>Neigiamos įtakos verslo sąlygoms įstatymo įgyvendinimas neturės.</w:t>
              </w:r>
            </w:p>
            <w:p>
              <w:pPr>
                <w:widowControl w:val="0"/>
                <w:ind w:firstLine="709"/>
                <w:jc w:val="both"/>
                <w:rPr>
                  <w:b/>
                  <w:szCs w:val="24"/>
                  <w:lang w:eastAsia="lt-LT"/>
                </w:rPr>
              </w:pPr>
            </w:p>
          </w:sdtContent>
        </w:sdt>
        <w:sdt>
          <w:sdtPr>
            <w:alias w:val="8 p."/>
            <w:tag w:val="part_21a4974c5dd2422facc82236881df728"/>
            <w:lock w:val="sdtLocked"/>
            <w:richText/>
          </w:sdtPr>
          <w:sdtContent>
            <w:p>
              <w:pPr>
                <w:widowControl w:val="0"/>
                <w:ind w:firstLine="709"/>
                <w:jc w:val="both"/>
                <w:rPr>
                  <w:b/>
                  <w:szCs w:val="24"/>
                  <w:lang w:eastAsia="lt-LT"/>
                </w:rPr>
              </w:pPr>
              <w:sdt>
                <w:sdtPr>
                  <w:alias w:val="Numeris"/>
                  <w:tag w:val="nr_21a4974c5dd2422facc82236881df728"/>
                  <w:lock w:val="sdtLocked"/>
                  <w:richText/>
                </w:sdtPr>
                <w:sdtContent>
                  <w:r>
                    <w:rPr>
                      <w:b/>
                      <w:szCs w:val="24"/>
                      <w:lang w:eastAsia="lt-LT"/>
                    </w:rPr>
                    <w:t>8</w:t>
                  </w:r>
                </w:sdtContent>
              </w:sdt>
              <w:r>
                <w:rPr>
                  <w:b/>
                  <w:szCs w:val="24"/>
                  <w:lang w:eastAsia="lt-LT"/>
                </w:rPr>
                <w:t>. Ar įstatymo projektas neprieštarauja strateginio lygmens planavimo dokumentams</w:t>
              </w:r>
            </w:p>
            <w:p>
              <w:pPr>
                <w:ind w:firstLine="709"/>
                <w:jc w:val="both"/>
                <w:rPr>
                  <w:szCs w:val="24"/>
                </w:rPr>
              </w:pPr>
              <w:r>
                <w:rPr>
                  <w:szCs w:val="24"/>
                </w:rPr>
                <w:t xml:space="preserve">Projektas strateginio lygmens planavimo dokumentams neprieštarauja. </w:t>
              </w:r>
            </w:p>
            <w:p>
              <w:pPr>
                <w:widowControl w:val="0"/>
                <w:ind w:firstLine="709"/>
                <w:jc w:val="both"/>
                <w:rPr>
                  <w:b/>
                  <w:szCs w:val="24"/>
                  <w:lang w:eastAsia="lt-LT"/>
                </w:rPr>
              </w:pPr>
            </w:p>
          </w:sdtContent>
        </w:sdt>
        <w:sdt>
          <w:sdtPr>
            <w:alias w:val="9 p."/>
            <w:tag w:val="part_2f23d0361e784db5ab7fc80f370c6b49"/>
            <w:lock w:val="sdtLocked"/>
            <w:richText/>
          </w:sdtPr>
          <w:sdtContent>
            <w:p>
              <w:pPr>
                <w:widowControl w:val="0"/>
                <w:ind w:firstLine="709"/>
                <w:jc w:val="both"/>
                <w:rPr>
                  <w:b/>
                  <w:szCs w:val="24"/>
                  <w:lang w:eastAsia="lt-LT"/>
                </w:rPr>
              </w:pPr>
              <w:sdt>
                <w:sdtPr>
                  <w:alias w:val="Numeris"/>
                  <w:tag w:val="nr_2f23d0361e784db5ab7fc80f370c6b49"/>
                  <w:lock w:val="sdtLocked"/>
                  <w:richText/>
                </w:sdtPr>
                <w:sdtContent>
                  <w:r>
                    <w:rPr>
                      <w:b/>
                      <w:szCs w:val="24"/>
                      <w:lang w:eastAsia="lt-LT"/>
                    </w:rPr>
                    <w:t>9</w:t>
                  </w:r>
                </w:sdtContent>
              </w:sdt>
              <w:r>
                <w:rPr>
                  <w:b/>
                  <w:szCs w:val="24"/>
                  <w:lang w:eastAsia="lt-LT"/>
                </w:rPr>
                <w:t>. Įstatymo inkorporavimas į teisinę sistemą, kokius teisės aktus būtina priimti, kokius galiojančius teisės aktus reikia pakeisti ar pripažinti netekusiais galios</w:t>
              </w:r>
            </w:p>
            <w:p>
              <w:pPr>
                <w:ind w:firstLine="709"/>
                <w:jc w:val="both"/>
                <w:rPr>
                  <w:szCs w:val="24"/>
                </w:rPr>
              </w:pPr>
              <w:r>
                <w:rPr>
                  <w:szCs w:val="24"/>
                </w:rPr>
                <w:t>Papildomų teisės aktų priimti nereikės.</w:t>
              </w:r>
            </w:p>
            <w:p>
              <w:pPr>
                <w:widowControl w:val="0"/>
                <w:jc w:val="both"/>
                <w:rPr>
                  <w:szCs w:val="24"/>
                  <w:lang w:eastAsia="lt-LT"/>
                </w:rPr>
              </w:pPr>
            </w:p>
          </w:sdtContent>
        </w:sdt>
        <w:sdt>
          <w:sdtPr>
            <w:alias w:val="10 p."/>
            <w:tag w:val="part_aa4c8ec173014a789b5d7fde71161f66"/>
            <w:lock w:val="sdtLocked"/>
            <w:richText/>
          </w:sdtPr>
          <w:sdtContent>
            <w:p>
              <w:pPr>
                <w:widowControl w:val="0"/>
                <w:ind w:firstLine="709"/>
                <w:jc w:val="both"/>
                <w:rPr>
                  <w:b/>
                  <w:szCs w:val="24"/>
                  <w:lang w:eastAsia="lt-LT"/>
                </w:rPr>
              </w:pPr>
              <w:sdt>
                <w:sdtPr>
                  <w:alias w:val="Numeris"/>
                  <w:tag w:val="nr_aa4c8ec173014a789b5d7fde71161f66"/>
                  <w:lock w:val="sdtLocked"/>
                  <w:richText/>
                </w:sdtPr>
                <w:sdtContent>
                  <w:r>
                    <w:rPr>
                      <w:b/>
                      <w:szCs w:val="24"/>
                      <w:lang w:eastAsia="lt-LT"/>
                    </w:rPr>
                    <w:t>10</w:t>
                  </w:r>
                </w:sdtContent>
              </w:sdt>
              <w:r>
                <w:rPr>
                  <w:b/>
                  <w:szCs w:val="24"/>
                  <w:lang w:eastAsia="lt-LT"/>
                </w:rPr>
                <w:t>. Ar Įstatymo projektas parengtas laikantis Lietuvos Respublikos valstybinės kalbos, Teisėkūros pagrindų įstatymų reikalavimų, o Įstatymo projekto sąvokos ir jas įvardijantys terminai įvertinti Terminų banko įstatymo ir jo įgyvendinamųjų teisės aktų nustatyta tvarka</w:t>
              </w:r>
            </w:p>
            <w:p>
              <w:pPr>
                <w:ind w:firstLine="709"/>
                <w:jc w:val="both"/>
                <w:rPr>
                  <w:szCs w:val="24"/>
                </w:rPr>
              </w:pPr>
              <w:r>
                <w:rPr>
                  <w:szCs w:val="24"/>
                </w:rPr>
                <w:t>Projektas parengtas laikantis Lietuvos Respublikos valstybinės kalbos įstatymo, Lietuvos Respublikos teisėkūros pagrindų įstatymo reikalavimų ir atitinka bendrinės lietuvių kalbos normas.</w:t>
              </w:r>
            </w:p>
            <w:p>
              <w:pPr>
                <w:widowControl w:val="0"/>
                <w:ind w:firstLine="709"/>
                <w:jc w:val="both"/>
                <w:rPr>
                  <w:bCs/>
                  <w:szCs w:val="24"/>
                  <w:lang w:eastAsia="lt-LT"/>
                </w:rPr>
              </w:pPr>
            </w:p>
          </w:sdtContent>
        </w:sdt>
        <w:sdt>
          <w:sdtPr>
            <w:alias w:val="11 p."/>
            <w:tag w:val="part_86ee4ab9877743f99fbff8ed8f67d714"/>
            <w:lock w:val="sdtLocked"/>
            <w:richText/>
          </w:sdtPr>
          <w:sdtContent>
            <w:p>
              <w:pPr>
                <w:widowControl w:val="0"/>
                <w:ind w:firstLine="709"/>
                <w:jc w:val="both"/>
                <w:rPr>
                  <w:b/>
                  <w:szCs w:val="24"/>
                  <w:lang w:eastAsia="lt-LT"/>
                </w:rPr>
              </w:pPr>
              <w:sdt>
                <w:sdtPr>
                  <w:alias w:val="Numeris"/>
                  <w:tag w:val="nr_86ee4ab9877743f99fbff8ed8f67d714"/>
                  <w:lock w:val="sdtLocked"/>
                  <w:richText/>
                </w:sdtPr>
                <w:sdtContent>
                  <w:r>
                    <w:rPr>
                      <w:b/>
                      <w:szCs w:val="24"/>
                      <w:lang w:eastAsia="lt-LT"/>
                    </w:rPr>
                    <w:t>11</w:t>
                  </w:r>
                </w:sdtContent>
              </w:sdt>
              <w:r>
                <w:rPr>
                  <w:b/>
                  <w:szCs w:val="24"/>
                  <w:lang w:eastAsia="lt-LT"/>
                </w:rPr>
                <w:t>. Įstatymo projekto atitikimas Europos žmogaus teisių ir pagrindinių laisvių apsaugos konvencijos nuostatoms ir Europos Sąjungos dokumentams</w:t>
              </w:r>
            </w:p>
            <w:p>
              <w:pPr>
                <w:tabs>
                  <w:tab w:val="left" w:pos="567"/>
                </w:tabs>
                <w:ind w:firstLine="709"/>
                <w:jc w:val="both"/>
                <w:rPr>
                  <w:rFonts w:eastAsia="Calibri"/>
                  <w:b/>
                  <w:szCs w:val="24"/>
                </w:rPr>
              </w:pPr>
              <w:r>
                <w:rPr>
                  <w:rFonts w:eastAsia="Calibri"/>
                  <w:szCs w:val="24"/>
                </w:rPr>
                <w:t xml:space="preserve">Teikiamas </w:t>
              </w:r>
              <w:r>
                <w:rPr>
                  <w:szCs w:val="24"/>
                </w:rPr>
                <w:t>projektas</w:t>
              </w:r>
              <w:r>
                <w:rPr>
                  <w:rFonts w:eastAsia="Calibri"/>
                  <w:szCs w:val="24"/>
                </w:rPr>
                <w:t xml:space="preserve"> atitinka Žmogaus teisių ir pagrindinių laisvių apsaugos konvencijos nuostatas ir Europos Sąjungos dokumentų reikalavimus.</w:t>
              </w:r>
            </w:p>
            <w:p>
              <w:pPr>
                <w:widowControl w:val="0"/>
                <w:ind w:firstLine="709"/>
                <w:jc w:val="both"/>
                <w:rPr>
                  <w:szCs w:val="24"/>
                  <w:lang w:eastAsia="lt-LT"/>
                </w:rPr>
              </w:pPr>
            </w:p>
          </w:sdtContent>
        </w:sdt>
        <w:sdt>
          <w:sdtPr>
            <w:alias w:val="12 p."/>
            <w:tag w:val="part_fd3a314fc24a4f84a9a5e0218398ee9a"/>
            <w:lock w:val="sdtLocked"/>
            <w:richText/>
          </w:sdtPr>
          <w:sdtContent>
            <w:p>
              <w:pPr>
                <w:widowControl w:val="0"/>
                <w:ind w:firstLine="709"/>
                <w:jc w:val="both"/>
                <w:rPr>
                  <w:b/>
                  <w:szCs w:val="24"/>
                  <w:lang w:eastAsia="lt-LT"/>
                </w:rPr>
              </w:pPr>
              <w:sdt>
                <w:sdtPr>
                  <w:alias w:val="Numeris"/>
                  <w:tag w:val="nr_fd3a314fc24a4f84a9a5e0218398ee9a"/>
                  <w:lock w:val="sdtLocked"/>
                  <w:richText/>
                </w:sdtPr>
                <w:sdtContent>
                  <w:r>
                    <w:rPr>
                      <w:b/>
                      <w:szCs w:val="24"/>
                      <w:lang w:eastAsia="lt-LT"/>
                    </w:rPr>
                    <w:t>12</w:t>
                  </w:r>
                </w:sdtContent>
              </w:sdt>
              <w:r>
                <w:rPr>
                  <w:b/>
                  <w:szCs w:val="24"/>
                  <w:lang w:eastAsia="lt-LT"/>
                </w:rPr>
                <w:t>. Jeigu įstatymui įgyvendinti reikia įgyvendinamųjų teisės aktų, – kas ir kada juos turėtų priimti</w:t>
              </w:r>
            </w:p>
            <w:p>
              <w:pPr>
                <w:widowControl w:val="0"/>
                <w:ind w:firstLine="709"/>
                <w:jc w:val="both"/>
                <w:rPr>
                  <w:szCs w:val="24"/>
                  <w:lang w:eastAsia="lt-LT"/>
                </w:rPr>
              </w:pPr>
              <w:r>
                <w:rPr>
                  <w:color w:val="000000"/>
                  <w:szCs w:val="24"/>
                  <w:shd w:val="clear" w:color="auto" w:fill="FFFFFF"/>
                </w:rPr>
                <w:t>Lietuvos Respublikos Vyriausybė turės patvirtinti statinių ir įrenginių išpirkimo tvarką.</w:t>
              </w:r>
            </w:p>
            <w:p>
              <w:pPr>
                <w:widowControl w:val="0"/>
                <w:ind w:firstLine="709"/>
                <w:jc w:val="both"/>
                <w:rPr>
                  <w:b/>
                  <w:szCs w:val="24"/>
                  <w:lang w:eastAsia="lt-LT"/>
                </w:rPr>
              </w:pPr>
            </w:p>
          </w:sdtContent>
        </w:sdt>
        <w:sdt>
          <w:sdtPr>
            <w:alias w:val="13 p."/>
            <w:tag w:val="part_6e41ab6b514e434781cb8c7738c67b18"/>
            <w:lock w:val="sdtLocked"/>
            <w:richText/>
          </w:sdtPr>
          <w:sdtContent>
            <w:p>
              <w:pPr>
                <w:widowControl w:val="0"/>
                <w:ind w:firstLine="709"/>
                <w:jc w:val="both"/>
                <w:rPr>
                  <w:b/>
                  <w:szCs w:val="24"/>
                  <w:lang w:eastAsia="lt-LT"/>
                </w:rPr>
              </w:pPr>
              <w:sdt>
                <w:sdtPr>
                  <w:alias w:val="Numeris"/>
                  <w:tag w:val="nr_6e41ab6b514e434781cb8c7738c67b18"/>
                  <w:lock w:val="sdtLocked"/>
                  <w:richText/>
                </w:sdtPr>
                <w:sdtContent>
                  <w:r>
                    <w:rPr>
                      <w:b/>
                      <w:szCs w:val="24"/>
                      <w:lang w:eastAsia="lt-LT"/>
                    </w:rPr>
                    <w:t>13</w:t>
                  </w:r>
                </w:sdtContent>
              </w:sdt>
              <w:r>
                <w:rPr>
                  <w:b/>
                  <w:szCs w:val="24"/>
                  <w:lang w:eastAsia="lt-LT"/>
                </w:rPr>
                <w:t>. Kiek valstybės, savivaldybių biudžetų ir kitų valstybės įsteigtų fondų lėšų prireiks įstatymui įgyvendinti, ar bus galima sutaupyti</w:t>
              </w:r>
            </w:p>
            <w:p>
              <w:pPr>
                <w:ind w:firstLine="771"/>
                <w:jc w:val="both"/>
                <w:rPr>
                  <w:szCs w:val="24"/>
                </w:rPr>
              </w:pPr>
              <w:r>
                <w:rPr>
                  <w:szCs w:val="24"/>
                </w:rPr>
                <w:t>Lėšų įstatymo įgyvendinimui nereikės.</w:t>
              </w:r>
            </w:p>
            <w:p>
              <w:pPr>
                <w:widowControl w:val="0"/>
                <w:ind w:firstLine="709"/>
                <w:jc w:val="both"/>
                <w:rPr>
                  <w:szCs w:val="24"/>
                  <w:lang w:eastAsia="lt-LT"/>
                </w:rPr>
              </w:pPr>
            </w:p>
          </w:sdtContent>
        </w:sdt>
        <w:sdt>
          <w:sdtPr>
            <w:alias w:val="14 p."/>
            <w:tag w:val="part_228d198c793340578438b5ae347e3566"/>
            <w:lock w:val="sdtLocked"/>
            <w:richText/>
          </w:sdtPr>
          <w:sdtContent>
            <w:p>
              <w:pPr>
                <w:widowControl w:val="0"/>
                <w:ind w:firstLine="709"/>
                <w:jc w:val="both"/>
                <w:rPr>
                  <w:b/>
                  <w:szCs w:val="24"/>
                  <w:lang w:eastAsia="lt-LT"/>
                </w:rPr>
              </w:pPr>
              <w:sdt>
                <w:sdtPr>
                  <w:alias w:val="Numeris"/>
                  <w:tag w:val="nr_228d198c793340578438b5ae347e3566"/>
                  <w:lock w:val="sdtLocked"/>
                  <w:richText/>
                </w:sdtPr>
                <w:sdtContent>
                  <w:r>
                    <w:rPr>
                      <w:b/>
                      <w:szCs w:val="24"/>
                      <w:lang w:eastAsia="lt-LT"/>
                    </w:rPr>
                    <w:t>14</w:t>
                  </w:r>
                </w:sdtContent>
              </w:sdt>
              <w:r>
                <w:rPr>
                  <w:b/>
                  <w:szCs w:val="24"/>
                  <w:lang w:eastAsia="lt-LT"/>
                </w:rPr>
                <w:t>. Įstatymų projektų rengimo metu gauti specialistų vertinimai ir išvados</w:t>
              </w:r>
            </w:p>
            <w:p>
              <w:pPr>
                <w:tabs>
                  <w:tab w:val="left" w:pos="567"/>
                </w:tabs>
                <w:ind w:firstLine="709"/>
                <w:jc w:val="both"/>
                <w:rPr>
                  <w:szCs w:val="24"/>
                </w:rPr>
              </w:pPr>
              <w:r>
                <w:rPr>
                  <w:szCs w:val="24"/>
                </w:rPr>
                <w:t>Vertinimų ir išvadų nebuvo gauta.</w:t>
              </w:r>
            </w:p>
            <w:p>
              <w:pPr>
                <w:widowControl w:val="0"/>
                <w:jc w:val="both"/>
                <w:rPr>
                  <w:szCs w:val="24"/>
                  <w:lang w:eastAsia="lt-LT"/>
                </w:rPr>
              </w:pPr>
            </w:p>
          </w:sdtContent>
        </w:sdt>
        <w:sdt>
          <w:sdtPr>
            <w:alias w:val="15 p."/>
            <w:tag w:val="part_85eaf9cc5bc44943945259801bb13a67"/>
            <w:lock w:val="sdtLocked"/>
            <w:richText/>
          </w:sdtPr>
          <w:sdtContent>
            <w:p>
              <w:pPr>
                <w:widowControl w:val="0"/>
                <w:ind w:firstLine="709"/>
                <w:jc w:val="both"/>
                <w:rPr>
                  <w:b/>
                  <w:szCs w:val="24"/>
                  <w:lang w:eastAsia="lt-LT"/>
                </w:rPr>
              </w:pPr>
              <w:sdt>
                <w:sdtPr>
                  <w:alias w:val="Numeris"/>
                  <w:tag w:val="nr_85eaf9cc5bc44943945259801bb13a67"/>
                  <w:lock w:val="sdtLocked"/>
                  <w:richText/>
                </w:sdtPr>
                <w:sdtContent>
                  <w:r>
                    <w:rPr>
                      <w:b/>
                      <w:szCs w:val="24"/>
                      <w:lang w:eastAsia="lt-LT"/>
                    </w:rPr>
                    <w:t>15</w:t>
                  </w:r>
                </w:sdtContent>
              </w:sdt>
              <w:r>
                <w:rPr>
                  <w:b/>
                  <w:szCs w:val="24"/>
                  <w:lang w:eastAsia="lt-LT"/>
                </w:rPr>
                <w:t>. Reikšminiai žodžiai, kurių reikia šiam Įstatymo projektui įtraukti į kompiuterinę paieškos sistemą, įskaitant Europos žodyno „Eurovoc“ terminus, temas bei sritis</w:t>
              </w:r>
            </w:p>
            <w:p>
              <w:pPr>
                <w:widowControl w:val="0"/>
                <w:ind w:firstLine="709"/>
                <w:jc w:val="both"/>
                <w:rPr>
                  <w:szCs w:val="24"/>
                  <w:lang w:eastAsia="lt-LT"/>
                </w:rPr>
              </w:pPr>
              <w:r>
                <w:rPr>
                  <w:szCs w:val="24"/>
                  <w:lang w:eastAsia="lt-LT"/>
                </w:rPr>
                <w:t>„vietos savivalda“, „valstybinės žemės patikėtinis“.</w:t>
              </w:r>
            </w:p>
            <w:p>
              <w:pPr>
                <w:widowControl w:val="0"/>
                <w:ind w:firstLine="709"/>
                <w:jc w:val="both"/>
                <w:rPr>
                  <w:szCs w:val="24"/>
                  <w:lang w:eastAsia="lt-LT"/>
                </w:rPr>
              </w:pPr>
            </w:p>
          </w:sdtContent>
        </w:sdt>
        <w:sdt>
          <w:sdtPr>
            <w:alias w:val="16 p."/>
            <w:tag w:val="part_1d033ef106f946798dbc40e94b05cf67"/>
            <w:lock w:val="sdtLocked"/>
            <w:richText/>
          </w:sdtPr>
          <w:sdtContent>
            <w:p>
              <w:pPr>
                <w:widowControl w:val="0"/>
                <w:ind w:firstLine="709"/>
                <w:jc w:val="both"/>
                <w:rPr>
                  <w:b/>
                  <w:szCs w:val="24"/>
                  <w:lang w:eastAsia="lt-LT"/>
                </w:rPr>
              </w:pPr>
              <w:sdt>
                <w:sdtPr>
                  <w:alias w:val="Numeris"/>
                  <w:tag w:val="nr_1d033ef106f946798dbc40e94b05cf67"/>
                  <w:lock w:val="sdtLocked"/>
                  <w:richText/>
                </w:sdtPr>
                <w:sdtContent>
                  <w:r>
                    <w:rPr>
                      <w:b/>
                      <w:szCs w:val="24"/>
                      <w:lang w:eastAsia="lt-LT"/>
                    </w:rPr>
                    <w:t>16</w:t>
                  </w:r>
                </w:sdtContent>
              </w:sdt>
              <w:r>
                <w:rPr>
                  <w:b/>
                  <w:szCs w:val="24"/>
                  <w:lang w:eastAsia="lt-LT"/>
                </w:rPr>
                <w:t>. Kiti, iniciatorių nuomone, reikalingi pagrindimai ir paaiškinimai</w:t>
              </w:r>
            </w:p>
            <w:p>
              <w:pPr>
                <w:widowControl w:val="0"/>
                <w:ind w:firstLine="709"/>
                <w:jc w:val="both"/>
                <w:rPr>
                  <w:szCs w:val="24"/>
                  <w:lang w:eastAsia="lt-LT"/>
                </w:rPr>
              </w:pPr>
              <w:r>
                <w:rPr>
                  <w:szCs w:val="24"/>
                  <w:lang w:eastAsia="lt-LT"/>
                </w:rPr>
                <w:t>Nėra</w:t>
              </w:r>
            </w:p>
            <w:p>
              <w:pPr>
                <w:widowControl w:val="0"/>
                <w:ind w:firstLine="709"/>
                <w:jc w:val="both"/>
                <w:rPr>
                  <w:szCs w:val="24"/>
                  <w:lang w:eastAsia="lt-LT"/>
                </w:rPr>
              </w:pPr>
            </w:p>
            <w:p>
              <w:pPr>
                <w:widowControl w:val="0"/>
                <w:ind w:firstLine="709"/>
                <w:jc w:val="both"/>
                <w:rPr>
                  <w:szCs w:val="24"/>
                  <w:lang w:eastAsia="lt-LT"/>
                </w:rPr>
              </w:pPr>
            </w:p>
            <w:p>
              <w:pPr>
                <w:widowControl w:val="0"/>
                <w:ind w:firstLine="709"/>
                <w:jc w:val="both"/>
                <w:rPr>
                  <w:szCs w:val="24"/>
                  <w:lang w:eastAsia="lt-LT"/>
                </w:rPr>
              </w:pPr>
              <w:r>
                <w:rPr>
                  <w:szCs w:val="24"/>
                  <w:lang w:eastAsia="lt-LT"/>
                </w:rPr>
                <w:t xml:space="preserve">Seimo nariai: </w:t>
              </w: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widowControl w:val="0"/>
        <w:rPr>
          <w:szCs w:val="24"/>
          <w:lang w:eastAsia="lt-LT"/>
        </w:rPr>
      </w:pPr>
      <w:r>
        <w:rPr>
          <w:szCs w:val="24"/>
          <w:lang w:eastAsia="lt-LT"/>
        </w:rPr>
        <w:separator/>
      </w:r>
    </w:p>
  </w:endnote>
  <w:endnote w:type="continuationSeparator" w:id="0">
    <w:p>
      <w:pPr>
        <w:widowControl w:val="0"/>
        <w:rPr>
          <w:szCs w:val="24"/>
          <w:lang w:eastAsia="lt-LT"/>
        </w:rPr>
      </w:pPr>
      <w:r>
        <w:rPr>
          <w:szCs w:val="24"/>
          <w:lang w:eastAsia="lt-LT"/>
        </w:rPr>
        <w:continuationSeparator/>
      </w:r>
    </w:p>
  </w:endnote>
  <w:endnote w:type="continuationNotice" w:id="1">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inherit">
    <w:altName w:val="Times New Roman"/>
    <w:panose1 w:val="00000000000000000000"/>
    <w:charset w:val="00"/>
    <w:family w:val="roman"/>
    <w:notTrueType/>
    <w:pitch w:val="default"/>
  </w:font>
  <w:font w:name="Segoe UI Historic">
    <w:charset w:val="00"/>
    <w:family w:val="swiss"/>
    <w:pitch w:val="variable"/>
    <w:sig w:usb0="800001EF" w:usb1="02000002" w:usb2="0060C080" w:usb3="00000000" w:csb0="00000001" w:csb1="00000000"/>
  </w:font>
  <w:font w:name="Calibri">
    <w:panose1 w:val="020F0502020204030204"/>
    <w:charset w:val="BA"/>
    <w:family w:val="swiss"/>
    <w:pitch w:val="variable"/>
    <w:sig w:usb0="E4002EFF" w:usb1="C200247B" w:usb2="00000009" w:usb3="00000000" w:csb0="000001FF" w:csb1="00000000"/>
  </w:font>
  <w:font w:name="Calibri Light">
    <w:panose1 w:val="020F03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AFF" w:usb1="C0007843"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widowControl w:val="0"/>
      <w:tabs>
        <w:tab w:val="center" w:pos="4819"/>
        <w:tab w:val="right" w:pos="9638"/>
      </w:tabs>
      <w:rPr>
        <w:szCs w:val="24"/>
        <w:lang w:eastAsia="lt-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widowControl w:val="0"/>
      <w:tabs>
        <w:tab w:val="center" w:pos="4819"/>
        <w:tab w:val="right" w:pos="9638"/>
      </w:tabs>
      <w:rPr>
        <w:szCs w:val="24"/>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widowControl w:val="0"/>
      <w:tabs>
        <w:tab w:val="center" w:pos="4819"/>
        <w:tab w:val="right" w:pos="9638"/>
      </w:tabs>
      <w:rPr>
        <w:szCs w:val="24"/>
        <w:lang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widowControl w:val="0"/>
        <w:rPr>
          <w:szCs w:val="24"/>
          <w:lang w:eastAsia="lt-LT"/>
        </w:rPr>
      </w:pPr>
      <w:r>
        <w:rPr>
          <w:szCs w:val="24"/>
          <w:lang w:eastAsia="lt-LT"/>
        </w:rPr>
        <w:separator/>
      </w:r>
    </w:p>
  </w:footnote>
  <w:footnote w:type="continuationSeparator" w:id="0">
    <w:p>
      <w:pPr>
        <w:widowControl w:val="0"/>
        <w:rPr>
          <w:szCs w:val="24"/>
          <w:lang w:eastAsia="lt-LT"/>
        </w:rPr>
      </w:pPr>
      <w:r>
        <w:rPr>
          <w:szCs w:val="24"/>
          <w:lang w:eastAsia="lt-LT"/>
        </w:rPr>
        <w:continuationSeparator/>
      </w:r>
    </w:p>
  </w:footnote>
  <w:footnote w:type="continuationNotice" w:id="1">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widowControl w:val="0"/>
      <w:tabs>
        <w:tab w:val="center" w:pos="4819"/>
        <w:tab w:val="right" w:pos="9638"/>
      </w:tabs>
      <w:rPr>
        <w:szCs w:val="24"/>
        <w:lang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widowControl w:val="0"/>
      <w:tabs>
        <w:tab w:val="center" w:pos="4819"/>
        <w:tab w:val="right" w:pos="9638"/>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2</w:t>
    </w:r>
    <w:r>
      <w:rPr>
        <w:szCs w:val="24"/>
        <w:lang w:eastAsia="lt-LT"/>
      </w:rPr>
      <w:fldChar w:fldCharType="end"/>
    </w: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movePersonalInformation/>
  <w:removeDateAndTime/>
  <w:hideSpellingErrors/>
  <w:hideGrammaticalErrors/>
  <w:revisionView w:inkAnnotations="0"/>
  <w:defaultTabStop w:val="1296"/>
  <w:hyphenationZone w:val="396"/>
  <w:doNotHyphenateCaps/>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521E7"/>
  </w:rsids>
  <m:mathPr>
    <m:mathFont m:val="Cambria Math"/>
    <m:brkBin m:val="before"/>
    <m:brkBinSub m:val="--"/>
    <m:smallFrac m:val="0"/>
    <m:dispDef/>
    <m:lMargin m:val="0"/>
    <m:rMargin m:val="0"/>
    <m:defJc m:val="centerGroup"/>
    <m:wrapIndent m:val="1440"/>
    <m:intLim m:val="subSup"/>
    <m:naryLim m:val="undOvr"/>
  </m:mathPr>
  <w:themeFontLang w:val="lt-LT"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5:chartTrackingRefBased/>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03695009">
      <w:bodyDiv w:val="1"/>
      <w:marLeft w:val="0"/>
      <w:marRight w:val="0"/>
      <w:marTop w:val="0"/>
      <w:marBottom w:val="0"/>
      <w:divBdr>
        <w:top w:val="none" w:sz="0" w:space="0" w:color="auto"/>
        <w:left w:val="none" w:sz="0" w:space="0" w:color="auto"/>
        <w:bottom w:val="none" w:sz="0" w:space="0" w:color="auto"/>
        <w:right w:val="none" w:sz="0" w:space="0" w:color="auto"/>
      </w:divBdr>
    </w:div>
    <w:div w:id="491332332">
      <w:bodyDiv w:val="1"/>
      <w:marLeft w:val="0"/>
      <w:marRight w:val="0"/>
      <w:marTop w:val="0"/>
      <w:marBottom w:val="0"/>
      <w:divBdr>
        <w:top w:val="none" w:sz="0" w:space="0" w:color="auto"/>
        <w:left w:val="none" w:sz="0" w:space="0" w:color="auto"/>
        <w:bottom w:val="none" w:sz="0" w:space="0" w:color="auto"/>
        <w:right w:val="none" w:sz="0" w:space="0" w:color="auto"/>
      </w:divBdr>
    </w:div>
    <w:div w:id="623195065">
      <w:bodyDiv w:val="1"/>
      <w:marLeft w:val="0"/>
      <w:marRight w:val="0"/>
      <w:marTop w:val="0"/>
      <w:marBottom w:val="0"/>
      <w:divBdr>
        <w:top w:val="none" w:sz="0" w:space="0" w:color="auto"/>
        <w:left w:val="none" w:sz="0" w:space="0" w:color="auto"/>
        <w:bottom w:val="none" w:sz="0" w:space="0" w:color="auto"/>
        <w:right w:val="none" w:sz="0" w:space="0" w:color="auto"/>
      </w:divBdr>
    </w:div>
    <w:div w:id="668218256">
      <w:bodyDiv w:val="1"/>
      <w:marLeft w:val="0"/>
      <w:marRight w:val="0"/>
      <w:marTop w:val="0"/>
      <w:marBottom w:val="0"/>
      <w:divBdr>
        <w:top w:val="none" w:sz="0" w:space="0" w:color="auto"/>
        <w:left w:val="none" w:sz="0" w:space="0" w:color="auto"/>
        <w:bottom w:val="none" w:sz="0" w:space="0" w:color="auto"/>
        <w:right w:val="none" w:sz="0" w:space="0" w:color="auto"/>
      </w:divBdr>
      <w:divsChild>
        <w:div w:id="1545364746">
          <w:marLeft w:val="0"/>
          <w:marRight w:val="0"/>
          <w:marTop w:val="120"/>
          <w:marBottom w:val="0"/>
          <w:divBdr>
            <w:top w:val="none" w:sz="0" w:space="0" w:color="auto"/>
            <w:left w:val="none" w:sz="0" w:space="0" w:color="auto"/>
            <w:bottom w:val="none" w:sz="0" w:space="0" w:color="auto"/>
            <w:right w:val="none" w:sz="0" w:space="0" w:color="auto"/>
          </w:divBdr>
          <w:divsChild>
            <w:div w:id="17456836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69530443">
      <w:bodyDiv w:val="1"/>
      <w:marLeft w:val="0"/>
      <w:marRight w:val="0"/>
      <w:marTop w:val="0"/>
      <w:marBottom w:val="0"/>
      <w:divBdr>
        <w:top w:val="none" w:sz="0" w:space="0" w:color="auto"/>
        <w:left w:val="none" w:sz="0" w:space="0" w:color="auto"/>
        <w:bottom w:val="none" w:sz="0" w:space="0" w:color="auto"/>
        <w:right w:val="none" w:sz="0" w:space="0" w:color="auto"/>
      </w:divBdr>
      <w:divsChild>
        <w:div w:id="712342965">
          <w:marLeft w:val="0"/>
          <w:marRight w:val="0"/>
          <w:marTop w:val="0"/>
          <w:marBottom w:val="0"/>
          <w:divBdr>
            <w:top w:val="none" w:sz="0" w:space="0" w:color="auto"/>
            <w:left w:val="none" w:sz="0" w:space="0" w:color="auto"/>
            <w:bottom w:val="none" w:sz="0" w:space="0" w:color="auto"/>
            <w:right w:val="none" w:sz="0" w:space="0" w:color="auto"/>
          </w:divBdr>
        </w:div>
        <w:div w:id="1930307431">
          <w:marLeft w:val="0"/>
          <w:marRight w:val="0"/>
          <w:marTop w:val="0"/>
          <w:marBottom w:val="0"/>
          <w:divBdr>
            <w:top w:val="none" w:sz="0" w:space="0" w:color="auto"/>
            <w:left w:val="none" w:sz="0" w:space="0" w:color="auto"/>
            <w:bottom w:val="none" w:sz="0" w:space="0" w:color="auto"/>
            <w:right w:val="none" w:sz="0" w:space="0" w:color="auto"/>
          </w:divBdr>
        </w:div>
      </w:divsChild>
    </w:div>
    <w:div w:id="742484769">
      <w:bodyDiv w:val="1"/>
      <w:marLeft w:val="0"/>
      <w:marRight w:val="0"/>
      <w:marTop w:val="0"/>
      <w:marBottom w:val="0"/>
      <w:divBdr>
        <w:top w:val="none" w:sz="0" w:space="0" w:color="auto"/>
        <w:left w:val="none" w:sz="0" w:space="0" w:color="auto"/>
        <w:bottom w:val="none" w:sz="0" w:space="0" w:color="auto"/>
        <w:right w:val="none" w:sz="0" w:space="0" w:color="auto"/>
      </w:divBdr>
      <w:divsChild>
        <w:div w:id="270213354">
          <w:marLeft w:val="0"/>
          <w:marRight w:val="0"/>
          <w:marTop w:val="0"/>
          <w:marBottom w:val="0"/>
          <w:divBdr>
            <w:top w:val="none" w:sz="0" w:space="0" w:color="auto"/>
            <w:left w:val="none" w:sz="0" w:space="0" w:color="auto"/>
            <w:bottom w:val="none" w:sz="0" w:space="0" w:color="auto"/>
            <w:right w:val="none" w:sz="0" w:space="0" w:color="auto"/>
          </w:divBdr>
        </w:div>
      </w:divsChild>
    </w:div>
    <w:div w:id="971443593">
      <w:bodyDiv w:val="1"/>
      <w:marLeft w:val="0"/>
      <w:marRight w:val="0"/>
      <w:marTop w:val="0"/>
      <w:marBottom w:val="0"/>
      <w:divBdr>
        <w:top w:val="none" w:sz="0" w:space="0" w:color="auto"/>
        <w:left w:val="none" w:sz="0" w:space="0" w:color="auto"/>
        <w:bottom w:val="none" w:sz="0" w:space="0" w:color="auto"/>
        <w:right w:val="none" w:sz="0" w:space="0" w:color="auto"/>
      </w:divBdr>
    </w:div>
    <w:div w:id="1008412498">
      <w:bodyDiv w:val="1"/>
      <w:marLeft w:val="0"/>
      <w:marRight w:val="0"/>
      <w:marTop w:val="0"/>
      <w:marBottom w:val="0"/>
      <w:divBdr>
        <w:top w:val="none" w:sz="0" w:space="0" w:color="auto"/>
        <w:left w:val="none" w:sz="0" w:space="0" w:color="auto"/>
        <w:bottom w:val="none" w:sz="0" w:space="0" w:color="auto"/>
        <w:right w:val="none" w:sz="0" w:space="0" w:color="auto"/>
      </w:divBdr>
    </w:div>
    <w:div w:id="1098677592">
      <w:bodyDiv w:val="1"/>
      <w:marLeft w:val="0"/>
      <w:marRight w:val="0"/>
      <w:marTop w:val="0"/>
      <w:marBottom w:val="0"/>
      <w:divBdr>
        <w:top w:val="none" w:sz="0" w:space="0" w:color="auto"/>
        <w:left w:val="none" w:sz="0" w:space="0" w:color="auto"/>
        <w:bottom w:val="none" w:sz="0" w:space="0" w:color="auto"/>
        <w:right w:val="none" w:sz="0" w:space="0" w:color="auto"/>
      </w:divBdr>
    </w:div>
    <w:div w:id="1109157536">
      <w:bodyDiv w:val="1"/>
      <w:marLeft w:val="0"/>
      <w:marRight w:val="0"/>
      <w:marTop w:val="0"/>
      <w:marBottom w:val="0"/>
      <w:divBdr>
        <w:top w:val="none" w:sz="0" w:space="0" w:color="auto"/>
        <w:left w:val="none" w:sz="0" w:space="0" w:color="auto"/>
        <w:bottom w:val="none" w:sz="0" w:space="0" w:color="auto"/>
        <w:right w:val="none" w:sz="0" w:space="0" w:color="auto"/>
      </w:divBdr>
    </w:div>
    <w:div w:id="1129281277">
      <w:bodyDiv w:val="1"/>
      <w:marLeft w:val="0"/>
      <w:marRight w:val="0"/>
      <w:marTop w:val="0"/>
      <w:marBottom w:val="0"/>
      <w:divBdr>
        <w:top w:val="none" w:sz="0" w:space="0" w:color="auto"/>
        <w:left w:val="none" w:sz="0" w:space="0" w:color="auto"/>
        <w:bottom w:val="none" w:sz="0" w:space="0" w:color="auto"/>
        <w:right w:val="none" w:sz="0" w:space="0" w:color="auto"/>
      </w:divBdr>
    </w:div>
    <w:div w:id="1263344834">
      <w:bodyDiv w:val="1"/>
      <w:marLeft w:val="0"/>
      <w:marRight w:val="0"/>
      <w:marTop w:val="0"/>
      <w:marBottom w:val="0"/>
      <w:divBdr>
        <w:top w:val="none" w:sz="0" w:space="0" w:color="auto"/>
        <w:left w:val="none" w:sz="0" w:space="0" w:color="auto"/>
        <w:bottom w:val="none" w:sz="0" w:space="0" w:color="auto"/>
        <w:right w:val="none" w:sz="0" w:space="0" w:color="auto"/>
      </w:divBdr>
    </w:div>
    <w:div w:id="1299920055">
      <w:bodyDiv w:val="1"/>
      <w:marLeft w:val="0"/>
      <w:marRight w:val="0"/>
      <w:marTop w:val="0"/>
      <w:marBottom w:val="0"/>
      <w:divBdr>
        <w:top w:val="none" w:sz="0" w:space="0" w:color="auto"/>
        <w:left w:val="none" w:sz="0" w:space="0" w:color="auto"/>
        <w:bottom w:val="none" w:sz="0" w:space="0" w:color="auto"/>
        <w:right w:val="none" w:sz="0" w:space="0" w:color="auto"/>
      </w:divBdr>
    </w:div>
    <w:div w:id="1461653376">
      <w:bodyDiv w:val="1"/>
      <w:marLeft w:val="0"/>
      <w:marRight w:val="0"/>
      <w:marTop w:val="0"/>
      <w:marBottom w:val="0"/>
      <w:divBdr>
        <w:top w:val="none" w:sz="0" w:space="0" w:color="auto"/>
        <w:left w:val="none" w:sz="0" w:space="0" w:color="auto"/>
        <w:bottom w:val="none" w:sz="0" w:space="0" w:color="auto"/>
        <w:right w:val="none" w:sz="0" w:space="0" w:color="auto"/>
      </w:divBdr>
      <w:divsChild>
        <w:div w:id="1980114223">
          <w:marLeft w:val="0"/>
          <w:marRight w:val="0"/>
          <w:marTop w:val="0"/>
          <w:marBottom w:val="0"/>
          <w:divBdr>
            <w:top w:val="none" w:sz="0" w:space="0" w:color="auto"/>
            <w:left w:val="none" w:sz="0" w:space="0" w:color="auto"/>
            <w:bottom w:val="none" w:sz="0" w:space="0" w:color="auto"/>
            <w:right w:val="none" w:sz="0" w:space="0" w:color="auto"/>
          </w:divBdr>
          <w:divsChild>
            <w:div w:id="964774213">
              <w:marLeft w:val="0"/>
              <w:marRight w:val="0"/>
              <w:marTop w:val="0"/>
              <w:marBottom w:val="0"/>
              <w:divBdr>
                <w:top w:val="none" w:sz="0" w:space="0" w:color="auto"/>
                <w:left w:val="none" w:sz="0" w:space="0" w:color="auto"/>
                <w:bottom w:val="none" w:sz="0" w:space="0" w:color="auto"/>
                <w:right w:val="none" w:sz="0" w:space="0" w:color="auto"/>
              </w:divBdr>
              <w:divsChild>
                <w:div w:id="2023587483">
                  <w:marLeft w:val="0"/>
                  <w:marRight w:val="0"/>
                  <w:marTop w:val="0"/>
                  <w:marBottom w:val="0"/>
                  <w:divBdr>
                    <w:top w:val="none" w:sz="0" w:space="0" w:color="auto"/>
                    <w:left w:val="none" w:sz="0" w:space="0" w:color="auto"/>
                    <w:bottom w:val="none" w:sz="0" w:space="0" w:color="auto"/>
                    <w:right w:val="none" w:sz="0" w:space="0" w:color="auto"/>
                  </w:divBdr>
                  <w:divsChild>
                    <w:div w:id="243878957">
                      <w:marLeft w:val="0"/>
                      <w:marRight w:val="0"/>
                      <w:marTop w:val="0"/>
                      <w:marBottom w:val="0"/>
                      <w:divBdr>
                        <w:top w:val="none" w:sz="0" w:space="0" w:color="auto"/>
                        <w:left w:val="none" w:sz="0" w:space="0" w:color="auto"/>
                        <w:bottom w:val="none" w:sz="0" w:space="0" w:color="auto"/>
                        <w:right w:val="none" w:sz="0" w:space="0" w:color="auto"/>
                      </w:divBdr>
                      <w:divsChild>
                        <w:div w:id="1698506748">
                          <w:marLeft w:val="0"/>
                          <w:marRight w:val="0"/>
                          <w:marTop w:val="0"/>
                          <w:marBottom w:val="0"/>
                          <w:divBdr>
                            <w:top w:val="none" w:sz="0" w:space="0" w:color="auto"/>
                            <w:left w:val="none" w:sz="0" w:space="0" w:color="auto"/>
                            <w:bottom w:val="none" w:sz="0" w:space="0" w:color="auto"/>
                            <w:right w:val="none" w:sz="0" w:space="0" w:color="auto"/>
                          </w:divBdr>
                          <w:divsChild>
                            <w:div w:id="711660418">
                              <w:marLeft w:val="0"/>
                              <w:marRight w:val="0"/>
                              <w:marTop w:val="0"/>
                              <w:marBottom w:val="0"/>
                              <w:divBdr>
                                <w:top w:val="none" w:sz="0" w:space="0" w:color="auto"/>
                                <w:left w:val="none" w:sz="0" w:space="0" w:color="auto"/>
                                <w:bottom w:val="none" w:sz="0" w:space="0" w:color="auto"/>
                                <w:right w:val="none" w:sz="0" w:space="0" w:color="auto"/>
                              </w:divBdr>
                              <w:divsChild>
                                <w:div w:id="2041590592">
                                  <w:marLeft w:val="0"/>
                                  <w:marRight w:val="0"/>
                                  <w:marTop w:val="0"/>
                                  <w:marBottom w:val="0"/>
                                  <w:divBdr>
                                    <w:top w:val="none" w:sz="0" w:space="0" w:color="auto"/>
                                    <w:left w:val="none" w:sz="0" w:space="0" w:color="auto"/>
                                    <w:bottom w:val="none" w:sz="0" w:space="0" w:color="auto"/>
                                    <w:right w:val="none" w:sz="0" w:space="0" w:color="auto"/>
                                  </w:divBdr>
                                  <w:divsChild>
                                    <w:div w:id="1110585781">
                                      <w:marLeft w:val="0"/>
                                      <w:marRight w:val="0"/>
                                      <w:marTop w:val="0"/>
                                      <w:marBottom w:val="0"/>
                                      <w:divBdr>
                                        <w:top w:val="none" w:sz="0" w:space="0" w:color="auto"/>
                                        <w:left w:val="none" w:sz="0" w:space="0" w:color="auto"/>
                                        <w:bottom w:val="none" w:sz="0" w:space="0" w:color="auto"/>
                                        <w:right w:val="none" w:sz="0" w:space="0" w:color="auto"/>
                                      </w:divBdr>
                                      <w:divsChild>
                                        <w:div w:id="1871796632">
                                          <w:marLeft w:val="0"/>
                                          <w:marRight w:val="0"/>
                                          <w:marTop w:val="0"/>
                                          <w:marBottom w:val="0"/>
                                          <w:divBdr>
                                            <w:top w:val="none" w:sz="0" w:space="0" w:color="auto"/>
                                            <w:left w:val="none" w:sz="0" w:space="0" w:color="auto"/>
                                            <w:bottom w:val="none" w:sz="0" w:space="0" w:color="auto"/>
                                            <w:right w:val="none" w:sz="0" w:space="0" w:color="auto"/>
                                          </w:divBdr>
                                          <w:divsChild>
                                            <w:div w:id="1662392922">
                                              <w:marLeft w:val="0"/>
                                              <w:marRight w:val="0"/>
                                              <w:marTop w:val="0"/>
                                              <w:marBottom w:val="0"/>
                                              <w:divBdr>
                                                <w:top w:val="none" w:sz="0" w:space="0" w:color="auto"/>
                                                <w:left w:val="none" w:sz="0" w:space="0" w:color="auto"/>
                                                <w:bottom w:val="none" w:sz="0" w:space="0" w:color="auto"/>
                                                <w:right w:val="none" w:sz="0" w:space="0" w:color="auto"/>
                                              </w:divBdr>
                                              <w:divsChild>
                                                <w:div w:id="1634753425">
                                                  <w:marLeft w:val="0"/>
                                                  <w:marRight w:val="0"/>
                                                  <w:marTop w:val="0"/>
                                                  <w:marBottom w:val="0"/>
                                                  <w:divBdr>
                                                    <w:top w:val="none" w:sz="0" w:space="0" w:color="auto"/>
                                                    <w:left w:val="none" w:sz="0" w:space="0" w:color="auto"/>
                                                    <w:bottom w:val="none" w:sz="0" w:space="0" w:color="auto"/>
                                                    <w:right w:val="none" w:sz="0" w:space="0" w:color="auto"/>
                                                  </w:divBdr>
                                                  <w:divsChild>
                                                    <w:div w:id="838469712">
                                                      <w:marLeft w:val="0"/>
                                                      <w:marRight w:val="0"/>
                                                      <w:marTop w:val="0"/>
                                                      <w:marBottom w:val="0"/>
                                                      <w:divBdr>
                                                        <w:top w:val="none" w:sz="0" w:space="0" w:color="auto"/>
                                                        <w:left w:val="none" w:sz="0" w:space="0" w:color="auto"/>
                                                        <w:bottom w:val="none" w:sz="0" w:space="0" w:color="auto"/>
                                                        <w:right w:val="none" w:sz="0" w:space="0" w:color="auto"/>
                                                      </w:divBdr>
                                                      <w:divsChild>
                                                        <w:div w:id="1851287327">
                                                          <w:marLeft w:val="0"/>
                                                          <w:marRight w:val="0"/>
                                                          <w:marTop w:val="0"/>
                                                          <w:marBottom w:val="0"/>
                                                          <w:divBdr>
                                                            <w:top w:val="none" w:sz="0" w:space="0" w:color="auto"/>
                                                            <w:left w:val="none" w:sz="0" w:space="0" w:color="auto"/>
                                                            <w:bottom w:val="none" w:sz="0" w:space="0" w:color="auto"/>
                                                            <w:right w:val="none" w:sz="0" w:space="0" w:color="auto"/>
                                                          </w:divBdr>
                                                          <w:divsChild>
                                                            <w:div w:id="1619146028">
                                                              <w:marLeft w:val="0"/>
                                                              <w:marRight w:val="0"/>
                                                              <w:marTop w:val="0"/>
                                                              <w:marBottom w:val="0"/>
                                                              <w:divBdr>
                                                                <w:top w:val="none" w:sz="0" w:space="0" w:color="auto"/>
                                                                <w:left w:val="none" w:sz="0" w:space="0" w:color="auto"/>
                                                                <w:bottom w:val="none" w:sz="0" w:space="0" w:color="auto"/>
                                                                <w:right w:val="none" w:sz="0" w:space="0" w:color="auto"/>
                                                              </w:divBdr>
                                                              <w:divsChild>
                                                                <w:div w:id="1919172531">
                                                                  <w:marLeft w:val="0"/>
                                                                  <w:marRight w:val="0"/>
                                                                  <w:marTop w:val="0"/>
                                                                  <w:marBottom w:val="0"/>
                                                                  <w:divBdr>
                                                                    <w:top w:val="single" w:sz="24" w:space="0" w:color="auto"/>
                                                                    <w:left w:val="single" w:sz="24" w:space="0" w:color="auto"/>
                                                                    <w:bottom w:val="single" w:sz="24" w:space="0" w:color="auto"/>
                                                                    <w:right w:val="single" w:sz="24" w:space="0" w:color="auto"/>
                                                                  </w:divBdr>
                                                                  <w:divsChild>
                                                                    <w:div w:id="656493279">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690031721">
                                  <w:marLeft w:val="0"/>
                                  <w:marRight w:val="0"/>
                                  <w:marTop w:val="0"/>
                                  <w:marBottom w:val="0"/>
                                  <w:divBdr>
                                    <w:top w:val="none" w:sz="0" w:space="0" w:color="auto"/>
                                    <w:left w:val="none" w:sz="0" w:space="0" w:color="auto"/>
                                    <w:bottom w:val="none" w:sz="0" w:space="0" w:color="auto"/>
                                    <w:right w:val="none" w:sz="0" w:space="0" w:color="auto"/>
                                  </w:divBdr>
                                  <w:divsChild>
                                    <w:div w:id="570696294">
                                      <w:marLeft w:val="0"/>
                                      <w:marRight w:val="0"/>
                                      <w:marTop w:val="0"/>
                                      <w:marBottom w:val="0"/>
                                      <w:divBdr>
                                        <w:top w:val="single" w:sz="2" w:space="9" w:color="auto"/>
                                        <w:left w:val="single" w:sz="2" w:space="9" w:color="auto"/>
                                        <w:bottom w:val="single" w:sz="2" w:space="9" w:color="auto"/>
                                        <w:right w:val="single" w:sz="2" w:space="9" w:color="auto"/>
                                      </w:divBdr>
                                      <w:divsChild>
                                        <w:div w:id="813523005">
                                          <w:marLeft w:val="0"/>
                                          <w:marRight w:val="0"/>
                                          <w:marTop w:val="0"/>
                                          <w:marBottom w:val="0"/>
                                          <w:divBdr>
                                            <w:top w:val="none" w:sz="0" w:space="0" w:color="auto"/>
                                            <w:left w:val="none" w:sz="0" w:space="0" w:color="auto"/>
                                            <w:bottom w:val="none" w:sz="0" w:space="0" w:color="auto"/>
                                            <w:right w:val="none" w:sz="0" w:space="0" w:color="auto"/>
                                          </w:divBdr>
                                          <w:divsChild>
                                            <w:div w:id="1015229521">
                                              <w:marLeft w:val="0"/>
                                              <w:marRight w:val="0"/>
                                              <w:marTop w:val="75"/>
                                              <w:marBottom w:val="7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92171617">
          <w:marLeft w:val="0"/>
          <w:marRight w:val="0"/>
          <w:marTop w:val="0"/>
          <w:marBottom w:val="0"/>
          <w:divBdr>
            <w:top w:val="none" w:sz="0" w:space="0" w:color="auto"/>
            <w:left w:val="none" w:sz="0" w:space="0" w:color="auto"/>
            <w:bottom w:val="none" w:sz="0" w:space="0" w:color="auto"/>
            <w:right w:val="none" w:sz="0" w:space="0" w:color="auto"/>
          </w:divBdr>
          <w:divsChild>
            <w:div w:id="590968877">
              <w:marLeft w:val="0"/>
              <w:marRight w:val="0"/>
              <w:marTop w:val="0"/>
              <w:marBottom w:val="0"/>
              <w:divBdr>
                <w:top w:val="none" w:sz="0" w:space="0" w:color="auto"/>
                <w:left w:val="none" w:sz="0" w:space="0" w:color="auto"/>
                <w:bottom w:val="none" w:sz="0" w:space="0" w:color="auto"/>
                <w:right w:val="none" w:sz="0" w:space="0" w:color="auto"/>
              </w:divBdr>
              <w:divsChild>
                <w:div w:id="1782725053">
                  <w:marLeft w:val="0"/>
                  <w:marRight w:val="0"/>
                  <w:marTop w:val="0"/>
                  <w:marBottom w:val="0"/>
                  <w:divBdr>
                    <w:top w:val="none" w:sz="0" w:space="0" w:color="auto"/>
                    <w:left w:val="none" w:sz="0" w:space="0" w:color="auto"/>
                    <w:bottom w:val="none" w:sz="0" w:space="0" w:color="auto"/>
                    <w:right w:val="none" w:sz="0" w:space="0" w:color="auto"/>
                  </w:divBdr>
                  <w:divsChild>
                    <w:div w:id="901253083">
                      <w:marLeft w:val="0"/>
                      <w:marRight w:val="0"/>
                      <w:marTop w:val="0"/>
                      <w:marBottom w:val="0"/>
                      <w:divBdr>
                        <w:top w:val="none" w:sz="0" w:space="0" w:color="auto"/>
                        <w:left w:val="none" w:sz="0" w:space="0" w:color="auto"/>
                        <w:bottom w:val="none" w:sz="0" w:space="0" w:color="auto"/>
                        <w:right w:val="none" w:sz="0" w:space="0" w:color="auto"/>
                      </w:divBdr>
                      <w:divsChild>
                        <w:div w:id="1419139390">
                          <w:marLeft w:val="0"/>
                          <w:marRight w:val="0"/>
                          <w:marTop w:val="0"/>
                          <w:marBottom w:val="0"/>
                          <w:divBdr>
                            <w:top w:val="none" w:sz="0" w:space="0" w:color="auto"/>
                            <w:left w:val="none" w:sz="0" w:space="0" w:color="auto"/>
                            <w:bottom w:val="none" w:sz="0" w:space="0" w:color="auto"/>
                            <w:right w:val="none" w:sz="0" w:space="0" w:color="auto"/>
                          </w:divBdr>
                          <w:divsChild>
                            <w:div w:id="1829901729">
                              <w:marLeft w:val="0"/>
                              <w:marRight w:val="0"/>
                              <w:marTop w:val="0"/>
                              <w:marBottom w:val="0"/>
                              <w:divBdr>
                                <w:top w:val="none" w:sz="0" w:space="0" w:color="auto"/>
                                <w:left w:val="none" w:sz="0" w:space="0" w:color="auto"/>
                                <w:bottom w:val="none" w:sz="0" w:space="0" w:color="auto"/>
                                <w:right w:val="none" w:sz="0" w:space="0" w:color="auto"/>
                              </w:divBdr>
                              <w:divsChild>
                                <w:div w:id="950163238">
                                  <w:marLeft w:val="0"/>
                                  <w:marRight w:val="0"/>
                                  <w:marTop w:val="0"/>
                                  <w:marBottom w:val="0"/>
                                  <w:divBdr>
                                    <w:top w:val="none" w:sz="0" w:space="0" w:color="auto"/>
                                    <w:left w:val="none" w:sz="0" w:space="0" w:color="auto"/>
                                    <w:bottom w:val="none" w:sz="0" w:space="0" w:color="auto"/>
                                    <w:right w:val="none" w:sz="0" w:space="0" w:color="auto"/>
                                  </w:divBdr>
                                  <w:divsChild>
                                    <w:div w:id="1549415015">
                                      <w:marLeft w:val="0"/>
                                      <w:marRight w:val="0"/>
                                      <w:marTop w:val="0"/>
                                      <w:marBottom w:val="0"/>
                                      <w:divBdr>
                                        <w:top w:val="none" w:sz="0" w:space="0" w:color="auto"/>
                                        <w:left w:val="none" w:sz="0" w:space="0" w:color="auto"/>
                                        <w:bottom w:val="none" w:sz="0" w:space="0" w:color="auto"/>
                                        <w:right w:val="none" w:sz="0" w:space="0" w:color="auto"/>
                                      </w:divBdr>
                                      <w:divsChild>
                                        <w:div w:id="971327686">
                                          <w:marLeft w:val="0"/>
                                          <w:marRight w:val="0"/>
                                          <w:marTop w:val="0"/>
                                          <w:marBottom w:val="0"/>
                                          <w:divBdr>
                                            <w:top w:val="none" w:sz="0" w:space="0" w:color="auto"/>
                                            <w:left w:val="none" w:sz="0" w:space="0" w:color="auto"/>
                                            <w:bottom w:val="none" w:sz="0" w:space="0" w:color="auto"/>
                                            <w:right w:val="none" w:sz="0" w:space="0" w:color="auto"/>
                                          </w:divBdr>
                                          <w:divsChild>
                                            <w:div w:id="1327053916">
                                              <w:marLeft w:val="0"/>
                                              <w:marRight w:val="0"/>
                                              <w:marTop w:val="0"/>
                                              <w:marBottom w:val="0"/>
                                              <w:divBdr>
                                                <w:top w:val="none" w:sz="0" w:space="0" w:color="auto"/>
                                                <w:left w:val="none" w:sz="0" w:space="0" w:color="auto"/>
                                                <w:bottom w:val="none" w:sz="0" w:space="0" w:color="auto"/>
                                                <w:right w:val="none" w:sz="0" w:space="0" w:color="auto"/>
                                              </w:divBdr>
                                              <w:divsChild>
                                                <w:div w:id="977149019">
                                                  <w:marLeft w:val="0"/>
                                                  <w:marRight w:val="0"/>
                                                  <w:marTop w:val="0"/>
                                                  <w:marBottom w:val="0"/>
                                                  <w:divBdr>
                                                    <w:top w:val="none" w:sz="0" w:space="0" w:color="auto"/>
                                                    <w:left w:val="none" w:sz="0" w:space="0" w:color="auto"/>
                                                    <w:bottom w:val="none" w:sz="0" w:space="0" w:color="auto"/>
                                                    <w:right w:val="none" w:sz="0" w:space="0" w:color="auto"/>
                                                  </w:divBdr>
                                                  <w:divsChild>
                                                    <w:div w:id="1379277123">
                                                      <w:marLeft w:val="0"/>
                                                      <w:marRight w:val="0"/>
                                                      <w:marTop w:val="0"/>
                                                      <w:marBottom w:val="0"/>
                                                      <w:divBdr>
                                                        <w:top w:val="none" w:sz="0" w:space="0" w:color="auto"/>
                                                        <w:left w:val="none" w:sz="0" w:space="0" w:color="auto"/>
                                                        <w:bottom w:val="none" w:sz="0" w:space="0" w:color="auto"/>
                                                        <w:right w:val="none" w:sz="0" w:space="0" w:color="auto"/>
                                                      </w:divBdr>
                                                      <w:divsChild>
                                                        <w:div w:id="2129542767">
                                                          <w:marLeft w:val="0"/>
                                                          <w:marRight w:val="0"/>
                                                          <w:marTop w:val="150"/>
                                                          <w:marBottom w:val="0"/>
                                                          <w:divBdr>
                                                            <w:top w:val="none" w:sz="0" w:space="0" w:color="auto"/>
                                                            <w:left w:val="none" w:sz="0" w:space="0" w:color="auto"/>
                                                            <w:bottom w:val="none" w:sz="0" w:space="0" w:color="auto"/>
                                                            <w:right w:val="none" w:sz="0" w:space="0" w:color="auto"/>
                                                          </w:divBdr>
                                                        </w:div>
                                                      </w:divsChild>
                                                    </w:div>
                                                  </w:divsChild>
                                                </w:div>
                                              </w:divsChild>
                                            </w:div>
                                          </w:divsChild>
                                        </w:div>
                                        <w:div w:id="1453673536">
                                          <w:marLeft w:val="0"/>
                                          <w:marRight w:val="0"/>
                                          <w:marTop w:val="0"/>
                                          <w:marBottom w:val="0"/>
                                          <w:divBdr>
                                            <w:top w:val="none" w:sz="0" w:space="0" w:color="auto"/>
                                            <w:left w:val="none" w:sz="0" w:space="0" w:color="auto"/>
                                            <w:bottom w:val="none" w:sz="0" w:space="0" w:color="auto"/>
                                            <w:right w:val="none" w:sz="0" w:space="0" w:color="auto"/>
                                          </w:divBdr>
                                          <w:divsChild>
                                            <w:div w:id="1873566271">
                                              <w:marLeft w:val="0"/>
                                              <w:marRight w:val="0"/>
                                              <w:marTop w:val="0"/>
                                              <w:marBottom w:val="0"/>
                                              <w:divBdr>
                                                <w:top w:val="none" w:sz="0" w:space="0" w:color="auto"/>
                                                <w:left w:val="none" w:sz="0" w:space="0" w:color="auto"/>
                                                <w:bottom w:val="none" w:sz="0" w:space="0" w:color="auto"/>
                                                <w:right w:val="none" w:sz="0" w:space="0" w:color="auto"/>
                                              </w:divBdr>
                                              <w:divsChild>
                                                <w:div w:id="1783840715">
                                                  <w:marLeft w:val="0"/>
                                                  <w:marRight w:val="0"/>
                                                  <w:marTop w:val="0"/>
                                                  <w:marBottom w:val="0"/>
                                                  <w:divBdr>
                                                    <w:top w:val="none" w:sz="0" w:space="0" w:color="auto"/>
                                                    <w:left w:val="none" w:sz="0" w:space="0" w:color="auto"/>
                                                    <w:bottom w:val="none" w:sz="0" w:space="0" w:color="auto"/>
                                                    <w:right w:val="none" w:sz="0" w:space="0" w:color="auto"/>
                                                  </w:divBdr>
                                                  <w:divsChild>
                                                    <w:div w:id="1130169680">
                                                      <w:marLeft w:val="0"/>
                                                      <w:marRight w:val="0"/>
                                                      <w:marTop w:val="0"/>
                                                      <w:marBottom w:val="0"/>
                                                      <w:divBdr>
                                                        <w:top w:val="none" w:sz="0" w:space="0" w:color="auto"/>
                                                        <w:left w:val="none" w:sz="0" w:space="0" w:color="auto"/>
                                                        <w:bottom w:val="none" w:sz="0" w:space="0" w:color="auto"/>
                                                        <w:right w:val="none" w:sz="0" w:space="0" w:color="auto"/>
                                                      </w:divBdr>
                                                      <w:divsChild>
                                                        <w:div w:id="1780560141">
                                                          <w:marLeft w:val="0"/>
                                                          <w:marRight w:val="0"/>
                                                          <w:marTop w:val="0"/>
                                                          <w:marBottom w:val="0"/>
                                                          <w:divBdr>
                                                            <w:top w:val="none" w:sz="0" w:space="0" w:color="auto"/>
                                                            <w:left w:val="none" w:sz="0" w:space="0" w:color="auto"/>
                                                            <w:bottom w:val="none" w:sz="0" w:space="0" w:color="auto"/>
                                                            <w:right w:val="none" w:sz="0" w:space="0" w:color="auto"/>
                                                          </w:divBdr>
                                                          <w:divsChild>
                                                            <w:div w:id="1755928298">
                                                              <w:marLeft w:val="0"/>
                                                              <w:marRight w:val="0"/>
                                                              <w:marTop w:val="0"/>
                                                              <w:marBottom w:val="0"/>
                                                              <w:divBdr>
                                                                <w:top w:val="none" w:sz="0" w:space="0" w:color="auto"/>
                                                                <w:left w:val="none" w:sz="0" w:space="0" w:color="auto"/>
                                                                <w:bottom w:val="none" w:sz="0" w:space="0" w:color="auto"/>
                                                                <w:right w:val="none" w:sz="0" w:space="0" w:color="auto"/>
                                                              </w:divBdr>
                                                              <w:divsChild>
                                                                <w:div w:id="799112971">
                                                                  <w:marLeft w:val="0"/>
                                                                  <w:marRight w:val="0"/>
                                                                  <w:marTop w:val="0"/>
                                                                  <w:marBottom w:val="0"/>
                                                                  <w:divBdr>
                                                                    <w:top w:val="single" w:sz="24" w:space="0" w:color="auto"/>
                                                                    <w:left w:val="single" w:sz="24" w:space="0" w:color="auto"/>
                                                                    <w:bottom w:val="single" w:sz="24" w:space="0" w:color="auto"/>
                                                                    <w:right w:val="single" w:sz="24" w:space="0" w:color="auto"/>
                                                                  </w:divBdr>
                                                                  <w:divsChild>
                                                                    <w:div w:id="1851334339">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 w:id="1483038069">
      <w:bodyDiv w:val="1"/>
      <w:marLeft w:val="0"/>
      <w:marRight w:val="0"/>
      <w:marTop w:val="0"/>
      <w:marBottom w:val="0"/>
      <w:divBdr>
        <w:top w:val="none" w:sz="0" w:space="0" w:color="auto"/>
        <w:left w:val="none" w:sz="0" w:space="0" w:color="auto"/>
        <w:bottom w:val="none" w:sz="0" w:space="0" w:color="auto"/>
        <w:right w:val="none" w:sz="0" w:space="0" w:color="auto"/>
      </w:divBdr>
    </w:div>
    <w:div w:id="1672566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9652549f1ece49b4ae0b6a5f4e672569" PartId="639cae631b3347fea28cd09563d8dd9e">
    <Part Type="punktas" Nr="1" Abbr="1 p." DocPartId="550a80eca22c48a181222af2985e0db5" PartId="fc95059c29a9421d8f7ab70711638df7"/>
    <Part Type="punktas" Nr="2" Abbr="2 p." DocPartId="3d101f2093594c72b08c6b7dca7f81d5" PartId="558d724b948545e38f55d35dfb78299e"/>
    <Part Type="punktas" Nr="3" Abbr="3 p." DocPartId="87332f30124841f5997c9a6324cd52f7" PartId="a48e9086d8dc4abdaa37e328a47689ee"/>
    <Part Type="punktas" Nr="4" Abbr="4 p." DocPartId="3abc238f4b23444e906122a2a3635db1" PartId="50e908d24c0a4a7b99117b56ffbc3473"/>
    <Part Type="punktas" Nr="5" Abbr="5 p." DocPartId="e32c9fc0a786482794cd60b5826c721a" PartId="8822581ecec54c10b5189a94b4a70942"/>
    <Part Type="punktas" Nr="6" Abbr="6 p." DocPartId="1c80e777fbd043a3a3f21a2effe49358" PartId="cc918654232749ba8dc2dd45909f8856"/>
    <Part Type="punktas" Nr="7" Abbr="7 p." DocPartId="02622e00830d4ec2806444fa90b03195" PartId="8f3592c253c34f15b303d7d1af5aaddc"/>
    <Part Type="punktas" Nr="8" Abbr="8 p." DocPartId="270ba6368fff4a38ac16b4207ff54b67" PartId="21a4974c5dd2422facc82236881df728"/>
    <Part Type="punktas" Nr="9" Abbr="9 p." DocPartId="c901adf0f51b4dcbbc3e834d5f7a2e01" PartId="2f23d0361e784db5ab7fc80f370c6b49"/>
    <Part Type="punktas" Nr="10" Abbr="10 p." DocPartId="239e85e32b934b8db7a56780e43dd412" PartId="aa4c8ec173014a789b5d7fde71161f66"/>
    <Part Type="punktas" Nr="11" Abbr="11 p." DocPartId="1ead6942483d48f99e146056ecce12f3" PartId="86ee4ab9877743f99fbff8ed8f67d714"/>
    <Part Type="punktas" Nr="12" Abbr="12 p." DocPartId="dc6c4e6c4def400a804f6f33d6e391de" PartId="fd3a314fc24a4f84a9a5e0218398ee9a"/>
    <Part Type="punktas" Nr="13" Abbr="13 p." DocPartId="3509fdeab4b64d6eb6005a0d077bd88d" PartId="6e41ab6b514e434781cb8c7738c67b18"/>
    <Part Type="punktas" Nr="14" Abbr="14 p." DocPartId="9198c82c0ce34402884850757c641f2a" PartId="228d198c793340578438b5ae347e3566"/>
    <Part Type="punktas" Nr="15" Abbr="15 p." DocPartId="6ad8f658da4a4baba8ba4a84b5ad311e" PartId="85eaf9cc5bc44943945259801bb13a67"/>
    <Part Type="punktas" Nr="16" Abbr="16 p." DocPartId="5f76af24b71b43bd81b3b32d5d798014" PartId="1d033ef106f946798dbc40e94b05cf67"/>
  </Part>
</Parts>
</file>

<file path=customXml/itemProps1.xml><?xml version="1.0" encoding="utf-8"?>
<ds:datastoreItem xmlns:ds="http://schemas.openxmlformats.org/officeDocument/2006/customXml" ds:itemID="{EFD1072B-C476-4BC6-B0F5-1E43572DB63E}">
  <ds:schemaRefs>
    <ds:schemaRef ds:uri="http://schemas.openxmlformats.org/officeDocument/2006/bibliography"/>
  </ds:schemaRefs>
</ds:datastoreItem>
</file>

<file path=customXml/itemProps2.xml><?xml version="1.0" encoding="utf-8"?>
<ds:datastoreItem xmlns:ds="http://schemas.openxmlformats.org/officeDocument/2006/customXml" ds:itemID="{5D4EB552-47EB-49EC-A065-5ED4351A2ACD}">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634</Words>
  <Characters>4620</Characters>
  <Application>Microsoft Office Word</Application>
  <DocSecurity>4</DocSecurity>
  <Lines>92</Lines>
  <Paragraphs>44</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5210</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2025-04-29T12:14:00Z</dcterms:created>
  <dcterms:modified xsi:type="dcterms:W3CDTF">2025-04-29T12:14:00Z</dcterms:modified>
  <revision>1</revision>
</coreProperties>
</file>