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684cf5d320244c3a50b41f5544ead3f"/>
        <w:lock w:val="sdtLocked"/>
        <w:richText/>
      </w:sdtPr>
      <w:sdtContent>
        <w:p>
          <w:pPr>
            <w:tabs>
              <w:tab w:val="center" w:pos="4819"/>
              <w:tab w:val="right" w:pos="9638"/>
            </w:tabs>
            <w:rPr>
              <w:sz w:val="22"/>
              <w:szCs w:val="22"/>
            </w:rPr>
          </w:pPr>
        </w:p>
        <w:p>
          <w:pPr>
            <w:tabs>
              <w:tab w:val="center" w:pos="4819"/>
              <w:tab w:val="right" w:pos="9638"/>
            </w:tabs>
            <w:jc w:val="center"/>
            <w:rPr>
              <w:b/>
              <w:bCs/>
            </w:rPr>
          </w:pPr>
          <w:r>
            <w:rPr>
              <w:b/>
              <w:bCs/>
            </w:rPr>
            <w:t xml:space="preserve">PLĖTROS PROGRAMOS PAŽANGOS PRIEMONĖS </w:t>
          </w:r>
          <w:r>
            <w:rPr>
              <w:b/>
              <w:bCs/>
              <w:color w:val="000000"/>
              <w:lang w:eastAsia="lt-LT"/>
            </w:rPr>
            <w:t xml:space="preserve">APRAŠE NURODYTOS INFORMACIJOS </w:t>
          </w:r>
          <w:r>
            <w:rPr>
              <w:b/>
              <w:bCs/>
            </w:rPr>
            <w:t>PAGRINDIMO APRAŠAS</w:t>
          </w:r>
        </w:p>
        <w:p>
          <w:pPr>
            <w:jc w:val="center"/>
            <w:rPr>
              <w:b/>
              <w:szCs w:val="24"/>
            </w:rPr>
          </w:pPr>
        </w:p>
        <w:sdt>
          <w:sdtPr>
            <w:alias w:val="skyrius"/>
            <w:tag w:val="part_f3602c7dd99743289e38dea0d23af2fa"/>
            <w:lock w:val="sdtLocked"/>
            <w:richText/>
          </w:sdtPr>
          <w:sdtContent>
            <w:p>
              <w:pPr>
                <w:jc w:val="center"/>
                <w:rPr>
                  <w:b/>
                  <w:bCs/>
                </w:rPr>
              </w:pPr>
              <w:sdt>
                <w:sdtPr>
                  <w:alias w:val="Numeris"/>
                  <w:tag w:val="nr_f3602c7dd99743289e38dea0d23af2fa"/>
                  <w:lock w:val="sdtLocked"/>
                  <w:richText/>
                </w:sdtPr>
                <w:sdtContent>
                  <w:r>
                    <w:rPr>
                      <w:b/>
                      <w:bCs/>
                    </w:rPr>
                    <w:t>I</w:t>
                  </w:r>
                </w:sdtContent>
              </w:sdt>
              <w:r>
                <w:rPr>
                  <w:b/>
                  <w:bCs/>
                </w:rPr>
                <w:t xml:space="preserve"> SKYRIUS</w:t>
              </w:r>
            </w:p>
            <w:p>
              <w:pPr>
                <w:jc w:val="center"/>
                <w:rPr>
                  <w:b/>
                  <w:bCs/>
                </w:rPr>
              </w:pPr>
              <w:sdt>
                <w:sdtPr>
                  <w:alias w:val="Pavadinimas"/>
                  <w:tag w:val="title_f3602c7dd99743289e38dea0d23af2fa"/>
                  <w:lock w:val="sdtLocked"/>
                  <w:richText/>
                </w:sdtPr>
                <w:sdtContent>
                  <w:r>
                    <w:rPr>
                      <w:b/>
                      <w:bCs/>
                    </w:rPr>
                    <w:t>BENDROSIOS NUOSTATOS</w:t>
                  </w:r>
                </w:sdtContent>
              </w:sdt>
            </w:p>
            <w:p>
              <w:pPr>
                <w:jc w:val="center"/>
                <w:rPr>
                  <w:b/>
                  <w:szCs w:val="24"/>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7484"/>
              </w:tblGrid>
              <w:tr>
                <w:tc>
                  <w:tcPr>
                    <w:tcW w:w="2972" w:type="dxa"/>
                    <w:shd w:val="clear" w:color="auto" w:fill="DBE5F1" w:themeFill="accent1" w:themeFillTint="33"/>
                  </w:tcPr>
                  <w:p>
                    <w:pPr>
                      <w:spacing w:line="276" w:lineRule="auto"/>
                      <w:jc w:val="center"/>
                      <w:rPr>
                        <w:b/>
                        <w:bCs/>
                        <w:sz w:val="22"/>
                        <w:szCs w:val="22"/>
                      </w:rPr>
                    </w:pPr>
                    <w:r>
                      <w:rPr>
                        <w:b/>
                        <w:bCs/>
                      </w:rPr>
                      <w:t xml:space="preserve">Plėtros programos pažangos </w:t>
                    </w:r>
                    <w:r>
                      <w:rPr>
                        <w:b/>
                        <w:bCs/>
                        <w:sz w:val="22"/>
                        <w:szCs w:val="22"/>
                      </w:rPr>
                      <w:t>priemonės kodas ir pavadinimas</w:t>
                    </w:r>
                  </w:p>
                </w:tc>
                <w:tc>
                  <w:tcPr>
                    <w:tcW w:w="7484" w:type="dxa"/>
                  </w:tcPr>
                  <w:p>
                    <w:pPr>
                      <w:spacing w:line="276" w:lineRule="auto"/>
                      <w:jc w:val="both"/>
                      <w:rPr>
                        <w:sz w:val="20"/>
                      </w:rPr>
                    </w:pPr>
                    <w:r>
                      <w:rPr>
                        <w:sz w:val="20"/>
                      </w:rPr>
                      <w:t>02-001-06-04-02 „Didinti klimato kaitos politikos veiksmingumą“</w:t>
                    </w:r>
                  </w:p>
                </w:tc>
              </w:tr>
              <w:tr>
                <w:tc>
                  <w:tcPr>
                    <w:tcW w:w="2972" w:type="dxa"/>
                    <w:shd w:val="clear" w:color="auto" w:fill="DBE5F1" w:themeFill="accent1" w:themeFillTint="33"/>
                  </w:tcPr>
                  <w:p>
                    <w:pPr>
                      <w:jc w:val="center"/>
                      <w:rPr>
                        <w:b/>
                        <w:sz w:val="22"/>
                        <w:szCs w:val="24"/>
                      </w:rPr>
                    </w:pPr>
                    <w:r>
                      <w:rPr>
                        <w:b/>
                        <w:sz w:val="22"/>
                        <w:szCs w:val="24"/>
                      </w:rPr>
                      <w:t>Nacionalinio pažangos plano uždavinys</w:t>
                    </w:r>
                  </w:p>
                </w:tc>
                <w:tc>
                  <w:tcPr>
                    <w:tcW w:w="7484" w:type="dxa"/>
                  </w:tcPr>
                  <w:p>
                    <w:pPr>
                      <w:spacing w:line="276" w:lineRule="auto"/>
                      <w:jc w:val="both"/>
                      <w:rPr>
                        <w:iCs/>
                        <w:sz w:val="20"/>
                        <w:szCs w:val="24"/>
                      </w:rPr>
                    </w:pPr>
                    <w:r>
                      <w:rPr>
                        <w:iCs/>
                        <w:sz w:val="20"/>
                        <w:szCs w:val="24"/>
                      </w:rPr>
                      <w:t>6.4 uždavinys „Švelninti poveikį klimato kaitai, įskaitant gyvenamųjų ir savivaldybių viešųjų pastatų energijos vartojimo efektyvumo didinimą ir energijos iš atsinaujinančių išteklių naudojimo skatinimą“ </w:t>
                    </w:r>
                  </w:p>
                </w:tc>
              </w:tr>
              <w:tr>
                <w:tc>
                  <w:tcPr>
                    <w:tcW w:w="2972" w:type="dxa"/>
                    <w:shd w:val="clear" w:color="auto" w:fill="DBE5F1" w:themeFill="accent1" w:themeFillTint="33"/>
                  </w:tcPr>
                  <w:p>
                    <w:pPr>
                      <w:jc w:val="center"/>
                      <w:rPr>
                        <w:b/>
                        <w:sz w:val="22"/>
                        <w:szCs w:val="24"/>
                      </w:rPr>
                    </w:pPr>
                    <w:r>
                      <w:rPr>
                        <w:b/>
                        <w:sz w:val="22"/>
                        <w:szCs w:val="24"/>
                      </w:rPr>
                      <w:t>Plėtros programa</w:t>
                    </w:r>
                  </w:p>
                </w:tc>
                <w:tc>
                  <w:tcPr>
                    <w:tcW w:w="7484" w:type="dxa"/>
                  </w:tcPr>
                  <w:p>
                    <w:pPr>
                      <w:spacing w:line="276" w:lineRule="auto"/>
                      <w:jc w:val="both"/>
                      <w:rPr>
                        <w:sz w:val="20"/>
                      </w:rPr>
                    </w:pPr>
                    <w:r>
                      <w:rPr>
                        <w:sz w:val="20"/>
                      </w:rPr>
                      <w:t>2022–2030 metų plėtros programos valdytojos Lietuvos Respublikos aplinkos ministerijos aplinkos apsaugos ir klimato kaitos valdymo plėtros programa, patvirtinta Lietuvos Respublikos Vyriausybės 2022 m. kovo 30 d. nutarimu Nr. 318 „Dėl2022–2030 metų plėtros programos valdytojos Lietuvos Respublikos aplinkos ministerijos aplinkos apsaugos ir klimato kaitos valdymo plėtros programos patvirtinimo“ (toliau – Programa)</w:t>
                    </w:r>
                  </w:p>
                </w:tc>
              </w:tr>
              <w:tr>
                <w:tc>
                  <w:tcPr>
                    <w:tcW w:w="2972" w:type="dxa"/>
                    <w:shd w:val="clear" w:color="auto" w:fill="DBE5F1" w:themeFill="accent1" w:themeFillTint="33"/>
                  </w:tcPr>
                  <w:p>
                    <w:pPr>
                      <w:jc w:val="center"/>
                      <w:rPr>
                        <w:b/>
                        <w:sz w:val="22"/>
                        <w:szCs w:val="24"/>
                      </w:rPr>
                    </w:pPr>
                    <w:r>
                      <w:rPr>
                        <w:b/>
                        <w:sz w:val="22"/>
                        <w:szCs w:val="24"/>
                      </w:rPr>
                      <w:t>Atsakinga institucija (koordinuojančioji institucija)</w:t>
                    </w:r>
                  </w:p>
                </w:tc>
                <w:tc>
                  <w:tcPr>
                    <w:tcW w:w="7484" w:type="dxa"/>
                  </w:tcPr>
                  <w:p>
                    <w:pPr>
                      <w:spacing w:line="276" w:lineRule="auto"/>
                      <w:jc w:val="both"/>
                      <w:rPr>
                        <w:sz w:val="20"/>
                      </w:rPr>
                    </w:pPr>
                    <w:r>
                      <w:rPr>
                        <w:sz w:val="20"/>
                      </w:rPr>
                      <w:t>Lietuvos Respublikos aplinkos ministerija (toliau – Aplinkos ministerija)</w:t>
                    </w:r>
                  </w:p>
                </w:tc>
              </w:tr>
            </w:tbl>
            <w:sdt>
              <w:sdtPr>
                <w:alias w:val="poskyris"/>
                <w:tag w:val="part_cacebcae7b9841ee85548bee9c12feaf"/>
                <w:lock w:val="sdtLocked"/>
                <w:richText/>
              </w:sdtPr>
              <w:sdtContent>
                <w:p>
                  <w:pPr>
                    <w:ind w:firstLine="567"/>
                    <w:jc w:val="both"/>
                    <w:rPr>
                      <w:b/>
                      <w:bCs/>
                      <w:sz w:val="20"/>
                    </w:rPr>
                  </w:pPr>
                  <w:sdt>
                    <w:sdtPr>
                      <w:alias w:val="Pavadinimas"/>
                      <w:tag w:val="title_cacebcae7b9841ee85548bee9c12feaf"/>
                      <w:lock w:val="sdtLocked"/>
                      <w:richText/>
                    </w:sdtPr>
                    <w:sdtContent>
                      <w:r>
                        <w:rPr>
                          <w:b/>
                          <w:bCs/>
                          <w:sz w:val="20"/>
                        </w:rPr>
                        <w:t>Paaiškinimai:</w:t>
                      </w:r>
                    </w:sdtContent>
                  </w:sdt>
                </w:p>
                <w:sdt>
                  <w:sdtPr>
                    <w:alias w:val="1 p."/>
                    <w:tag w:val="part_b9a9d448524b482eaec31065edefb52b"/>
                    <w:lock w:val="sdtLocked"/>
                    <w:richText/>
                  </w:sdtPr>
                  <w:sdtContent>
                    <w:p>
                      <w:pPr>
                        <w:ind w:firstLine="567"/>
                        <w:jc w:val="both"/>
                        <w:rPr>
                          <w:sz w:val="20"/>
                        </w:rPr>
                      </w:pPr>
                      <w:sdt>
                        <w:sdtPr>
                          <w:alias w:val="Numeris"/>
                          <w:tag w:val="nr_b9a9d448524b482eaec31065edefb52b"/>
                          <w:lock w:val="sdtLocked"/>
                          <w:richText/>
                        </w:sdtPr>
                        <w:sdtContent>
                          <w:r>
                            <w:rPr>
                              <w:sz w:val="20"/>
                            </w:rPr>
                            <w:t>1</w:t>
                          </w:r>
                        </w:sdtContent>
                      </w:sdt>
                      <w:r>
                        <w:rPr>
                          <w:sz w:val="20"/>
                        </w:rPr>
                        <w:t>. Plėtros programos pažangos priemonės kodas nurodomas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20"/>
                          <w:vertAlign w:val="superscript"/>
                        </w:rPr>
                        <w:t>1</w:t>
                      </w:r>
                      <w:r>
                        <w:rPr>
                          <w:sz w:val="20"/>
                        </w:rPr>
                        <w:t> straipsnio 3 dalies įgyvendinimo“ (toliau – Strateginio valdymo metodika), 9 priede nustatyta tvarka.</w:t>
                      </w:r>
                    </w:p>
                  </w:sdtContent>
                </w:sdt>
                <w:sdt>
                  <w:sdtPr>
                    <w:alias w:val="2 p."/>
                    <w:tag w:val="part_36c3d61599254b429bd7d513efbe7e5f"/>
                    <w:lock w:val="sdtLocked"/>
                    <w:richText/>
                  </w:sdtPr>
                  <w:sdtContent>
                    <w:p>
                      <w:pPr>
                        <w:ind w:firstLine="567"/>
                        <w:jc w:val="both"/>
                        <w:rPr>
                          <w:sz w:val="20"/>
                        </w:rPr>
                      </w:pPr>
                      <w:sdt>
                        <w:sdtPr>
                          <w:alias w:val="Numeris"/>
                          <w:tag w:val="nr_36c3d61599254b429bd7d513efbe7e5f"/>
                          <w:lock w:val="sdtLocked"/>
                          <w:richText/>
                        </w:sdtPr>
                        <w:sdtContent>
                          <w:r>
                            <w:rPr>
                              <w:sz w:val="20"/>
                            </w:rPr>
                            <w:t>2</w:t>
                          </w:r>
                        </w:sdtContent>
                      </w:sdt>
                      <w:r>
                        <w:rPr>
                          <w:sz w:val="20"/>
                        </w:rPr>
                        <w:t>. Kartu su plėtros programos pažangos priemonės apraše nurodytos informacijos pagrindimo aprašu pateikiama stebėsenos rodiklio aprašymo kortelė, kurios forma pateikta Strateginio valdymo metodikos 2 priede. Jeigu veiklos (poveiklės) vykdymo pradžia nesuplanuota, stebėsenos rodiklio aprašymo kortelė gali būti nepildoma. Plėtros programos pažangos priemonės apraše esančios informacijos pagrindimo aprašas turi būti papildomas stebėsenos rodiklio aprašymo kortele ne vėliau nei iki kvietimo teikti projektų įgyvendinimo planus šiai veiklai (poveiklei) vykdyti paskelbimo dienos.</w:t>
                      </w:r>
                    </w:p>
                  </w:sdtContent>
                </w:sdt>
                <w:sdt>
                  <w:sdtPr>
                    <w:alias w:val="3 p."/>
                    <w:tag w:val="part_557c12a1d00341a9b8544dd277d513d6"/>
                    <w:lock w:val="sdtLocked"/>
                    <w:richText/>
                  </w:sdtPr>
                  <w:sdtContent>
                    <w:p>
                      <w:pPr>
                        <w:ind w:firstLine="567"/>
                        <w:rPr>
                          <w:sz w:val="20"/>
                        </w:rPr>
                      </w:pPr>
                      <w:sdt>
                        <w:sdtPr>
                          <w:alias w:val="Numeris"/>
                          <w:tag w:val="nr_557c12a1d00341a9b8544dd277d513d6"/>
                          <w:lock w:val="sdtLocked"/>
                          <w:richText/>
                        </w:sdtPr>
                        <w:sdtContent>
                          <w:r>
                            <w:rPr>
                              <w:sz w:val="20"/>
                            </w:rPr>
                            <w:t>3</w:t>
                          </w:r>
                        </w:sdtContent>
                      </w:sdt>
                      <w:r>
                        <w:rPr>
                          <w:sz w:val="20"/>
                        </w:rPr>
                        <w:t>. Plėtros programos pažangos priemonės apraše nurodytos informacijos pagrindimo aprašas pildomas iki plėtros programos pažangos priemonės aprašo derinimo su suinteresuotomis institucijomis, socialiniais partneriais ar programų portfelio valdytoju (net ir tais atvejais, kai alternatyvų palyginimų skaičiuoklėje (toliau – skaičiuoklė) numatyti skaičiavimai atliekami vėliau).</w:t>
                      </w:r>
                    </w:p>
                  </w:sdtContent>
                </w:sdt>
              </w:sdtContent>
            </w:sdt>
          </w:sdtContent>
        </w:sdt>
        <w:sdt>
          <w:sdtPr>
            <w:alias w:val="skyrius"/>
            <w:tag w:val="part_6cf7954b71f444859a6033853a5d4958"/>
            <w:lock w:val="sdtLocked"/>
            <w:richText/>
          </w:sdtPr>
          <w:sdtContent>
            <w:p>
              <w:pPr>
                <w:ind w:firstLine="567"/>
                <w:jc w:val="center"/>
                <w:rPr>
                  <w:b/>
                  <w:bCs/>
                </w:rPr>
              </w:pPr>
              <w:sdt>
                <w:sdtPr>
                  <w:alias w:val="Numeris"/>
                  <w:tag w:val="nr_6cf7954b71f444859a6033853a5d4958"/>
                  <w:lock w:val="sdtLocked"/>
                  <w:richText/>
                </w:sdtPr>
                <w:sdtContent>
                  <w:r>
                    <w:rPr>
                      <w:b/>
                      <w:bCs/>
                    </w:rPr>
                    <w:t>II</w:t>
                  </w:r>
                </w:sdtContent>
              </w:sdt>
              <w:r>
                <w:rPr>
                  <w:b/>
                  <w:bCs/>
                </w:rPr>
                <w:t xml:space="preserve"> SKYRIUS</w:t>
              </w:r>
            </w:p>
            <w:p>
              <w:pPr>
                <w:spacing w:line="276" w:lineRule="auto"/>
                <w:jc w:val="center"/>
                <w:rPr>
                  <w:b/>
                  <w:bCs/>
                </w:rPr>
              </w:pPr>
              <w:sdt>
                <w:sdtPr>
                  <w:alias w:val="Pavadinimas"/>
                  <w:tag w:val="title_6cf7954b71f444859a6033853a5d4958"/>
                  <w:lock w:val="sdtLocked"/>
                  <w:richText/>
                </w:sdtPr>
                <w:sdtContent>
                  <w:r>
                    <w:rPr>
                      <w:b/>
                      <w:bCs/>
                    </w:rPr>
                    <w:t>SIEKIAMAS POKYTIS</w:t>
                  </w:r>
                </w:sdtContent>
              </w:sdt>
            </w:p>
            <w:p>
              <w:pPr>
                <w:spacing w:line="276" w:lineRule="auto"/>
                <w:jc w:val="center"/>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tc>
                  <w:tcPr>
                    <w:tcW w:w="10456" w:type="dxa"/>
                    <w:shd w:val="clear" w:color="auto" w:fill="DBE5F1" w:themeFill="accent1" w:themeFillTint="33"/>
                  </w:tcPr>
                  <w:p>
                    <w:pPr>
                      <w:keepNext/>
                      <w:keepLines/>
                      <w:jc w:val="center"/>
                      <w:rPr>
                        <w:caps/>
                      </w:rPr>
                    </w:pPr>
                    <w:r>
                      <w:rPr>
                        <w:b/>
                        <w:bCs/>
                        <w:caps/>
                      </w:rPr>
                      <w:t>PLĖTROS PROGRAMOS PAŽANGOS Priemonės laukiamAS pokyTIS</w:t>
                    </w:r>
                  </w:p>
                </w:tc>
              </w:tr>
            </w:tbl>
            <w:p>
              <w:pPr>
                <w:spacing w:line="276" w:lineRule="auto"/>
                <w:jc w:val="center"/>
                <w:rPr>
                  <w:sz w:val="20"/>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7484"/>
              </w:tblGrid>
              <w:tr>
                <w:tc>
                  <w:tcPr>
                    <w:tcW w:w="2972" w:type="dxa"/>
                    <w:shd w:val="clear" w:color="auto" w:fill="DBE5F1" w:themeFill="accent1" w:themeFillTint="33"/>
                  </w:tcPr>
                  <w:p>
                    <w:pPr>
                      <w:spacing w:line="276" w:lineRule="auto"/>
                      <w:rPr>
                        <w:b/>
                        <w:sz w:val="22"/>
                        <w:szCs w:val="24"/>
                      </w:rPr>
                    </w:pPr>
                    <w:r>
                      <w:rPr>
                        <w:b/>
                        <w:sz w:val="22"/>
                        <w:szCs w:val="24"/>
                      </w:rPr>
                      <w:t xml:space="preserve">Laukiamas pokytis </w:t>
                    </w:r>
                  </w:p>
                </w:tc>
                <w:tc>
                  <w:tcPr>
                    <w:tcW w:w="7484" w:type="dxa"/>
                  </w:tcPr>
                  <w:p>
                    <w:pPr>
                      <w:spacing w:line="276" w:lineRule="auto"/>
                      <w:jc w:val="both"/>
                      <w:rPr>
                        <w:sz w:val="20"/>
                      </w:rPr>
                    </w:pPr>
                    <w:r>
                      <w:rPr>
                        <w:sz w:val="20"/>
                      </w:rPr>
                      <w:t>Problemos ir priežastys, kurios sprendžiamos šia priemone (iš 6.4 uždavinio):</w:t>
                    </w:r>
                  </w:p>
                  <w:p>
                    <w:pPr>
                      <w:spacing w:line="276" w:lineRule="auto"/>
                      <w:jc w:val="both"/>
                      <w:rPr>
                        <w:sz w:val="20"/>
                        <w:lang w:val="lt"/>
                      </w:rPr>
                    </w:pPr>
                    <w:r>
                      <w:rPr>
                        <w:b/>
                        <w:bCs/>
                        <w:sz w:val="20"/>
                        <w:lang w:val="lt"/>
                      </w:rPr>
                      <w:t xml:space="preserve">2 problema. </w:t>
                    </w:r>
                    <w:r>
                      <w:rPr>
                        <w:sz w:val="20"/>
                        <w:lang w:val="lt"/>
                      </w:rPr>
                      <w:t xml:space="preserve">Išmetamas didelis šiltnamio efektą sukeliančių dujų (toliau </w:t>
                    </w:r>
                    <w:r>
                      <w:rPr>
                        <w:sz w:val="20"/>
                      </w:rPr>
                      <w:t>–ŠESD)</w:t>
                    </w:r>
                    <w:r>
                      <w:rPr>
                        <w:sz w:val="20"/>
                        <w:lang w:val="lt"/>
                      </w:rPr>
                      <w:t xml:space="preserve"> kiekis.</w:t>
                    </w:r>
                  </w:p>
                  <w:p>
                    <w:pPr>
                      <w:spacing w:line="276" w:lineRule="auto"/>
                      <w:jc w:val="both"/>
                      <w:rPr>
                        <w:sz w:val="20"/>
                        <w:lang w:val="lt"/>
                      </w:rPr>
                    </w:pPr>
                    <w:r>
                      <w:rPr>
                        <w:sz w:val="20"/>
                        <w:lang w:val="lt"/>
                      </w:rPr>
                      <w:t>Prisidedama prie šių priežasčių šalinimo:</w:t>
                    </w:r>
                  </w:p>
                  <w:p>
                    <w:pPr>
                      <w:spacing w:line="276" w:lineRule="auto"/>
                      <w:jc w:val="both"/>
                      <w:rPr>
                        <w:sz w:val="20"/>
                        <w:lang w:val="en-US"/>
                      </w:rPr>
                    </w:pPr>
                    <w:r>
                      <w:rPr>
                        <w:sz w:val="20"/>
                      </w:rPr>
                      <w:t>2.1. Esama klimato kaitos valdymo politika nepakankama pasiekti ambicingus 2030 m. ir vėlesnius išmetamo ŠESD kiekio mažinimo tikslus.</w:t>
                    </w:r>
                    <w:r>
                      <w:rPr>
                        <w:sz w:val="20"/>
                        <w:lang w:val="en-US"/>
                      </w:rPr>
                      <w:t> </w:t>
                    </w:r>
                  </w:p>
                  <w:p>
                    <w:pPr>
                      <w:spacing w:line="276" w:lineRule="auto"/>
                      <w:jc w:val="both"/>
                      <w:rPr>
                        <w:sz w:val="20"/>
                        <w:lang w:val="en-US"/>
                      </w:rPr>
                    </w:pPr>
                    <w:r>
                      <w:rPr>
                        <w:sz w:val="20"/>
                      </w:rPr>
                      <w:t>2.1.3. Trūksta paskatų gyventojams naudoti klimatui draugiškas ir išmetamų ŠESD kiekį mažinančias priemones, ypač renkantis mažiau taršias transporto priemones.</w:t>
                    </w:r>
                    <w:r>
                      <w:rPr>
                        <w:sz w:val="20"/>
                        <w:lang w:val="en-US"/>
                      </w:rPr>
                      <w:t> </w:t>
                    </w:r>
                  </w:p>
                  <w:p>
                    <w:pPr>
                      <w:spacing w:line="276" w:lineRule="auto"/>
                      <w:jc w:val="both"/>
                      <w:rPr>
                        <w:sz w:val="20"/>
                        <w:lang w:val="en-US"/>
                      </w:rPr>
                    </w:pPr>
                    <w:r>
                      <w:rPr>
                        <w:sz w:val="20"/>
                      </w:rPr>
                      <w:t>2.2. Nepakankamai taikoma išmetamų ŠESD kiekį mažinančių priemonių įvairiuose ūkio sektoriuose.</w:t>
                    </w:r>
                    <w:r>
                      <w:rPr>
                        <w:sz w:val="20"/>
                        <w:lang w:val="en-US"/>
                      </w:rPr>
                      <w:t> </w:t>
                    </w:r>
                  </w:p>
                  <w:p>
                    <w:pPr>
                      <w:spacing w:line="276" w:lineRule="auto"/>
                      <w:jc w:val="both"/>
                      <w:rPr>
                        <w:sz w:val="20"/>
                        <w:lang w:val="en-US"/>
                      </w:rPr>
                    </w:pPr>
                    <w:r>
                      <w:rPr>
                        <w:sz w:val="20"/>
                      </w:rPr>
                      <w:t>2.2.1. Transporto sektorius generuoja didžiausią išmetamų ŠESD kiekio dalį Lietuvoje (giluminės priežastys nagrinėjamos 2022–2030 metų plėtros programos valdytojos Lietuvos Respublikos susisiekimo ministerijos susisiekimo plėtros programoje, patvirtintoje Lietuvos Respublikos Vyriausybės 2022 m. kovo 16 d. nutarimu Nr. 245 „Dėl 2022–2030 metų plėtros programos valdytojos Lietuvos Respublikos susisiekimo ministerijos susisiekimo plėtros programos patvirtinimo“ (toliau – Susisiekimo PP), įgyvendinant 6.1 uždavinį).</w:t>
                    </w:r>
                    <w:r>
                      <w:rPr>
                        <w:sz w:val="20"/>
                        <w:lang w:val="en-US"/>
                      </w:rPr>
                      <w:t> </w:t>
                    </w:r>
                  </w:p>
                  <w:p>
                    <w:pPr>
                      <w:spacing w:line="276" w:lineRule="auto"/>
                      <w:jc w:val="both"/>
                      <w:rPr>
                        <w:sz w:val="20"/>
                        <w:lang w:val="en-US"/>
                      </w:rPr>
                    </w:pPr>
                    <w:r>
                      <w:rPr>
                        <w:sz w:val="20"/>
                      </w:rPr>
                      <w:t>2.2.2. Neefektyviai ir neracionaliai naudojama energija ir energetiniai ištekliai pastatų sektoriuje (giluminės priežastys nagrinėjamos Programos 1 problemoje).</w:t>
                    </w:r>
                    <w:r>
                      <w:rPr>
                        <w:sz w:val="20"/>
                        <w:lang w:val="en-US"/>
                      </w:rPr>
                      <w:t> </w:t>
                    </w:r>
                  </w:p>
                  <w:p>
                    <w:pPr>
                      <w:spacing w:line="276" w:lineRule="auto"/>
                      <w:jc w:val="both"/>
                      <w:rPr>
                        <w:sz w:val="20"/>
                        <w:lang w:val="en-US"/>
                      </w:rPr>
                    </w:pPr>
                    <w:r>
                      <w:rPr>
                        <w:sz w:val="20"/>
                      </w:rPr>
                      <w:t>2.2.3. Elektros iš AEI dalis, palyginti su Lietuvos bendruoju galutiniu elektros energijos suvartojimu, sudaro 18,79 proc. (2019 m.), siekiama 50 proc. (2030 m.), maža AEI dalis, palyginti su galutiniu energijos suvartojimu: 25,47 proc. (2019 m.), siekiama 50 proc. (2030 m.)</w:t>
                    </w:r>
                    <w:r>
                      <w:rPr>
                        <w:b/>
                        <w:bCs/>
                        <w:sz w:val="20"/>
                      </w:rPr>
                      <w:t xml:space="preserve"> </w:t>
                    </w:r>
                    <w:r>
                      <w:rPr>
                        <w:sz w:val="20"/>
                      </w:rPr>
                      <w:t>(giluminės priežastys nagrinėjamos Energetikos PP įgyvendinant 6.3 uždavinį).</w:t>
                    </w:r>
                    <w:r>
                      <w:rPr>
                        <w:sz w:val="20"/>
                        <w:lang w:val="en-US"/>
                      </w:rPr>
                      <w:t> </w:t>
                    </w:r>
                  </w:p>
                  <w:p>
                    <w:pPr>
                      <w:spacing w:line="276" w:lineRule="auto"/>
                      <w:jc w:val="both"/>
                      <w:rPr>
                        <w:i/>
                        <w:iCs/>
                        <w:sz w:val="20"/>
                        <w:lang w:val="lt"/>
                      </w:rPr>
                    </w:pPr>
                    <w:r>
                      <w:rPr>
                        <w:sz w:val="20"/>
                        <w:lang w:val="lt"/>
                      </w:rPr>
                      <w:t xml:space="preserve">2.2.4. Nepakankamai plečiamas tvarus ūkininkavimas, neefektyvus mažai išskiriančių ŠESD technologijų diegimas, investicijų trūkumas žemės ūkio sektoriuje (giluminės priežastys nagrinėjamos 2022–2030 metų plėtros programos valdytojos Lietuvos Respublikos žemės ūkio ministerijos žemės ir maisto ūkio, kaimo plėtros bei žuvininkystės plėtros programoje, patvirtintoje Lietuvos Respublikos Vyriausybės 2022 m. vasario 23 d. nutarimu Nr. 148 „Dėl 2022–2030 metų plėtros programos valdytojos Lietuvos Respublikos žemės ūkio ministerijos žemės ir maisto ūkio, kaimo plėtros bei žuvininkystės plėtros programos patvirtinimo“ (toliau – Žemės ir maisto ūkio, kaimo plėtros bei žuvininkystės PP), įgyvendinant 6.2 uždavinį </w:t>
                    </w:r>
                  </w:p>
                  <w:p>
                    <w:pPr>
                      <w:spacing w:line="276" w:lineRule="auto"/>
                      <w:jc w:val="both"/>
                      <w:rPr>
                        <w:sz w:val="20"/>
                        <w:lang w:val="en-US"/>
                      </w:rPr>
                    </w:pPr>
                    <w:r>
                      <w:rPr>
                        <w:sz w:val="20"/>
                      </w:rPr>
                      <w:t>2.2.5. Žemas išteklių panaudojimo efektyvumas pramonėje (giluminės priežastys nagrinėjamos 2022–2030 metų plėtros programos valdytojos Lietuvos Respublikos ekonomikos ir inovacijų ministerijos ekonomikos transformacijos ir konkurencingumo plėtros programoje, patvirtintoje Lietuvos Respublikos Vyriausybės 2022 m. kovo 16 d. nutarimu Nr. 247 „Dėl 2022–2030 metų plėtros programos valdytojos Lietuvos Respublikos ekonomikos ir inovacijų ministerijos ekonomikos transformacijos ir konkurencingumo plėtros programos patvirtinimo“ (toliau – Ekonomikos transformacijos ir konkurencingumo PP), įgyvendinant 1.4 uždavinį).</w:t>
                    </w:r>
                    <w:r>
                      <w:rPr>
                        <w:sz w:val="20"/>
                        <w:lang w:val="en-US"/>
                      </w:rPr>
                      <w:t> </w:t>
                    </w:r>
                  </w:p>
                  <w:p>
                    <w:pPr>
                      <w:spacing w:line="276" w:lineRule="auto"/>
                      <w:jc w:val="both"/>
                      <w:rPr>
                        <w:sz w:val="20"/>
                        <w:lang w:val="en-US"/>
                      </w:rPr>
                    </w:pPr>
                    <w:r>
                      <w:rPr>
                        <w:sz w:val="20"/>
                      </w:rPr>
                      <w:t>2.2.6. Didėjantis susidarančių atliekų kiekis ir nepakankamai efektyvus atliekų tvarkymas (giluminės priežastys nagrinėjamos įgyvendinant Programos 6.10 uždavinį).</w:t>
                    </w:r>
                    <w:r>
                      <w:rPr>
                        <w:sz w:val="20"/>
                        <w:lang w:val="en-US"/>
                      </w:rPr>
                      <w:t> </w:t>
                    </w:r>
                  </w:p>
                  <w:p>
                    <w:pPr>
                      <w:spacing w:line="276" w:lineRule="auto"/>
                      <w:jc w:val="both"/>
                      <w:rPr>
                        <w:i/>
                        <w:iCs/>
                        <w:sz w:val="20"/>
                        <w:highlight w:val="yellow"/>
                      </w:rPr>
                    </w:pPr>
                  </w:p>
                  <w:p>
                    <w:pPr>
                      <w:spacing w:line="276" w:lineRule="auto"/>
                      <w:jc w:val="both"/>
                      <w:rPr>
                        <w:sz w:val="20"/>
                      </w:rPr>
                    </w:pPr>
                    <w:r>
                      <w:rPr>
                        <w:sz w:val="20"/>
                      </w:rPr>
                      <w:t xml:space="preserve">Šia priemone tvirtinamos Klimato kaitos programos (toliau – KKP) lėšomis finansuojamos pažangos veiklos ir poveiklės ir valstybės biudžeto lėšomis finansuotina veikla „Juridinių asmenų investicijoms į gamtinių dujų naudojimo mažinimą ir (ar) atsinaujinančių energijos išteklių panaudojimą“ prisidės prie kiekybinio ŠESD sumažinimo. </w:t>
                    </w:r>
                  </w:p>
                  <w:p>
                    <w:pPr>
                      <w:spacing w:line="276" w:lineRule="auto"/>
                      <w:jc w:val="both"/>
                      <w:rPr>
                        <w:sz w:val="20"/>
                      </w:rPr>
                    </w:pPr>
                    <w:r>
                      <w:rPr>
                        <w:sz w:val="20"/>
                      </w:rPr>
                      <w:t xml:space="preserve">Atsižvelgiant į tai, kad Lietuvos Respublikos Vyriausybės </w:t>
                    </w:r>
                    <w:r>
                      <w:rPr>
                        <w:color w:val="000000"/>
                        <w:sz w:val="20"/>
                      </w:rPr>
                      <w:t>2022 m. balandžio 20 d. nutarimu Nr. 383</w:t>
                    </w:r>
                    <w:r>
                      <w:rPr>
                        <w:sz w:val="20"/>
                      </w:rPr>
                      <w:t xml:space="preserve"> „</w:t>
                    </w:r>
                    <w:r>
                      <w:rPr>
                        <w:color w:val="333333"/>
                        <w:sz w:val="20"/>
                      </w:rPr>
                      <w:t>Dėl 2022–2025 m. Klimato kaitos programos investicijų plano patvirtinimo</w:t>
                    </w:r>
                    <w:r>
                      <w:rPr>
                        <w:sz w:val="20"/>
                      </w:rPr>
                      <w:t xml:space="preserve">“ patvirtintas </w:t>
                    </w:r>
                    <w:r>
                      <w:rPr>
                        <w:color w:val="333333"/>
                        <w:sz w:val="20"/>
                      </w:rPr>
                      <w:t>2022–2025 m. Klimato kaitos programos investicijų planas, šios pažangos priemonės apraše planuojamos pažangos veiklos tik 2022–2025 laikotarpiui pagal nurodytame investicijų plane suplanuotas pažangos veiklos sritis ir joms suplanuotas investicijas.</w:t>
                    </w:r>
                    <w:r>
                      <w:rPr>
                        <w:sz w:val="20"/>
                      </w:rPr>
                      <w:t xml:space="preserve"> Suplanuotų KKP 2022–2025 metų lėšomis įgyvendinimų pažangos veiklų per veiklų įgyvendinimo laikotarpį (nuo 2022 m. iki 2049 m.) ŠESD sutaupymai sudarys 3648 kt, CO</w:t>
                    </w:r>
                    <w:r>
                      <w:rPr>
                        <w:sz w:val="20"/>
                        <w:vertAlign w:val="subscript"/>
                      </w:rPr>
                      <w:t>2</w:t>
                    </w:r>
                    <w:r>
                      <w:rPr>
                        <w:sz w:val="20"/>
                      </w:rPr>
                      <w:t xml:space="preserve"> ekv. Planuojami tarpiniai veiklų įgyvendinimo rezultatai: iki 2025 m. – 353,88 kt CO</w:t>
                    </w:r>
                    <w:r>
                      <w:rPr>
                        <w:sz w:val="20"/>
                        <w:vertAlign w:val="subscript"/>
                      </w:rPr>
                      <w:t>2</w:t>
                    </w:r>
                    <w:r>
                      <w:rPr>
                        <w:sz w:val="20"/>
                      </w:rPr>
                      <w:t xml:space="preserve"> ekvivalentu, iki 2030 m. – 1493 kt CO</w:t>
                    </w:r>
                    <w:r>
                      <w:rPr>
                        <w:sz w:val="20"/>
                        <w:vertAlign w:val="subscript"/>
                      </w:rPr>
                      <w:t>2</w:t>
                    </w:r>
                    <w:r>
                      <w:rPr>
                        <w:sz w:val="20"/>
                      </w:rPr>
                      <w:t xml:space="preserve"> ekvivalentu. </w:t>
                    </w:r>
                  </w:p>
                  <w:p>
                    <w:pPr>
                      <w:spacing w:line="276" w:lineRule="auto"/>
                      <w:jc w:val="both"/>
                      <w:rPr>
                        <w:sz w:val="20"/>
                      </w:rPr>
                    </w:pPr>
                    <w:r>
                      <w:rPr>
                        <w:color w:val="000000"/>
                        <w:sz w:val="20"/>
                        <w:shd w:val="clear" w:color="auto" w:fill="FFFFFF"/>
                      </w:rPr>
                      <w:t>Vadovaujantis rengiamais Valstybės biudžeto finansinių rodiklių patvirtinimo įstatymo pakeitimais (nuostata „</w:t>
                    </w:r>
                    <w:r>
                      <w:rPr>
                        <w:color w:val="000000"/>
                        <w:sz w:val="20"/>
                        <w:bdr w:val="none" w:sz="0" w:space="0" w:color="auto" w:frame="1"/>
                        <w:shd w:val="clear" w:color="auto" w:fill="FFFFFF"/>
                      </w:rPr>
                      <w:t xml:space="preserve">išlaidoms leidžiamai valstybės pagalbai verslui pagal Europos Komisijos komunikatą „Laikinoji valstybės pagalbos priemonių, skirtų ekonomikai remti krizės sąlygomis reaguojant į Rusijos agresiją prieš Ukrainą, sistema“ (2022/C 131 I/01) apmokėti“), Aplinkos ministeriją įtraukia veiklą </w:t>
                    </w:r>
                    <w:r>
                      <w:rPr>
                        <w:sz w:val="20"/>
                      </w:rPr>
                      <w:t>„Juridinių asmenų investicijoms į gamtinių dujų naudojimo mažinimą ir (ar) atsinaujinančių energijos išteklių panaudojimą“, kurios tikslas – mažinti verslo įmonių patiriamą naštą dėl padidėjusių gamtinių dujų ir elektros kainų Ukrainos karo ir Rusijos sankcijų kontekste . Ši veikla bus finansuojama iš , valstybės biudžeto 2022– 2024 metų lėšų, kurios ŠESD sutaupymas planuojamas: iki 2025 m. – 177,78 kt CO</w:t>
                    </w:r>
                    <w:r>
                      <w:rPr>
                        <w:sz w:val="20"/>
                        <w:vertAlign w:val="subscript"/>
                      </w:rPr>
                      <w:t xml:space="preserve">2 </w:t>
                    </w:r>
                    <w:r>
                      <w:rPr>
                        <w:sz w:val="20"/>
                      </w:rPr>
                      <w:t xml:space="preserve">ekvivalentu, iki 2030 m.  – 622,23  kt CO</w:t>
                    </w:r>
                    <w:r>
                      <w:rPr>
                        <w:sz w:val="20"/>
                        <w:vertAlign w:val="subscript"/>
                      </w:rPr>
                      <w:t>2</w:t>
                    </w:r>
                    <w:r>
                      <w:rPr>
                        <w:sz w:val="20"/>
                      </w:rPr>
                      <w:t xml:space="preserve"> ekvivalentu, per projekto gyvavimo laikotarpį  – 1777,77 kt CO</w:t>
                    </w:r>
                    <w:r>
                      <w:rPr>
                        <w:sz w:val="20"/>
                        <w:vertAlign w:val="subscript"/>
                      </w:rPr>
                      <w:t>2</w:t>
                    </w:r>
                    <w:r>
                      <w:rPr>
                        <w:sz w:val="20"/>
                      </w:rPr>
                      <w:t xml:space="preserve"> ekvivalentu. </w:t>
                    </w:r>
                  </w:p>
                  <w:p>
                    <w:pPr>
                      <w:spacing w:line="276" w:lineRule="auto"/>
                      <w:jc w:val="both"/>
                      <w:rPr>
                        <w:sz w:val="20"/>
                      </w:rPr>
                    </w:pPr>
                    <w:r>
                      <w:rPr>
                        <w:sz w:val="20"/>
                      </w:rPr>
                      <w:t>Šių veiklų įgyvendinimas ženkliai prisidės prie problemų sprendimo transporto sektoriuje susijusių su kiekybiniu ŠESD sumažinimu. Prisidės prie elektros iš atsinaujinančių energijos šaltinių dalies didinimo, skatins didėti gaminančių vartotojų skaičių. Didins energetinį efektyvumą pastatų sektoriuje, ko pasėkoje mažės ŠESD išmetimai.</w:t>
                    </w:r>
                  </w:p>
                  <w:p>
                    <w:pPr>
                      <w:spacing w:line="276" w:lineRule="auto"/>
                      <w:jc w:val="both"/>
                      <w:rPr>
                        <w:sz w:val="20"/>
                      </w:rPr>
                    </w:pPr>
                    <w:r>
                      <w:rPr>
                        <w:sz w:val="20"/>
                      </w:rPr>
                      <w:t xml:space="preserve">Šios priemonės veiklų įgyvendinimas  prisidės ir prie kokybinių pokyčių gyventojams ir verslui bei savivaldybėms. Taip pat didins Lietuvos energetinę nepriklausomybę ir mažins energetinį skurdą, taip pat padės absorbuoti energijos kainų šuolį dėl didėjančių gamtinių dujų ir elektros energijos kainų. Kadangi pasiūlytos veiklos skatins taršius iškastinio kuro įrenginius keisti į atsinaujinančios energijos šaltinius.</w:t>
                    </w:r>
                  </w:p>
                  <w:p>
                    <w:pPr>
                      <w:spacing w:line="276" w:lineRule="auto"/>
                      <w:jc w:val="both"/>
                      <w:rPr>
                        <w:sz w:val="20"/>
                      </w:rPr>
                    </w:pPr>
                    <w:r>
                      <w:rPr>
                        <w:sz w:val="20"/>
                      </w:rPr>
                      <w:t>Įgyvendinus veiklas bus prisidedama ir prie oro kokybės gerinimo, nes bus skatinimas alternatyvus transportas ir aplinkai palankūs sprendimai šildymo sektoriuje.</w:t>
                    </w:r>
                  </w:p>
                </w:tc>
              </w:tr>
            </w:tbl>
            <w:p>
              <w:pPr>
                <w:jc w:val="center"/>
                <w:rPr>
                  <w:b/>
                  <w:bCs/>
                </w:rPr>
              </w:pPr>
            </w:p>
            <w:sdt>
              <w:sdtPr>
                <w:alias w:val="lentele"/>
                <w:tag w:val="part_853655b3559544ffa048be7d1718b396"/>
                <w:lock w:val="sdtLocked"/>
                <w:richText/>
              </w:sdtPr>
              <w:sdtContent>
                <w:p>
                  <w:pPr>
                    <w:jc w:val="center"/>
                    <w:rPr>
                      <w:b/>
                      <w:bCs/>
                    </w:rPr>
                  </w:pPr>
                  <w:sdt>
                    <w:sdtPr>
                      <w:alias w:val="Numeris"/>
                      <w:tag w:val="nr_853655b3559544ffa048be7d1718b396"/>
                      <w:lock w:val="sdtLocked"/>
                      <w:richText/>
                    </w:sdtPr>
                    <w:sdtContent>
                      <w:r>
                        <w:rPr>
                          <w:b/>
                          <w:bCs/>
                        </w:rPr>
                        <w:t>III</w:t>
                      </w:r>
                    </w:sdtContent>
                  </w:sdt>
                  <w:r>
                    <w:rPr>
                      <w:b/>
                      <w:bCs/>
                    </w:rPr>
                    <w:t xml:space="preserve"> SKYRIUS</w:t>
                  </w:r>
                </w:p>
                <w:p>
                  <w:pPr>
                    <w:jc w:val="center"/>
                    <w:rPr>
                      <w:b/>
                      <w:bCs/>
                    </w:rPr>
                  </w:pPr>
                  <w:sdt>
                    <w:sdtPr>
                      <w:alias w:val="Pavadinimas"/>
                      <w:tag w:val="title_853655b3559544ffa048be7d1718b396"/>
                      <w:lock w:val="sdtLocked"/>
                      <w:richText/>
                    </w:sdtPr>
                    <w:sdtContent>
                      <w:r>
                        <w:rPr>
                          <w:b/>
                          <w:bCs/>
                        </w:rPr>
                        <w:t>ALTERNATYVŲ ANALIZĖ</w:t>
                      </w:r>
                    </w:sdtContent>
                  </w:sdt>
                </w:p>
                <w:p>
                  <w:pPr>
                    <w:spacing w:line="276" w:lineRule="auto"/>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tc>
                      <w:tcPr>
                        <w:tcW w:w="10456" w:type="dxa"/>
                        <w:shd w:val="clear" w:color="auto" w:fill="DBE5F1" w:themeFill="accent1" w:themeFillTint="33"/>
                      </w:tcPr>
                      <w:p>
                        <w:pPr>
                          <w:tabs>
                            <w:tab w:val="left" w:pos="598"/>
                          </w:tabs>
                          <w:jc w:val="center"/>
                          <w:rPr>
                            <w:b/>
                            <w:bCs/>
                          </w:rPr>
                        </w:pPr>
                        <w:r>
                          <w:rPr>
                            <w:b/>
                            <w:bCs/>
                          </w:rPr>
                          <w:t>PIRMASIS SKIRSNIS</w:t>
                        </w:r>
                      </w:p>
                      <w:p>
                        <w:pPr>
                          <w:tabs>
                            <w:tab w:val="left" w:pos="598"/>
                          </w:tabs>
                          <w:jc w:val="center"/>
                          <w:rPr>
                            <w:color w:val="808080"/>
                            <w:sz w:val="20"/>
                          </w:rPr>
                        </w:pPr>
                        <w:r>
                          <w:rPr>
                            <w:b/>
                            <w:bCs/>
                          </w:rPr>
                          <w:t>PLĖTROS PROGRAMOS PAŽANGOS PRIEMONĖS ALTERNATYVOS</w:t>
                        </w:r>
                      </w:p>
                    </w:tc>
                  </w:tr>
                </w:tbl>
                <w:p>
                  <w:pPr>
                    <w:jc w:val="center"/>
                    <w:rPr>
                      <w:b/>
                      <w:bCs/>
                    </w:rPr>
                  </w:pPr>
                </w:p>
              </w:sdtContent>
            </w:sdt>
            <w:sdt>
              <w:sdtPr>
                <w:alias w:val="lentele"/>
                <w:tag w:val="part_147129854f6c4206ba4e9a8430b3a385"/>
                <w:lock w:val="sdtLocked"/>
                <w:richText/>
              </w:sdtPr>
              <w:sdtContent>
                <w:tbl>
                  <w:tblPr>
                    <w:tblW w:w="106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trPr>
                      <w:trHeight w:val="57"/>
                    </w:trPr>
                    <w:tc>
                      <w:tcPr>
                        <w:tcW w:w="10682" w:type="dxa"/>
                        <w:tcBorders>
                          <w:top w:val="single" w:sz="4" w:space="0" w:color="auto"/>
                          <w:left w:val="single" w:sz="4" w:space="0" w:color="auto"/>
                          <w:bottom w:val="single" w:sz="4" w:space="0" w:color="auto"/>
                          <w:right w:val="single" w:sz="4" w:space="0" w:color="auto"/>
                        </w:tcBorders>
                      </w:tcPr>
                      <w:p>
                        <w:pPr>
                          <w:tabs>
                            <w:tab w:val="left" w:pos="860"/>
                          </w:tabs>
                          <w:ind w:firstLine="567"/>
                          <w:jc w:val="both"/>
                          <w:rPr>
                            <w:i/>
                            <w:color w:val="808080"/>
                            <w:sz w:val="20"/>
                            <w:szCs w:val="24"/>
                          </w:rPr>
                        </w:pPr>
                      </w:p>
                      <w:p>
                        <w:pPr>
                          <w:tabs>
                            <w:tab w:val="left" w:pos="860"/>
                          </w:tabs>
                          <w:ind w:firstLine="567"/>
                          <w:jc w:val="both"/>
                          <w:rPr>
                            <w:sz w:val="20"/>
                          </w:rPr>
                        </w:pPr>
                        <w:r>
                          <w:rPr>
                            <w:sz w:val="20"/>
                          </w:rPr>
                          <w:t xml:space="preserve">Suplanuota 17 investicinių veiklų ir poveiklių  ir 1 komunikacinė veikla, kurios prisidės prie kiekybinio ŠESD kiekio sumažinimo ir klimato tikslų pasiekimų. Suplanuotos pažangos veiklos mažina kiekybinį ŠESD, naudą gauna visi gyventojai, gerinama ir socialinė aplinka.</w:t>
                        </w:r>
                      </w:p>
                      <w:p>
                        <w:pPr>
                          <w:tabs>
                            <w:tab w:val="left" w:pos="860"/>
                          </w:tabs>
                          <w:ind w:firstLine="567"/>
                          <w:jc w:val="both"/>
                          <w:rPr>
                            <w:sz w:val="20"/>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675"/>
                          <w:gridCol w:w="1754"/>
                          <w:gridCol w:w="2268"/>
                          <w:gridCol w:w="992"/>
                          <w:gridCol w:w="992"/>
                          <w:gridCol w:w="1260"/>
                          <w:gridCol w:w="1119"/>
                          <w:gridCol w:w="1396"/>
                        </w:tblGrid>
                        <w:tr>
                          <w:trPr>
                            <w:trHeight w:val="462"/>
                            <w:tblHeader/>
                          </w:trPr>
                          <w:tc>
                            <w:tcPr>
                              <w:tcW w:w="675" w:type="dxa"/>
                              <w:vMerge w:val="restart"/>
                              <w:vAlign w:val="center"/>
                            </w:tcPr>
                            <w:p>
                              <w:pPr>
                                <w:jc w:val="center"/>
                                <w:rPr>
                                  <w:b/>
                                  <w:bCs/>
                                  <w:sz w:val="20"/>
                                </w:rPr>
                              </w:pPr>
                              <w:r>
                                <w:rPr>
                                  <w:b/>
                                  <w:bCs/>
                                  <w:sz w:val="20"/>
                                </w:rPr>
                                <w:t>Nr.</w:t>
                              </w:r>
                            </w:p>
                          </w:tc>
                          <w:tc>
                            <w:tcPr>
                              <w:tcW w:w="1754" w:type="dxa"/>
                              <w:vMerge w:val="restart"/>
                              <w:vAlign w:val="center"/>
                            </w:tcPr>
                            <w:p>
                              <w:pPr>
                                <w:jc w:val="center"/>
                                <w:rPr>
                                  <w:b/>
                                  <w:bCs/>
                                  <w:sz w:val="20"/>
                                </w:rPr>
                              </w:pPr>
                              <w:r>
                                <w:rPr>
                                  <w:b/>
                                  <w:bCs/>
                                  <w:sz w:val="20"/>
                                </w:rPr>
                                <w:t>Pažangos veiklos</w:t>
                              </w:r>
                            </w:p>
                          </w:tc>
                          <w:tc>
                            <w:tcPr>
                              <w:tcW w:w="2268" w:type="dxa"/>
                              <w:vMerge w:val="restart"/>
                              <w:vAlign w:val="center"/>
                            </w:tcPr>
                            <w:p>
                              <w:pPr>
                                <w:jc w:val="center"/>
                                <w:rPr>
                                  <w:b/>
                                  <w:bCs/>
                                  <w:sz w:val="20"/>
                                </w:rPr>
                              </w:pPr>
                              <w:r>
                                <w:rPr>
                                  <w:b/>
                                  <w:bCs/>
                                  <w:sz w:val="20"/>
                                </w:rPr>
                                <w:t>Projektų vykdytojai</w:t>
                              </w:r>
                            </w:p>
                          </w:tc>
                          <w:tc>
                            <w:tcPr>
                              <w:tcW w:w="3244" w:type="dxa"/>
                              <w:gridSpan w:val="3"/>
                            </w:tcPr>
                            <w:p>
                              <w:pPr>
                                <w:jc w:val="center"/>
                                <w:rPr>
                                  <w:b/>
                                  <w:bCs/>
                                  <w:sz w:val="20"/>
                                </w:rPr>
                              </w:pPr>
                              <w:r>
                                <w:rPr>
                                  <w:b/>
                                  <w:bCs/>
                                  <w:sz w:val="20"/>
                                </w:rPr>
                                <w:t xml:space="preserve">Siekiami rezultatai </w:t>
                              </w:r>
                            </w:p>
                            <w:p>
                              <w:pPr>
                                <w:jc w:val="center"/>
                                <w:rPr>
                                  <w:b/>
                                  <w:bCs/>
                                  <w:sz w:val="20"/>
                                </w:rPr>
                              </w:pPr>
                              <w:r>
                                <w:rPr>
                                  <w:b/>
                                  <w:bCs/>
                                  <w:sz w:val="20"/>
                                </w:rPr>
                                <w:t>(s</w:t>
                              </w:r>
                              <w:r>
                                <w:rPr>
                                  <w:b/>
                                  <w:bCs/>
                                  <w:color w:val="000000"/>
                                  <w:sz w:val="18"/>
                                  <w:szCs w:val="18"/>
                                </w:rPr>
                                <w:t>uminis ŠESD sumažinimo efektas, tūkst. tonų CO</w:t>
                              </w:r>
                              <w:r>
                                <w:rPr>
                                  <w:b/>
                                  <w:bCs/>
                                  <w:color w:val="000000"/>
                                  <w:sz w:val="18"/>
                                  <w:szCs w:val="18"/>
                                  <w:vertAlign w:val="subscript"/>
                                </w:rPr>
                                <w:t>2</w:t>
                              </w:r>
                              <w:r>
                                <w:rPr>
                                  <w:b/>
                                  <w:bCs/>
                                  <w:color w:val="000000"/>
                                  <w:sz w:val="18"/>
                                  <w:szCs w:val="18"/>
                                </w:rPr>
                                <w:t xml:space="preserve"> ekvivalentu)</w:t>
                              </w:r>
                            </w:p>
                          </w:tc>
                          <w:tc>
                            <w:tcPr>
                              <w:tcW w:w="1119" w:type="dxa"/>
                              <w:vMerge w:val="restart"/>
                              <w:vAlign w:val="center"/>
                            </w:tcPr>
                            <w:p>
                              <w:pPr>
                                <w:jc w:val="center"/>
                                <w:rPr>
                                  <w:b/>
                                  <w:bCs/>
                                  <w:sz w:val="20"/>
                                </w:rPr>
                              </w:pPr>
                              <w:r>
                                <w:rPr>
                                  <w:b/>
                                  <w:bCs/>
                                  <w:sz w:val="20"/>
                                </w:rPr>
                                <w:t>Finansa-vimo apimtis, mln. eurų</w:t>
                              </w:r>
                            </w:p>
                          </w:tc>
                          <w:tc>
                            <w:tcPr>
                              <w:tcW w:w="1396" w:type="dxa"/>
                              <w:vMerge w:val="restart"/>
                              <w:vAlign w:val="center"/>
                            </w:tcPr>
                            <w:p>
                              <w:pPr>
                                <w:jc w:val="center"/>
                                <w:rPr>
                                  <w:b/>
                                  <w:bCs/>
                                  <w:sz w:val="20"/>
                                </w:rPr>
                              </w:pPr>
                              <w:r>
                                <w:rPr>
                                  <w:b/>
                                  <w:bCs/>
                                  <w:sz w:val="20"/>
                                </w:rPr>
                                <w:t>Finansavimo forma</w:t>
                              </w:r>
                            </w:p>
                          </w:tc>
                        </w:tr>
                        <w:tr>
                          <w:trPr>
                            <w:trHeight w:val="462"/>
                            <w:tblHeader/>
                          </w:trPr>
                          <w:tc>
                            <w:tcPr>
                              <w:tcW w:w="675" w:type="dxa"/>
                              <w:vMerge/>
                              <w:vAlign w:val="center"/>
                            </w:tcPr>
                            <w:p>
                              <w:pPr>
                                <w:jc w:val="center"/>
                                <w:rPr>
                                  <w:b/>
                                  <w:bCs/>
                                  <w:sz w:val="20"/>
                                </w:rPr>
                              </w:pPr>
                            </w:p>
                          </w:tc>
                          <w:tc>
                            <w:tcPr>
                              <w:tcW w:w="1754" w:type="dxa"/>
                              <w:vMerge/>
                              <w:vAlign w:val="center"/>
                            </w:tcPr>
                            <w:p>
                              <w:pPr>
                                <w:jc w:val="center"/>
                                <w:rPr>
                                  <w:b/>
                                  <w:bCs/>
                                  <w:sz w:val="20"/>
                                </w:rPr>
                              </w:pPr>
                            </w:p>
                          </w:tc>
                          <w:tc>
                            <w:tcPr>
                              <w:tcW w:w="2268" w:type="dxa"/>
                              <w:vMerge/>
                              <w:vAlign w:val="center"/>
                            </w:tcPr>
                            <w:p>
                              <w:pPr>
                                <w:jc w:val="center"/>
                                <w:rPr>
                                  <w:b/>
                                  <w:bCs/>
                                  <w:sz w:val="20"/>
                                </w:rPr>
                              </w:pPr>
                            </w:p>
                          </w:tc>
                          <w:tc>
                            <w:tcPr>
                              <w:tcW w:w="992" w:type="dxa"/>
                              <w:vAlign w:val="center"/>
                            </w:tcPr>
                            <w:p>
                              <w:pPr>
                                <w:jc w:val="center"/>
                                <w:rPr>
                                  <w:b/>
                                  <w:bCs/>
                                  <w:sz w:val="20"/>
                                </w:rPr>
                              </w:pPr>
                              <w:r>
                                <w:rPr>
                                  <w:b/>
                                  <w:bCs/>
                                  <w:sz w:val="20"/>
                                </w:rPr>
                                <w:t>2025 m.</w:t>
                              </w:r>
                            </w:p>
                          </w:tc>
                          <w:tc>
                            <w:tcPr>
                              <w:tcW w:w="992" w:type="dxa"/>
                              <w:vAlign w:val="center"/>
                            </w:tcPr>
                            <w:p>
                              <w:pPr>
                                <w:jc w:val="center"/>
                                <w:rPr>
                                  <w:b/>
                                  <w:bCs/>
                                  <w:sz w:val="20"/>
                                </w:rPr>
                              </w:pPr>
                              <w:r>
                                <w:rPr>
                                  <w:b/>
                                  <w:bCs/>
                                  <w:sz w:val="20"/>
                                </w:rPr>
                                <w:t>2030 m.</w:t>
                              </w:r>
                            </w:p>
                          </w:tc>
                          <w:tc>
                            <w:tcPr>
                              <w:tcW w:w="1260" w:type="dxa"/>
                              <w:vAlign w:val="center"/>
                            </w:tcPr>
                            <w:p>
                              <w:pPr>
                                <w:jc w:val="center"/>
                                <w:rPr>
                                  <w:b/>
                                  <w:bCs/>
                                  <w:sz w:val="16"/>
                                  <w:szCs w:val="16"/>
                                </w:rPr>
                              </w:pPr>
                              <w:r>
                                <w:rPr>
                                  <w:b/>
                                  <w:bCs/>
                                  <w:sz w:val="16"/>
                                  <w:szCs w:val="16"/>
                                </w:rPr>
                                <w:t>per subsidijuo-jamos įrangos gyvavimo laikotarpį</w:t>
                              </w:r>
                            </w:p>
                          </w:tc>
                          <w:tc>
                            <w:tcPr>
                              <w:tcW w:w="1119" w:type="dxa"/>
                              <w:vMerge/>
                              <w:vAlign w:val="center"/>
                            </w:tcPr>
                            <w:p>
                              <w:pPr>
                                <w:jc w:val="center"/>
                                <w:rPr>
                                  <w:b/>
                                  <w:bCs/>
                                  <w:sz w:val="20"/>
                                </w:rPr>
                              </w:pPr>
                            </w:p>
                          </w:tc>
                          <w:tc>
                            <w:tcPr>
                              <w:tcW w:w="1396" w:type="dxa"/>
                              <w:vMerge/>
                              <w:vAlign w:val="center"/>
                            </w:tcPr>
                            <w:p>
                              <w:pPr>
                                <w:jc w:val="center"/>
                                <w:rPr>
                                  <w:b/>
                                  <w:bCs/>
                                  <w:sz w:val="20"/>
                                </w:rPr>
                              </w:pPr>
                            </w:p>
                          </w:tc>
                        </w:tr>
                        <w:tr>
                          <w:trPr>
                            <w:trHeight w:val="300"/>
                          </w:trPr>
                          <w:tc>
                            <w:tcPr>
                              <w:tcW w:w="10456" w:type="dxa"/>
                              <w:gridSpan w:val="8"/>
                            </w:tcPr>
                            <w:p>
                              <w:pPr>
                                <w:rPr>
                                  <w:sz w:val="20"/>
                                </w:rPr>
                              </w:pPr>
                              <w:r>
                                <w:rPr>
                                  <w:b/>
                                  <w:bCs/>
                                  <w:sz w:val="20"/>
                                </w:rPr>
                                <w:t>Investicinės veiklos</w:t>
                              </w:r>
                            </w:p>
                          </w:tc>
                        </w:tr>
                        <w:tr>
                          <w:tc>
                            <w:tcPr>
                              <w:tcW w:w="675" w:type="dxa"/>
                            </w:tcPr>
                            <w:p>
                              <w:pPr>
                                <w:rPr>
                                  <w:sz w:val="18"/>
                                  <w:szCs w:val="18"/>
                                </w:rPr>
                              </w:pPr>
                              <w:r>
                                <w:rPr>
                                  <w:sz w:val="18"/>
                                  <w:szCs w:val="18"/>
                                </w:rPr>
                                <w:t>1.1.</w:t>
                              </w:r>
                            </w:p>
                          </w:tc>
                          <w:tc>
                            <w:tcPr>
                              <w:tcW w:w="1754" w:type="dxa"/>
                            </w:tcPr>
                            <w:p>
                              <w:pPr>
                                <w:rPr>
                                  <w:color w:val="000000"/>
                                  <w:sz w:val="18"/>
                                  <w:szCs w:val="18"/>
                                </w:rPr>
                              </w:pPr>
                              <w:r>
                                <w:rPr>
                                  <w:color w:val="000000"/>
                                  <w:sz w:val="18"/>
                                  <w:szCs w:val="18"/>
                                </w:rPr>
                                <w:t>Fizinių asmenų vieno ar dviejų butų gyvenamųjų namų atnaujinimas (modernizavimas)</w:t>
                              </w:r>
                            </w:p>
                          </w:tc>
                          <w:tc>
                            <w:tcPr>
                              <w:tcW w:w="2268" w:type="dxa"/>
                            </w:tcPr>
                            <w:p>
                              <w:pPr>
                                <w:ind w:left="-57" w:right="-57"/>
                                <w:rPr>
                                  <w:color w:val="000000"/>
                                  <w:sz w:val="18"/>
                                  <w:szCs w:val="18"/>
                                </w:rPr>
                              </w:pPr>
                              <w:r>
                                <w:rPr>
                                  <w:color w:val="000000"/>
                                  <w:sz w:val="18"/>
                                  <w:szCs w:val="18"/>
                                </w:rPr>
                                <w:t xml:space="preserve">Fiziniai asmenys Lietuvos Respublikoje nuosavybės teise valdantys individualųjį gyvenamąjį namą </w:t>
                              </w:r>
                            </w:p>
                          </w:tc>
                          <w:tc>
                            <w:tcPr>
                              <w:tcW w:w="992" w:type="dxa"/>
                            </w:tcPr>
                            <w:p>
                              <w:pPr>
                                <w:jc w:val="right"/>
                                <w:rPr>
                                  <w:color w:val="000000"/>
                                  <w:sz w:val="18"/>
                                  <w:szCs w:val="18"/>
                                </w:rPr>
                              </w:pPr>
                              <w:r>
                                <w:rPr>
                                  <w:color w:val="000000"/>
                                  <w:sz w:val="18"/>
                                  <w:szCs w:val="18"/>
                                </w:rPr>
                                <w:t>10,46</w:t>
                              </w:r>
                            </w:p>
                          </w:tc>
                          <w:tc>
                            <w:tcPr>
                              <w:tcW w:w="992" w:type="dxa"/>
                            </w:tcPr>
                            <w:p>
                              <w:pPr>
                                <w:jc w:val="right"/>
                                <w:rPr>
                                  <w:color w:val="000000"/>
                                  <w:sz w:val="18"/>
                                  <w:szCs w:val="18"/>
                                </w:rPr>
                              </w:pPr>
                              <w:r>
                                <w:rPr>
                                  <w:color w:val="000000"/>
                                  <w:sz w:val="18"/>
                                  <w:szCs w:val="18"/>
                                </w:rPr>
                                <w:t>36,61</w:t>
                              </w:r>
                            </w:p>
                          </w:tc>
                          <w:tc>
                            <w:tcPr>
                              <w:tcW w:w="1260" w:type="dxa"/>
                            </w:tcPr>
                            <w:p>
                              <w:pPr>
                                <w:jc w:val="right"/>
                                <w:rPr>
                                  <w:color w:val="000000"/>
                                  <w:sz w:val="18"/>
                                  <w:szCs w:val="18"/>
                                </w:rPr>
                              </w:pPr>
                              <w:r>
                                <w:rPr>
                                  <w:color w:val="000000"/>
                                  <w:sz w:val="18"/>
                                  <w:szCs w:val="18"/>
                                </w:rPr>
                                <w:t>130,75</w:t>
                              </w:r>
                            </w:p>
                          </w:tc>
                          <w:tc>
                            <w:tcPr>
                              <w:tcW w:w="1119" w:type="dxa"/>
                            </w:tcPr>
                            <w:p>
                              <w:pPr>
                                <w:jc w:val="right"/>
                                <w:rPr>
                                  <w:sz w:val="18"/>
                                  <w:szCs w:val="18"/>
                                </w:rPr>
                              </w:pPr>
                              <w:r>
                                <w:rPr>
                                  <w:sz w:val="18"/>
                                  <w:szCs w:val="18"/>
                                </w:rPr>
                                <w:t>10</w:t>
                              </w:r>
                            </w:p>
                          </w:tc>
                          <w:tc>
                            <w:tcPr>
                              <w:tcW w:w="1396" w:type="dxa"/>
                            </w:tcPr>
                            <w:p>
                              <w:pPr>
                                <w:jc w:val="center"/>
                                <w:rPr>
                                  <w:color w:val="000000"/>
                                  <w:sz w:val="18"/>
                                  <w:szCs w:val="18"/>
                                </w:rPr>
                              </w:pPr>
                              <w:r>
                                <w:rPr>
                                  <w:color w:val="000000"/>
                                  <w:sz w:val="18"/>
                                  <w:szCs w:val="18"/>
                                </w:rPr>
                                <w:t>kompensacinė išmoka (apskaičiuojama pagal fiksuotą dydį)</w:t>
                              </w:r>
                            </w:p>
                          </w:tc>
                        </w:tr>
                        <w:tr>
                          <w:trPr>
                            <w:trHeight w:val="1504"/>
                          </w:trPr>
                          <w:tc>
                            <w:tcPr>
                              <w:tcW w:w="675" w:type="dxa"/>
                            </w:tcPr>
                            <w:p>
                              <w:pPr>
                                <w:rPr>
                                  <w:sz w:val="18"/>
                                  <w:szCs w:val="18"/>
                                </w:rPr>
                              </w:pPr>
                              <w:r>
                                <w:rPr>
                                  <w:sz w:val="18"/>
                                  <w:szCs w:val="18"/>
                                </w:rPr>
                                <w:t>1.2.</w:t>
                              </w:r>
                            </w:p>
                          </w:tc>
                          <w:tc>
                            <w:tcPr>
                              <w:tcW w:w="1754" w:type="dxa"/>
                            </w:tcPr>
                            <w:p>
                              <w:pPr>
                                <w:rPr>
                                  <w:color w:val="000000"/>
                                  <w:sz w:val="18"/>
                                  <w:szCs w:val="18"/>
                                </w:rPr>
                              </w:pPr>
                              <w:r>
                                <w:rPr>
                                  <w:color w:val="000000"/>
                                  <w:sz w:val="18"/>
                                  <w:szCs w:val="18"/>
                                </w:rPr>
                                <w:t>Juridinių asmenų negyvenamosios paskirties pastatų atnaujinimas (modernizavimas)</w:t>
                              </w:r>
                            </w:p>
                          </w:tc>
                          <w:tc>
                            <w:tcPr>
                              <w:tcW w:w="2268" w:type="dxa"/>
                            </w:tcPr>
                            <w:p>
                              <w:pPr>
                                <w:ind w:left="-57" w:right="-57"/>
                                <w:rPr>
                                  <w:sz w:val="18"/>
                                  <w:szCs w:val="18"/>
                                </w:rPr>
                              </w:pPr>
                              <w:r>
                                <w:rPr>
                                  <w:color w:val="000000"/>
                                  <w:sz w:val="18"/>
                                  <w:szCs w:val="18"/>
                                </w:rPr>
                                <w:t>Negyvenamosios paskirties pastatų, kurie nuosavybės teise priklauso juridiniams asmenims, išskyrus valstybės ir savivaldybės institucijas, savininkai arba valdytojai</w:t>
                              </w:r>
                            </w:p>
                          </w:tc>
                          <w:tc>
                            <w:tcPr>
                              <w:tcW w:w="992" w:type="dxa"/>
                            </w:tcPr>
                            <w:p>
                              <w:pPr>
                                <w:jc w:val="right"/>
                                <w:rPr>
                                  <w:color w:val="000000"/>
                                  <w:sz w:val="18"/>
                                  <w:szCs w:val="18"/>
                                </w:rPr>
                              </w:pPr>
                              <w:r>
                                <w:rPr>
                                  <w:color w:val="000000"/>
                                  <w:sz w:val="18"/>
                                  <w:szCs w:val="18"/>
                                </w:rPr>
                                <w:t>0,53</w:t>
                              </w:r>
                            </w:p>
                          </w:tc>
                          <w:tc>
                            <w:tcPr>
                              <w:tcW w:w="992" w:type="dxa"/>
                            </w:tcPr>
                            <w:p>
                              <w:pPr>
                                <w:jc w:val="right"/>
                                <w:rPr>
                                  <w:sz w:val="18"/>
                                  <w:szCs w:val="18"/>
                                </w:rPr>
                              </w:pPr>
                              <w:r>
                                <w:rPr>
                                  <w:color w:val="000000"/>
                                  <w:sz w:val="18"/>
                                  <w:szCs w:val="18"/>
                                </w:rPr>
                                <w:t>3,18</w:t>
                              </w:r>
                            </w:p>
                          </w:tc>
                          <w:tc>
                            <w:tcPr>
                              <w:tcW w:w="1260" w:type="dxa"/>
                            </w:tcPr>
                            <w:p>
                              <w:pPr>
                                <w:jc w:val="right"/>
                                <w:rPr>
                                  <w:color w:val="000000"/>
                                  <w:sz w:val="18"/>
                                  <w:szCs w:val="18"/>
                                </w:rPr>
                              </w:pPr>
                              <w:r>
                                <w:rPr>
                                  <w:color w:val="000000"/>
                                  <w:sz w:val="18"/>
                                  <w:szCs w:val="18"/>
                                </w:rPr>
                                <w:t>13,25</w:t>
                              </w:r>
                            </w:p>
                          </w:tc>
                          <w:tc>
                            <w:tcPr>
                              <w:tcW w:w="1119" w:type="dxa"/>
                            </w:tcPr>
                            <w:p>
                              <w:pPr>
                                <w:jc w:val="right"/>
                                <w:rPr>
                                  <w:sz w:val="18"/>
                                  <w:szCs w:val="18"/>
                                </w:rPr>
                              </w:pPr>
                              <w:r>
                                <w:rPr>
                                  <w:sz w:val="18"/>
                                  <w:szCs w:val="18"/>
                                </w:rPr>
                                <w:t>2</w:t>
                              </w:r>
                            </w:p>
                          </w:tc>
                          <w:tc>
                            <w:tcPr>
                              <w:tcW w:w="1396" w:type="dxa"/>
                            </w:tcPr>
                            <w:p>
                              <w:pPr>
                                <w:jc w:val="center"/>
                                <w:rPr>
                                  <w:sz w:val="18"/>
                                  <w:szCs w:val="18"/>
                                </w:rPr>
                              </w:pPr>
                              <w:r>
                                <w:rPr>
                                  <w:sz w:val="18"/>
                                  <w:szCs w:val="18"/>
                                </w:rPr>
                                <w:t>subsidija</w:t>
                              </w:r>
                            </w:p>
                          </w:tc>
                        </w:tr>
                        <w:tr>
                          <w:trPr>
                            <w:trHeight w:val="1259"/>
                          </w:trPr>
                          <w:tc>
                            <w:tcPr>
                              <w:tcW w:w="675" w:type="dxa"/>
                            </w:tcPr>
                            <w:p>
                              <w:pPr>
                                <w:rPr>
                                  <w:sz w:val="18"/>
                                  <w:szCs w:val="18"/>
                                </w:rPr>
                              </w:pPr>
                              <w:r>
                                <w:rPr>
                                  <w:sz w:val="18"/>
                                  <w:szCs w:val="18"/>
                                </w:rPr>
                                <w:t>1.3.</w:t>
                              </w:r>
                            </w:p>
                          </w:tc>
                          <w:tc>
                            <w:tcPr>
                              <w:tcW w:w="1754" w:type="dxa"/>
                            </w:tcPr>
                            <w:p>
                              <w:pPr>
                                <w:rPr>
                                  <w:i/>
                                  <w:iCs/>
                                  <w:sz w:val="18"/>
                                  <w:szCs w:val="18"/>
                                </w:rPr>
                              </w:pPr>
                              <w:r>
                                <w:rPr>
                                  <w:color w:val="000000"/>
                                  <w:sz w:val="18"/>
                                  <w:szCs w:val="18"/>
                                </w:rPr>
                                <w:t>Daugiabučių namų vidaus šildymo ir karšto vandens sistemų modernizavimas (</w:t>
                              </w:r>
                              <w:r>
                                <w:rPr>
                                  <w:sz w:val="18"/>
                                  <w:szCs w:val="18"/>
                                </w:rPr>
                                <w:t>„mažoji renovacija“)</w:t>
                              </w:r>
                            </w:p>
                          </w:tc>
                          <w:tc>
                            <w:tcPr>
                              <w:tcW w:w="2268" w:type="dxa"/>
                            </w:tcPr>
                            <w:p>
                              <w:pPr>
                                <w:ind w:left="-57" w:right="-57"/>
                                <w:rPr>
                                  <w:color w:val="000000"/>
                                  <w:sz w:val="18"/>
                                  <w:szCs w:val="18"/>
                                </w:rPr>
                              </w:pPr>
                              <w:r>
                                <w:rPr>
                                  <w:color w:val="000000"/>
                                  <w:sz w:val="18"/>
                                  <w:szCs w:val="18"/>
                                </w:rPr>
                                <w:t>Paramos gavėjai – daugiabučio namo, pastatyto pagal galiojusius iki 1993 metų statybos techninius normatyvus, buto ar kitų patalpų savininkai</w:t>
                              </w:r>
                            </w:p>
                          </w:tc>
                          <w:tc>
                            <w:tcPr>
                              <w:tcW w:w="992" w:type="dxa"/>
                            </w:tcPr>
                            <w:p>
                              <w:pPr>
                                <w:jc w:val="right"/>
                                <w:rPr>
                                  <w:color w:val="000000"/>
                                  <w:sz w:val="18"/>
                                  <w:szCs w:val="18"/>
                                </w:rPr>
                              </w:pPr>
                              <w:r>
                                <w:rPr>
                                  <w:color w:val="000000"/>
                                  <w:sz w:val="18"/>
                                  <w:szCs w:val="18"/>
                                </w:rPr>
                                <w:t>1,20</w:t>
                              </w:r>
                            </w:p>
                          </w:tc>
                          <w:tc>
                            <w:tcPr>
                              <w:tcW w:w="992" w:type="dxa"/>
                            </w:tcPr>
                            <w:p>
                              <w:pPr>
                                <w:jc w:val="right"/>
                                <w:rPr>
                                  <w:sz w:val="18"/>
                                  <w:szCs w:val="18"/>
                                </w:rPr>
                              </w:pPr>
                              <w:r>
                                <w:rPr>
                                  <w:color w:val="000000"/>
                                  <w:sz w:val="18"/>
                                  <w:szCs w:val="18"/>
                                </w:rPr>
                                <w:t>4,20</w:t>
                              </w:r>
                            </w:p>
                          </w:tc>
                          <w:tc>
                            <w:tcPr>
                              <w:tcW w:w="1260" w:type="dxa"/>
                            </w:tcPr>
                            <w:p>
                              <w:pPr>
                                <w:jc w:val="right"/>
                                <w:rPr>
                                  <w:color w:val="000000"/>
                                  <w:sz w:val="18"/>
                                  <w:szCs w:val="18"/>
                                </w:rPr>
                              </w:pPr>
                              <w:r>
                                <w:rPr>
                                  <w:color w:val="000000"/>
                                  <w:sz w:val="18"/>
                                  <w:szCs w:val="18"/>
                                </w:rPr>
                                <w:t>4,80</w:t>
                              </w:r>
                            </w:p>
                          </w:tc>
                          <w:tc>
                            <w:tcPr>
                              <w:tcW w:w="1119" w:type="dxa"/>
                            </w:tcPr>
                            <w:p>
                              <w:pPr>
                                <w:jc w:val="right"/>
                                <w:rPr>
                                  <w:sz w:val="18"/>
                                  <w:szCs w:val="18"/>
                                </w:rPr>
                              </w:pPr>
                              <w:r>
                                <w:rPr>
                                  <w:sz w:val="18"/>
                                  <w:szCs w:val="18"/>
                                </w:rPr>
                                <w:t>4</w:t>
                              </w:r>
                            </w:p>
                          </w:tc>
                          <w:tc>
                            <w:tcPr>
                              <w:tcW w:w="1396" w:type="dxa"/>
                            </w:tcPr>
                            <w:p>
                              <w:pPr>
                                <w:jc w:val="center"/>
                                <w:rPr>
                                  <w:sz w:val="18"/>
                                  <w:szCs w:val="18"/>
                                </w:rPr>
                              </w:pPr>
                              <w:r>
                                <w:rPr>
                                  <w:sz w:val="18"/>
                                  <w:szCs w:val="18"/>
                                </w:rPr>
                                <w:t>subsidija</w:t>
                              </w:r>
                            </w:p>
                          </w:tc>
                        </w:tr>
                        <w:tr>
                          <w:tc>
                            <w:tcPr>
                              <w:tcW w:w="675" w:type="dxa"/>
                            </w:tcPr>
                            <w:p>
                              <w:pPr>
                                <w:rPr>
                                  <w:sz w:val="18"/>
                                  <w:szCs w:val="18"/>
                                </w:rPr>
                              </w:pPr>
                              <w:r>
                                <w:rPr>
                                  <w:sz w:val="18"/>
                                  <w:szCs w:val="18"/>
                                </w:rPr>
                                <w:t>2.1.</w:t>
                              </w:r>
                            </w:p>
                          </w:tc>
                          <w:tc>
                            <w:tcPr>
                              <w:tcW w:w="1754" w:type="dxa"/>
                            </w:tcPr>
                            <w:p>
                              <w:pPr>
                                <w:rPr>
                                  <w:color w:val="000000"/>
                                  <w:sz w:val="18"/>
                                  <w:szCs w:val="18"/>
                                </w:rPr>
                              </w:pPr>
                              <w:r>
                                <w:rPr>
                                  <w:color w:val="000000"/>
                                  <w:sz w:val="18"/>
                                  <w:szCs w:val="18"/>
                                </w:rPr>
                                <w:t>Atsinaujinančių energijos išteklių panaudojimas valstybės, savivaldybių, tradicinių religinių bendruomenių, religinių bendrijų ar centrų poreikiams:</w:t>
                              </w:r>
                            </w:p>
                          </w:tc>
                          <w:tc>
                            <w:tcPr>
                              <w:tcW w:w="2268" w:type="dxa"/>
                            </w:tcPr>
                            <w:p>
                              <w:pPr>
                                <w:rPr>
                                  <w:color w:val="000000"/>
                                  <w:sz w:val="18"/>
                                  <w:szCs w:val="18"/>
                                </w:rPr>
                              </w:pPr>
                            </w:p>
                          </w:tc>
                          <w:tc>
                            <w:tcPr>
                              <w:tcW w:w="992" w:type="dxa"/>
                            </w:tcPr>
                            <w:p>
                              <w:pPr>
                                <w:jc w:val="right"/>
                                <w:rPr>
                                  <w:b/>
                                  <w:bCs/>
                                  <w:color w:val="000000"/>
                                  <w:sz w:val="18"/>
                                  <w:szCs w:val="18"/>
                                </w:rPr>
                              </w:pPr>
                              <w:r>
                                <w:rPr>
                                  <w:b/>
                                  <w:bCs/>
                                  <w:color w:val="000000"/>
                                  <w:sz w:val="18"/>
                                  <w:szCs w:val="18"/>
                                </w:rPr>
                                <w:t>51,34</w:t>
                              </w:r>
                            </w:p>
                          </w:tc>
                          <w:tc>
                            <w:tcPr>
                              <w:tcW w:w="992" w:type="dxa"/>
                            </w:tcPr>
                            <w:p>
                              <w:pPr>
                                <w:spacing w:line="259" w:lineRule="auto"/>
                                <w:jc w:val="right"/>
                                <w:rPr>
                                  <w:b/>
                                  <w:bCs/>
                                  <w:color w:val="000000"/>
                                  <w:sz w:val="18"/>
                                  <w:szCs w:val="18"/>
                                </w:rPr>
                              </w:pPr>
                              <w:r>
                                <w:rPr>
                                  <w:b/>
                                  <w:bCs/>
                                  <w:color w:val="000000"/>
                                  <w:sz w:val="18"/>
                                  <w:szCs w:val="18"/>
                                </w:rPr>
                                <w:t>179,69</w:t>
                              </w:r>
                            </w:p>
                          </w:tc>
                          <w:tc>
                            <w:tcPr>
                              <w:tcW w:w="1260" w:type="dxa"/>
                            </w:tcPr>
                            <w:p>
                              <w:pPr>
                                <w:jc w:val="right"/>
                                <w:rPr>
                                  <w:b/>
                                  <w:bCs/>
                                  <w:color w:val="000000"/>
                                  <w:sz w:val="18"/>
                                  <w:szCs w:val="18"/>
                                </w:rPr>
                              </w:pPr>
                              <w:r>
                                <w:rPr>
                                  <w:b/>
                                  <w:bCs/>
                                  <w:color w:val="000000"/>
                                  <w:sz w:val="18"/>
                                  <w:szCs w:val="18"/>
                                </w:rPr>
                                <w:t>513,42</w:t>
                              </w:r>
                            </w:p>
                          </w:tc>
                          <w:tc>
                            <w:tcPr>
                              <w:tcW w:w="1119" w:type="dxa"/>
                            </w:tcPr>
                            <w:p>
                              <w:pPr>
                                <w:jc w:val="right"/>
                                <w:rPr>
                                  <w:b/>
                                  <w:bCs/>
                                  <w:sz w:val="18"/>
                                  <w:szCs w:val="18"/>
                                </w:rPr>
                              </w:pPr>
                              <w:r>
                                <w:rPr>
                                  <w:b/>
                                  <w:bCs/>
                                  <w:sz w:val="18"/>
                                  <w:szCs w:val="18"/>
                                </w:rPr>
                                <w:t>30</w:t>
                              </w:r>
                            </w:p>
                          </w:tc>
                          <w:tc>
                            <w:tcPr>
                              <w:tcW w:w="1396" w:type="dxa"/>
                            </w:tcPr>
                            <w:p>
                              <w:pPr>
                                <w:jc w:val="center"/>
                                <w:rPr>
                                  <w:sz w:val="18"/>
                                  <w:szCs w:val="18"/>
                                </w:rPr>
                              </w:pPr>
                              <w:r>
                                <w:rPr>
                                  <w:sz w:val="18"/>
                                  <w:szCs w:val="18"/>
                                </w:rPr>
                                <w:t>subsidija</w:t>
                              </w:r>
                            </w:p>
                          </w:tc>
                        </w:tr>
                        <w:tr>
                          <w:tc>
                            <w:tcPr>
                              <w:tcW w:w="675" w:type="dxa"/>
                            </w:tcPr>
                            <w:p>
                              <w:pPr>
                                <w:rPr>
                                  <w:sz w:val="18"/>
                                  <w:szCs w:val="18"/>
                                </w:rPr>
                              </w:pPr>
                              <w:r>
                                <w:rPr>
                                  <w:sz w:val="18"/>
                                  <w:szCs w:val="18"/>
                                </w:rPr>
                                <w:t>2.1.1.</w:t>
                              </w:r>
                            </w:p>
                          </w:tc>
                          <w:tc>
                            <w:tcPr>
                              <w:tcW w:w="1754" w:type="dxa"/>
                            </w:tcPr>
                            <w:p>
                              <w:pPr>
                                <w:rPr>
                                  <w:color w:val="000000"/>
                                  <w:sz w:val="18"/>
                                  <w:szCs w:val="18"/>
                                </w:rPr>
                              </w:pPr>
                              <w:r>
                                <w:rPr>
                                  <w:color w:val="000000"/>
                                  <w:sz w:val="18"/>
                                  <w:szCs w:val="18"/>
                                </w:rPr>
                                <w:t>Atsinaujinančių energijos išteklių (saulės, vėjo) panaudojimas valstybės, savivaldybių, tradicinių religinių bendruomenių, religinių bendrijų ar centrų elektros energijos poreikiams</w:t>
                              </w:r>
                            </w:p>
                          </w:tc>
                          <w:tc>
                            <w:tcPr>
                              <w:tcW w:w="2268" w:type="dxa"/>
                            </w:tcPr>
                            <w:p>
                              <w:pPr>
                                <w:rPr>
                                  <w:color w:val="000000"/>
                                  <w:sz w:val="18"/>
                                  <w:szCs w:val="18"/>
                                </w:rPr>
                              </w:pPr>
                              <w:r>
                                <w:rPr>
                                  <w:color w:val="000000"/>
                                  <w:sz w:val="18"/>
                                  <w:szCs w:val="18"/>
                                </w:rPr>
                                <w:t>Valstybės ar savivaldybių institucijos ir įstaigos, tradicinės religinės bendruomenės, religinės bendrijos ar centrai ir viešosios įstaigos, kurių savininkė arba dalininkė yra valstybė ar savivaldybė. Pareiškėjas turi būti turto, į kurį numatoma investuoti, savininkas arba valdytojas</w:t>
                              </w:r>
                            </w:p>
                          </w:tc>
                          <w:tc>
                            <w:tcPr>
                              <w:tcW w:w="992" w:type="dxa"/>
                            </w:tcPr>
                            <w:p>
                              <w:pPr>
                                <w:jc w:val="right"/>
                                <w:rPr>
                                  <w:color w:val="000000"/>
                                  <w:sz w:val="18"/>
                                  <w:szCs w:val="18"/>
                                </w:rPr>
                              </w:pPr>
                              <w:r>
                                <w:rPr>
                                  <w:color w:val="000000"/>
                                  <w:sz w:val="18"/>
                                  <w:szCs w:val="18"/>
                                </w:rPr>
                                <w:t>47,78</w:t>
                              </w:r>
                            </w:p>
                          </w:tc>
                          <w:tc>
                            <w:tcPr>
                              <w:tcW w:w="992" w:type="dxa"/>
                            </w:tcPr>
                            <w:p>
                              <w:pPr>
                                <w:spacing w:line="259" w:lineRule="auto"/>
                                <w:jc w:val="right"/>
                                <w:rPr>
                                  <w:color w:val="000000"/>
                                  <w:sz w:val="18"/>
                                  <w:szCs w:val="18"/>
                                </w:rPr>
                              </w:pPr>
                              <w:r>
                                <w:rPr>
                                  <w:color w:val="000000"/>
                                  <w:sz w:val="18"/>
                                  <w:szCs w:val="18"/>
                                </w:rPr>
                                <w:t>167,23</w:t>
                              </w:r>
                            </w:p>
                          </w:tc>
                          <w:tc>
                            <w:tcPr>
                              <w:tcW w:w="1260" w:type="dxa"/>
                            </w:tcPr>
                            <w:p>
                              <w:pPr>
                                <w:jc w:val="right"/>
                                <w:rPr>
                                  <w:color w:val="000000"/>
                                  <w:sz w:val="18"/>
                                  <w:szCs w:val="18"/>
                                </w:rPr>
                              </w:pPr>
                              <w:r>
                                <w:rPr>
                                  <w:color w:val="000000"/>
                                  <w:sz w:val="18"/>
                                  <w:szCs w:val="18"/>
                                </w:rPr>
                                <w:t>427,8</w:t>
                              </w:r>
                            </w:p>
                          </w:tc>
                          <w:tc>
                            <w:tcPr>
                              <w:tcW w:w="1119" w:type="dxa"/>
                            </w:tcPr>
                            <w:p>
                              <w:pPr>
                                <w:jc w:val="right"/>
                                <w:rPr>
                                  <w:sz w:val="18"/>
                                  <w:szCs w:val="18"/>
                                </w:rPr>
                              </w:pPr>
                              <w:r>
                                <w:rPr>
                                  <w:sz w:val="18"/>
                                  <w:szCs w:val="18"/>
                                </w:rPr>
                                <w:t>25</w:t>
                              </w:r>
                            </w:p>
                          </w:tc>
                          <w:tc>
                            <w:tcPr>
                              <w:tcW w:w="1396" w:type="dxa"/>
                            </w:tcPr>
                            <w:p>
                              <w:pPr>
                                <w:jc w:val="center"/>
                                <w:rPr>
                                  <w:color w:val="000000"/>
                                  <w:sz w:val="18"/>
                                  <w:szCs w:val="18"/>
                                </w:rPr>
                              </w:pPr>
                              <w:r>
                                <w:rPr>
                                  <w:sz w:val="18"/>
                                  <w:szCs w:val="18"/>
                                </w:rPr>
                                <w:t xml:space="preserve">subsidija, </w:t>
                              </w:r>
                              <w:r>
                                <w:rPr>
                                  <w:color w:val="000000"/>
                                  <w:sz w:val="18"/>
                                  <w:szCs w:val="18"/>
                                </w:rPr>
                                <w:t>(apskaičiuojama pagal fiksuotą dydį)</w:t>
                              </w:r>
                            </w:p>
                          </w:tc>
                        </w:tr>
                        <w:tr>
                          <w:trPr>
                            <w:trHeight w:val="2042"/>
                          </w:trPr>
                          <w:tc>
                            <w:tcPr>
                              <w:tcW w:w="675" w:type="dxa"/>
                            </w:tcPr>
                            <w:p>
                              <w:pPr>
                                <w:rPr>
                                  <w:sz w:val="18"/>
                                  <w:szCs w:val="18"/>
                                </w:rPr>
                              </w:pPr>
                              <w:r>
                                <w:rPr>
                                  <w:sz w:val="18"/>
                                  <w:szCs w:val="18"/>
                                </w:rPr>
                                <w:t>2.1.2</w:t>
                              </w:r>
                            </w:p>
                          </w:tc>
                          <w:tc>
                            <w:tcPr>
                              <w:tcW w:w="1754" w:type="dxa"/>
                            </w:tcPr>
                            <w:p>
                              <w:pPr>
                                <w:rPr>
                                  <w:b/>
                                  <w:bCs/>
                                  <w:color w:val="000000"/>
                                  <w:sz w:val="18"/>
                                  <w:szCs w:val="18"/>
                                </w:rPr>
                              </w:pPr>
                              <w:r>
                                <w:rPr>
                                  <w:color w:val="000000"/>
                                  <w:sz w:val="18"/>
                                  <w:szCs w:val="18"/>
                                </w:rPr>
                                <w:t>Atsinaujinančių energijos išteklių (saulės, geoterminės energijos, biokuro) panaudojimas valstybės, savivaldybių, tradicinių religinių bendruomenių, religinių bendrijų ar centrų poreikiams, pakeičiant iškastinį kurą</w:t>
                              </w:r>
                            </w:p>
                          </w:tc>
                          <w:tc>
                            <w:tcPr>
                              <w:tcW w:w="2268" w:type="dxa"/>
                            </w:tcPr>
                            <w:p>
                              <w:pPr>
                                <w:rPr>
                                  <w:color w:val="000000"/>
                                  <w:sz w:val="18"/>
                                  <w:szCs w:val="18"/>
                                </w:rPr>
                              </w:pPr>
                              <w:r>
                                <w:rPr>
                                  <w:color w:val="000000"/>
                                  <w:sz w:val="18"/>
                                  <w:szCs w:val="18"/>
                                </w:rPr>
                                <w:t>Valstybės ar savivaldybių institucijos ir įstaigos, tradicinės religinės bendruomenės, religinės bendrijos ar centrai ir viešosios įstaigos, kurių savininkė arba dalininkė yra valstybė ar savivaldybė. Pareiškėjas turi būti turto, į kurį numatoma investuoti, savininkas arba valdytojas</w:t>
                              </w:r>
                            </w:p>
                          </w:tc>
                          <w:tc>
                            <w:tcPr>
                              <w:tcW w:w="992" w:type="dxa"/>
                            </w:tcPr>
                            <w:p>
                              <w:pPr>
                                <w:jc w:val="right"/>
                                <w:rPr>
                                  <w:color w:val="000000"/>
                                  <w:sz w:val="18"/>
                                  <w:szCs w:val="18"/>
                                </w:rPr>
                              </w:pPr>
                              <w:r>
                                <w:rPr>
                                  <w:color w:val="000000"/>
                                  <w:sz w:val="18"/>
                                  <w:szCs w:val="18"/>
                                </w:rPr>
                                <w:t>3,56</w:t>
                              </w:r>
                            </w:p>
                          </w:tc>
                          <w:tc>
                            <w:tcPr>
                              <w:tcW w:w="992" w:type="dxa"/>
                            </w:tcPr>
                            <w:p>
                              <w:pPr>
                                <w:spacing w:line="259" w:lineRule="auto"/>
                                <w:jc w:val="right"/>
                                <w:rPr>
                                  <w:color w:val="000000"/>
                                  <w:sz w:val="18"/>
                                  <w:szCs w:val="18"/>
                                </w:rPr>
                              </w:pPr>
                              <w:r>
                                <w:rPr>
                                  <w:color w:val="000000"/>
                                  <w:sz w:val="18"/>
                                  <w:szCs w:val="18"/>
                                </w:rPr>
                                <w:t>12,46</w:t>
                              </w:r>
                            </w:p>
                          </w:tc>
                          <w:tc>
                            <w:tcPr>
                              <w:tcW w:w="1260" w:type="dxa"/>
                            </w:tcPr>
                            <w:p>
                              <w:pPr>
                                <w:spacing w:line="259" w:lineRule="auto"/>
                                <w:jc w:val="right"/>
                                <w:rPr>
                                  <w:sz w:val="18"/>
                                  <w:szCs w:val="18"/>
                                </w:rPr>
                              </w:pPr>
                              <w:r>
                                <w:rPr>
                                  <w:color w:val="000000"/>
                                  <w:sz w:val="18"/>
                                  <w:szCs w:val="18"/>
                                </w:rPr>
                                <w:t>85,62</w:t>
                              </w:r>
                            </w:p>
                          </w:tc>
                          <w:tc>
                            <w:tcPr>
                              <w:tcW w:w="1119" w:type="dxa"/>
                            </w:tcPr>
                            <w:p>
                              <w:pPr>
                                <w:jc w:val="right"/>
                                <w:rPr>
                                  <w:sz w:val="18"/>
                                  <w:szCs w:val="18"/>
                                </w:rPr>
                              </w:pPr>
                              <w:r>
                                <w:rPr>
                                  <w:sz w:val="18"/>
                                  <w:szCs w:val="18"/>
                                </w:rPr>
                                <w:t>2</w:t>
                              </w:r>
                            </w:p>
                          </w:tc>
                          <w:tc>
                            <w:tcPr>
                              <w:tcW w:w="1396" w:type="dxa"/>
                            </w:tcPr>
                            <w:p>
                              <w:pPr>
                                <w:jc w:val="center"/>
                                <w:rPr>
                                  <w:sz w:val="18"/>
                                  <w:szCs w:val="18"/>
                                </w:rPr>
                              </w:pPr>
                              <w:r>
                                <w:rPr>
                                  <w:sz w:val="18"/>
                                  <w:szCs w:val="18"/>
                                </w:rPr>
                                <w:t>subsidija</w:t>
                              </w:r>
                            </w:p>
                          </w:tc>
                        </w:tr>
                        <w:tr>
                          <w:tc>
                            <w:tcPr>
                              <w:tcW w:w="675" w:type="dxa"/>
                            </w:tcPr>
                            <w:p>
                              <w:pPr>
                                <w:rPr>
                                  <w:sz w:val="18"/>
                                  <w:szCs w:val="18"/>
                                </w:rPr>
                              </w:pPr>
                              <w:r>
                                <w:rPr>
                                  <w:sz w:val="18"/>
                                  <w:szCs w:val="18"/>
                                </w:rPr>
                                <w:t>2.1.3</w:t>
                              </w:r>
                            </w:p>
                          </w:tc>
                          <w:tc>
                            <w:tcPr>
                              <w:tcW w:w="1754" w:type="dxa"/>
                            </w:tcPr>
                            <w:p>
                              <w:pPr>
                                <w:rPr>
                                  <w:color w:val="000000"/>
                                  <w:sz w:val="18"/>
                                  <w:szCs w:val="18"/>
                                </w:rPr>
                              </w:pPr>
                              <w:r>
                                <w:rPr>
                                  <w:color w:val="000000"/>
                                  <w:sz w:val="18"/>
                                  <w:szCs w:val="18"/>
                                </w:rPr>
                                <w:t>Elektros energijos kaupimo įrenginiai</w:t>
                              </w:r>
                              <w:r>
                                <w:rPr>
                                  <w:color w:val="000000"/>
                                  <w:sz w:val="20"/>
                                </w:rPr>
                                <w:t xml:space="preserve"> </w:t>
                              </w:r>
                              <w:r>
                                <w:rPr>
                                  <w:color w:val="000000"/>
                                  <w:sz w:val="18"/>
                                  <w:szCs w:val="18"/>
                                </w:rPr>
                                <w:t>valstybės, savivaldybių, tradicinių religinių bendruomenių, religinių bendrijų ar centrų poreikiams</w:t>
                              </w:r>
                            </w:p>
                          </w:tc>
                          <w:tc>
                            <w:tcPr>
                              <w:tcW w:w="2268" w:type="dxa"/>
                            </w:tcPr>
                            <w:p>
                              <w:pPr>
                                <w:rPr>
                                  <w:color w:val="000000"/>
                                  <w:sz w:val="18"/>
                                  <w:szCs w:val="18"/>
                                </w:rPr>
                              </w:pPr>
                              <w:r>
                                <w:rPr>
                                  <w:color w:val="000000"/>
                                  <w:sz w:val="18"/>
                                  <w:szCs w:val="18"/>
                                </w:rPr>
                                <w:t>Valstybės ar savivaldybių institucijos ir įstaigos, tradicinės religinės bendruomenės, religinės bendrijos ar centrai ir viešosios įstaigos, kurių savininkė arba dalininkė yra valstybė ar savivaldybė. Pareiškėjas turi būti turto, į kurį numatoma investuoti, savininkas arba valdytojai</w:t>
                              </w:r>
                            </w:p>
                          </w:tc>
                          <w:tc>
                            <w:tcPr>
                              <w:tcW w:w="992" w:type="dxa"/>
                            </w:tcPr>
                            <w:p>
                              <w:pPr>
                                <w:jc w:val="center"/>
                                <w:rPr>
                                  <w:sz w:val="18"/>
                                  <w:szCs w:val="18"/>
                                </w:rPr>
                              </w:pPr>
                              <w:r>
                                <w:rPr>
                                  <w:sz w:val="18"/>
                                  <w:szCs w:val="18"/>
                                </w:rPr>
                                <w:t>nevertina-mas</w:t>
                              </w:r>
                            </w:p>
                          </w:tc>
                          <w:tc>
                            <w:tcPr>
                              <w:tcW w:w="992" w:type="dxa"/>
                            </w:tcPr>
                            <w:p>
                              <w:pPr>
                                <w:jc w:val="center"/>
                                <w:rPr>
                                  <w:sz w:val="18"/>
                                  <w:szCs w:val="18"/>
                                </w:rPr>
                              </w:pPr>
                              <w:r>
                                <w:rPr>
                                  <w:sz w:val="18"/>
                                  <w:szCs w:val="18"/>
                                </w:rPr>
                                <w:t>nevertina-mas</w:t>
                              </w:r>
                            </w:p>
                          </w:tc>
                          <w:tc>
                            <w:tcPr>
                              <w:tcW w:w="1260" w:type="dxa"/>
                            </w:tcPr>
                            <w:p>
                              <w:pPr>
                                <w:jc w:val="center"/>
                                <w:rPr>
                                  <w:sz w:val="18"/>
                                  <w:szCs w:val="18"/>
                                </w:rPr>
                              </w:pPr>
                              <w:r>
                                <w:rPr>
                                  <w:sz w:val="18"/>
                                  <w:szCs w:val="18"/>
                                </w:rPr>
                                <w:t>nevertinamas</w:t>
                              </w:r>
                            </w:p>
                          </w:tc>
                          <w:tc>
                            <w:tcPr>
                              <w:tcW w:w="1119" w:type="dxa"/>
                            </w:tcPr>
                            <w:p>
                              <w:pPr>
                                <w:jc w:val="right"/>
                                <w:rPr>
                                  <w:sz w:val="18"/>
                                  <w:szCs w:val="18"/>
                                </w:rPr>
                              </w:pPr>
                              <w:r>
                                <w:rPr>
                                  <w:sz w:val="18"/>
                                  <w:szCs w:val="18"/>
                                </w:rPr>
                                <w:t>3</w:t>
                              </w:r>
                            </w:p>
                          </w:tc>
                          <w:tc>
                            <w:tcPr>
                              <w:tcW w:w="1396" w:type="dxa"/>
                            </w:tcPr>
                            <w:p>
                              <w:pPr>
                                <w:jc w:val="center"/>
                                <w:rPr>
                                  <w:sz w:val="18"/>
                                  <w:szCs w:val="18"/>
                                </w:rPr>
                              </w:pPr>
                              <w:r>
                                <w:rPr>
                                  <w:sz w:val="18"/>
                                  <w:szCs w:val="18"/>
                                </w:rPr>
                                <w:t>subsidija</w:t>
                              </w:r>
                            </w:p>
                          </w:tc>
                        </w:tr>
                        <w:tr>
                          <w:trPr>
                            <w:trHeight w:val="2738"/>
                          </w:trPr>
                          <w:tc>
                            <w:tcPr>
                              <w:tcW w:w="675" w:type="dxa"/>
                            </w:tcPr>
                            <w:p>
                              <w:pPr>
                                <w:rPr>
                                  <w:sz w:val="18"/>
                                  <w:szCs w:val="18"/>
                                </w:rPr>
                              </w:pPr>
                              <w:r>
                                <w:rPr>
                                  <w:sz w:val="18"/>
                                  <w:szCs w:val="18"/>
                                </w:rPr>
                                <w:t>2.2.</w:t>
                              </w:r>
                            </w:p>
                          </w:tc>
                          <w:tc>
                            <w:tcPr>
                              <w:tcW w:w="1754" w:type="dxa"/>
                            </w:tcPr>
                            <w:p>
                              <w:pPr>
                                <w:rPr>
                                  <w:color w:val="000000"/>
                                  <w:sz w:val="18"/>
                                  <w:szCs w:val="18"/>
                                </w:rPr>
                              </w:pPr>
                              <w:r>
                                <w:rPr>
                                  <w:color w:val="000000"/>
                                  <w:sz w:val="18"/>
                                  <w:szCs w:val="18"/>
                                </w:rPr>
                                <w:t>Atsinaujinančių energijos išteklių (saulės) panaudojimas nepasiturinčių fizinių asmenų elektros energijos reikmėms ir (ar) iškastinį kurą naudojančių šilumos įrenginių pakeitimui</w:t>
                              </w:r>
                            </w:p>
                          </w:tc>
                          <w:tc>
                            <w:tcPr>
                              <w:tcW w:w="2268" w:type="dxa"/>
                            </w:tcPr>
                            <w:p>
                              <w:pPr>
                                <w:rPr>
                                  <w:color w:val="000000"/>
                                  <w:sz w:val="18"/>
                                  <w:szCs w:val="18"/>
                                </w:rPr>
                              </w:pPr>
                              <w:r>
                                <w:rPr>
                                  <w:color w:val="000000"/>
                                  <w:sz w:val="18"/>
                                  <w:szCs w:val="18"/>
                                </w:rPr>
                                <w:t>Fiziniai asmenys,</w:t>
                              </w:r>
                              <w:r>
                                <w:rPr>
                                  <w:i/>
                                  <w:iCs/>
                                  <w:color w:val="000000"/>
                                  <w:sz w:val="18"/>
                                  <w:szCs w:val="18"/>
                                </w:rPr>
                                <w:t xml:space="preserve"> </w:t>
                              </w:r>
                              <w:r>
                                <w:rPr>
                                  <w:color w:val="000000"/>
                                  <w:sz w:val="18"/>
                                  <w:szCs w:val="18"/>
                                </w:rPr>
                                <w:t xml:space="preserve">kuriems nustatyta tvarka ir (ar) su jais gyvenantiems asmenims Lietuvos Respublikos piniginės socialinės paramos nepasiturintiems gyventojams įstatymo nustatyta tvarka  buvo teikiama piniginė socialinė parama</w:t>
                              </w:r>
                            </w:p>
                          </w:tc>
                          <w:tc>
                            <w:tcPr>
                              <w:tcW w:w="992" w:type="dxa"/>
                            </w:tcPr>
                            <w:p>
                              <w:pPr>
                                <w:jc w:val="right"/>
                                <w:rPr>
                                  <w:color w:val="000000"/>
                                  <w:sz w:val="18"/>
                                  <w:szCs w:val="18"/>
                                </w:rPr>
                              </w:pPr>
                              <w:r>
                                <w:rPr>
                                  <w:color w:val="000000"/>
                                  <w:sz w:val="18"/>
                                  <w:szCs w:val="18"/>
                                </w:rPr>
                                <w:t>0,4</w:t>
                              </w:r>
                            </w:p>
                          </w:tc>
                          <w:tc>
                            <w:tcPr>
                              <w:tcW w:w="992" w:type="dxa"/>
                            </w:tcPr>
                            <w:p>
                              <w:pPr>
                                <w:jc w:val="right"/>
                                <w:rPr>
                                  <w:color w:val="000000"/>
                                  <w:sz w:val="18"/>
                                  <w:szCs w:val="18"/>
                                </w:rPr>
                              </w:pPr>
                              <w:r>
                                <w:rPr>
                                  <w:color w:val="000000"/>
                                  <w:sz w:val="18"/>
                                  <w:szCs w:val="18"/>
                                </w:rPr>
                                <w:t>1,40</w:t>
                              </w:r>
                            </w:p>
                          </w:tc>
                          <w:tc>
                            <w:tcPr>
                              <w:tcW w:w="1260" w:type="dxa"/>
                            </w:tcPr>
                            <w:p>
                              <w:pPr>
                                <w:jc w:val="right"/>
                                <w:rPr>
                                  <w:color w:val="000000"/>
                                  <w:sz w:val="18"/>
                                  <w:szCs w:val="18"/>
                                </w:rPr>
                              </w:pPr>
                              <w:r>
                                <w:rPr>
                                  <w:color w:val="000000"/>
                                  <w:sz w:val="18"/>
                                  <w:szCs w:val="18"/>
                                </w:rPr>
                                <w:t>3,60</w:t>
                              </w:r>
                            </w:p>
                          </w:tc>
                          <w:tc>
                            <w:tcPr>
                              <w:tcW w:w="1119" w:type="dxa"/>
                            </w:tcPr>
                            <w:p>
                              <w:pPr>
                                <w:jc w:val="right"/>
                                <w:rPr>
                                  <w:sz w:val="18"/>
                                  <w:szCs w:val="18"/>
                                </w:rPr>
                              </w:pPr>
                              <w:r>
                                <w:rPr>
                                  <w:sz w:val="18"/>
                                  <w:szCs w:val="18"/>
                                </w:rPr>
                                <w:t>2</w:t>
                              </w:r>
                            </w:p>
                          </w:tc>
                          <w:tc>
                            <w:tcPr>
                              <w:tcW w:w="1396" w:type="dxa"/>
                            </w:tcPr>
                            <w:p>
                              <w:pPr>
                                <w:jc w:val="center"/>
                                <w:rPr>
                                  <w:color w:val="000000"/>
                                  <w:sz w:val="18"/>
                                  <w:szCs w:val="18"/>
                                </w:rPr>
                              </w:pPr>
                              <w:r>
                                <w:rPr>
                                  <w:color w:val="000000"/>
                                  <w:sz w:val="18"/>
                                  <w:szCs w:val="18"/>
                                </w:rPr>
                                <w:t>kompensacinė išmoka (apskaičiuojama pagal fiksuotus dydžius)</w:t>
                              </w:r>
                            </w:p>
                          </w:tc>
                        </w:tr>
                        <w:tr>
                          <w:trPr>
                            <w:trHeight w:val="1188"/>
                          </w:trPr>
                          <w:tc>
                            <w:tcPr>
                              <w:tcW w:w="675" w:type="dxa"/>
                            </w:tcPr>
                            <w:p>
                              <w:pPr>
                                <w:rPr>
                                  <w:sz w:val="18"/>
                                  <w:szCs w:val="18"/>
                                </w:rPr>
                              </w:pPr>
                              <w:r>
                                <w:rPr>
                                  <w:sz w:val="18"/>
                                  <w:szCs w:val="18"/>
                                </w:rPr>
                                <w:t>2.3.</w:t>
                              </w:r>
                            </w:p>
                          </w:tc>
                          <w:tc>
                            <w:tcPr>
                              <w:tcW w:w="1754" w:type="dxa"/>
                            </w:tcPr>
                            <w:p>
                              <w:pPr>
                                <w:rPr>
                                  <w:sz w:val="18"/>
                                  <w:szCs w:val="18"/>
                                </w:rPr>
                              </w:pPr>
                              <w:r>
                                <w:rPr>
                                  <w:color w:val="000000"/>
                                  <w:sz w:val="18"/>
                                  <w:szCs w:val="18"/>
                                </w:rPr>
                                <w:t>Saulės elektrinės fiziniams asmenims (</w:t>
                              </w:r>
                              <w:r>
                                <w:rPr>
                                  <w:sz w:val="18"/>
                                  <w:szCs w:val="18"/>
                                </w:rPr>
                                <w:t>nutolusios saulės elektrinės dalies įsigijimas iš vystytojo elektrinių parke)</w:t>
                              </w:r>
                            </w:p>
                          </w:tc>
                          <w:tc>
                            <w:tcPr>
                              <w:tcW w:w="2268" w:type="dxa"/>
                            </w:tcPr>
                            <w:p>
                              <w:pPr>
                                <w:rPr>
                                  <w:sz w:val="18"/>
                                  <w:szCs w:val="18"/>
                                </w:rPr>
                              </w:pPr>
                              <w:r>
                                <w:rPr>
                                  <w:sz w:val="18"/>
                                  <w:szCs w:val="18"/>
                                </w:rPr>
                                <w:t>Fiziniai asmenys</w:t>
                              </w:r>
                            </w:p>
                          </w:tc>
                          <w:tc>
                            <w:tcPr>
                              <w:tcW w:w="992" w:type="dxa"/>
                            </w:tcPr>
                            <w:p>
                              <w:pPr>
                                <w:jc w:val="right"/>
                                <w:rPr>
                                  <w:color w:val="000000"/>
                                  <w:sz w:val="18"/>
                                  <w:szCs w:val="18"/>
                                </w:rPr>
                              </w:pPr>
                              <w:r>
                                <w:rPr>
                                  <w:color w:val="000000"/>
                                  <w:sz w:val="18"/>
                                  <w:szCs w:val="18"/>
                                </w:rPr>
                                <w:t>17,74</w:t>
                              </w:r>
                            </w:p>
                          </w:tc>
                          <w:tc>
                            <w:tcPr>
                              <w:tcW w:w="992" w:type="dxa"/>
                            </w:tcPr>
                            <w:p>
                              <w:pPr>
                                <w:jc w:val="right"/>
                                <w:rPr>
                                  <w:color w:val="000000"/>
                                  <w:sz w:val="18"/>
                                  <w:szCs w:val="18"/>
                                </w:rPr>
                              </w:pPr>
                              <w:r>
                                <w:rPr>
                                  <w:color w:val="000000"/>
                                  <w:sz w:val="18"/>
                                  <w:szCs w:val="18"/>
                                </w:rPr>
                                <w:t>62,09</w:t>
                              </w:r>
                            </w:p>
                          </w:tc>
                          <w:tc>
                            <w:tcPr>
                              <w:tcW w:w="1260" w:type="dxa"/>
                            </w:tcPr>
                            <w:p>
                              <w:pPr>
                                <w:jc w:val="right"/>
                                <w:rPr>
                                  <w:color w:val="000000"/>
                                  <w:sz w:val="18"/>
                                  <w:szCs w:val="18"/>
                                </w:rPr>
                              </w:pPr>
                              <w:r>
                                <w:rPr>
                                  <w:color w:val="000000"/>
                                  <w:sz w:val="18"/>
                                  <w:szCs w:val="18"/>
                                </w:rPr>
                                <w:t>221,75</w:t>
                              </w:r>
                            </w:p>
                          </w:tc>
                          <w:tc>
                            <w:tcPr>
                              <w:tcW w:w="1119" w:type="dxa"/>
                            </w:tcPr>
                            <w:p>
                              <w:pPr>
                                <w:jc w:val="right"/>
                                <w:rPr>
                                  <w:sz w:val="18"/>
                                  <w:szCs w:val="18"/>
                                </w:rPr>
                              </w:pPr>
                              <w:r>
                                <w:rPr>
                                  <w:sz w:val="18"/>
                                  <w:szCs w:val="18"/>
                                </w:rPr>
                                <w:t>20</w:t>
                              </w:r>
                            </w:p>
                          </w:tc>
                          <w:tc>
                            <w:tcPr>
                              <w:tcW w:w="1396" w:type="dxa"/>
                            </w:tcPr>
                            <w:p>
                              <w:pPr>
                                <w:jc w:val="center"/>
                                <w:rPr>
                                  <w:color w:val="000000"/>
                                  <w:sz w:val="18"/>
                                  <w:szCs w:val="18"/>
                                </w:rPr>
                              </w:pPr>
                              <w:r>
                                <w:rPr>
                                  <w:color w:val="000000"/>
                                  <w:sz w:val="18"/>
                                  <w:szCs w:val="18"/>
                                </w:rPr>
                                <w:t>kompensacinė išmoka (apskaičiuojama pagal fiksuotus dydžius)</w:t>
                              </w:r>
                            </w:p>
                          </w:tc>
                        </w:tr>
                        <w:tr>
                          <w:tc>
                            <w:tcPr>
                              <w:tcW w:w="675" w:type="dxa"/>
                            </w:tcPr>
                            <w:p>
                              <w:pPr>
                                <w:rPr>
                                  <w:sz w:val="18"/>
                                  <w:szCs w:val="18"/>
                                </w:rPr>
                              </w:pPr>
                              <w:r>
                                <w:rPr>
                                  <w:sz w:val="18"/>
                                  <w:szCs w:val="18"/>
                                </w:rPr>
                                <w:t>2.4.</w:t>
                              </w:r>
                            </w:p>
                          </w:tc>
                          <w:tc>
                            <w:tcPr>
                              <w:tcW w:w="1754" w:type="dxa"/>
                            </w:tcPr>
                            <w:p>
                              <w:pPr>
                                <w:rPr>
                                  <w:color w:val="000000"/>
                                  <w:sz w:val="18"/>
                                  <w:szCs w:val="18"/>
                                </w:rPr>
                              </w:pPr>
                              <w:r>
                                <w:rPr>
                                  <w:color w:val="000000"/>
                                  <w:sz w:val="18"/>
                                  <w:szCs w:val="18"/>
                                </w:rPr>
                                <w:t>Elektros energijos kaupimo įrenginiai namų ūkiams (gaminantiems vartotojams)</w:t>
                              </w:r>
                            </w:p>
                          </w:tc>
                          <w:tc>
                            <w:tcPr>
                              <w:tcW w:w="2268" w:type="dxa"/>
                            </w:tcPr>
                            <w:p>
                              <w:pPr>
                                <w:rPr>
                                  <w:sz w:val="18"/>
                                  <w:szCs w:val="18"/>
                                </w:rPr>
                              </w:pPr>
                              <w:r>
                                <w:rPr>
                                  <w:sz w:val="18"/>
                                  <w:szCs w:val="18"/>
                                </w:rPr>
                                <w:t>Fiziniai asmenys</w:t>
                              </w:r>
                            </w:p>
                          </w:tc>
                          <w:tc>
                            <w:tcPr>
                              <w:tcW w:w="992" w:type="dxa"/>
                            </w:tcPr>
                            <w:p>
                              <w:pPr>
                                <w:jc w:val="center"/>
                                <w:rPr>
                                  <w:sz w:val="18"/>
                                  <w:szCs w:val="18"/>
                                </w:rPr>
                              </w:pPr>
                              <w:r>
                                <w:rPr>
                                  <w:sz w:val="18"/>
                                  <w:szCs w:val="18"/>
                                </w:rPr>
                                <w:t>nevertina-mas</w:t>
                              </w:r>
                            </w:p>
                          </w:tc>
                          <w:tc>
                            <w:tcPr>
                              <w:tcW w:w="992" w:type="dxa"/>
                            </w:tcPr>
                            <w:p>
                              <w:pPr>
                                <w:jc w:val="center"/>
                                <w:rPr>
                                  <w:sz w:val="18"/>
                                  <w:szCs w:val="18"/>
                                </w:rPr>
                              </w:pPr>
                              <w:r>
                                <w:rPr>
                                  <w:sz w:val="18"/>
                                  <w:szCs w:val="18"/>
                                </w:rPr>
                                <w:t>nevertina-mas</w:t>
                              </w:r>
                            </w:p>
                          </w:tc>
                          <w:tc>
                            <w:tcPr>
                              <w:tcW w:w="1260" w:type="dxa"/>
                            </w:tcPr>
                            <w:p>
                              <w:pPr>
                                <w:jc w:val="right"/>
                                <w:rPr>
                                  <w:sz w:val="18"/>
                                  <w:szCs w:val="18"/>
                                </w:rPr>
                              </w:pPr>
                              <w:r>
                                <w:rPr>
                                  <w:sz w:val="18"/>
                                  <w:szCs w:val="18"/>
                                </w:rPr>
                                <w:t xml:space="preserve">nevertinamas </w:t>
                              </w:r>
                            </w:p>
                          </w:tc>
                          <w:tc>
                            <w:tcPr>
                              <w:tcW w:w="1119" w:type="dxa"/>
                            </w:tcPr>
                            <w:p>
                              <w:pPr>
                                <w:jc w:val="right"/>
                                <w:rPr>
                                  <w:sz w:val="18"/>
                                  <w:szCs w:val="18"/>
                                </w:rPr>
                              </w:pPr>
                              <w:r>
                                <w:rPr>
                                  <w:sz w:val="18"/>
                                  <w:szCs w:val="18"/>
                                </w:rPr>
                                <w:t>1</w:t>
                              </w:r>
                            </w:p>
                          </w:tc>
                          <w:tc>
                            <w:tcPr>
                              <w:tcW w:w="1396" w:type="dxa"/>
                            </w:tcPr>
                            <w:p>
                              <w:pPr>
                                <w:jc w:val="center"/>
                                <w:rPr>
                                  <w:color w:val="000000"/>
                                  <w:sz w:val="18"/>
                                  <w:szCs w:val="18"/>
                                </w:rPr>
                              </w:pPr>
                              <w:r>
                                <w:rPr>
                                  <w:color w:val="000000"/>
                                  <w:sz w:val="18"/>
                                  <w:szCs w:val="18"/>
                                </w:rPr>
                                <w:t>kompensacinė išmoka (apskaičiuojama pagal fiksuotus dydžius)</w:t>
                              </w:r>
                            </w:p>
                          </w:tc>
                        </w:tr>
                        <w:tr>
                          <w:tc>
                            <w:tcPr>
                              <w:tcW w:w="675" w:type="dxa"/>
                            </w:tcPr>
                            <w:p>
                              <w:pPr>
                                <w:rPr>
                                  <w:sz w:val="18"/>
                                  <w:szCs w:val="18"/>
                                </w:rPr>
                              </w:pPr>
                              <w:r>
                                <w:rPr>
                                  <w:sz w:val="18"/>
                                  <w:szCs w:val="18"/>
                                </w:rPr>
                                <w:t>2.5.</w:t>
                              </w:r>
                            </w:p>
                          </w:tc>
                          <w:tc>
                            <w:tcPr>
                              <w:tcW w:w="1754" w:type="dxa"/>
                            </w:tcPr>
                            <w:p>
                              <w:pPr>
                                <w:rPr>
                                  <w:color w:val="000000"/>
                                  <w:sz w:val="18"/>
                                  <w:szCs w:val="18"/>
                                </w:rPr>
                              </w:pPr>
                              <w:r>
                                <w:rPr>
                                  <w:color w:val="000000"/>
                                  <w:sz w:val="18"/>
                                  <w:szCs w:val="18"/>
                                </w:rPr>
                                <w:t>Atsinaujinančių energijos išteklių panaudojimas fizinių asmenų gyvenamuosiuose namuose pakeičiant iškastinį kurą naudojančius šilumos įrenginius</w:t>
                              </w:r>
                            </w:p>
                          </w:tc>
                          <w:tc>
                            <w:tcPr>
                              <w:tcW w:w="2268" w:type="dxa"/>
                            </w:tcPr>
                            <w:p>
                              <w:pPr>
                                <w:rPr>
                                  <w:color w:val="000000"/>
                                  <w:sz w:val="18"/>
                                  <w:szCs w:val="18"/>
                                </w:rPr>
                              </w:pPr>
                              <w:r>
                                <w:rPr>
                                  <w:color w:val="000000"/>
                                  <w:sz w:val="18"/>
                                  <w:szCs w:val="18"/>
                                </w:rPr>
                                <w:t>Fiziniai asmenys Lietuvos Respublikoje nuosavybės teise valdantys gyvenamąjį namą (t. y. vieno buto pastatą arba gyvenamosios paskirties butą dviejų butų arba daugiabučiame pastate)</w:t>
                              </w:r>
                            </w:p>
                          </w:tc>
                          <w:tc>
                            <w:tcPr>
                              <w:tcW w:w="992" w:type="dxa"/>
                            </w:tcPr>
                            <w:p>
                              <w:pPr>
                                <w:jc w:val="right"/>
                                <w:rPr>
                                  <w:color w:val="000000"/>
                                  <w:sz w:val="18"/>
                                  <w:szCs w:val="18"/>
                                </w:rPr>
                              </w:pPr>
                              <w:r>
                                <w:rPr>
                                  <w:color w:val="000000"/>
                                  <w:sz w:val="18"/>
                                  <w:szCs w:val="18"/>
                                </w:rPr>
                                <w:t>80,40</w:t>
                              </w:r>
                            </w:p>
                          </w:tc>
                          <w:tc>
                            <w:tcPr>
                              <w:tcW w:w="992" w:type="dxa"/>
                            </w:tcPr>
                            <w:p>
                              <w:pPr>
                                <w:jc w:val="right"/>
                                <w:rPr>
                                  <w:color w:val="000000"/>
                                  <w:sz w:val="18"/>
                                  <w:szCs w:val="18"/>
                                </w:rPr>
                              </w:pPr>
                              <w:r>
                                <w:rPr>
                                  <w:color w:val="000000"/>
                                  <w:sz w:val="18"/>
                                  <w:szCs w:val="18"/>
                                </w:rPr>
                                <w:t>281,40</w:t>
                              </w:r>
                            </w:p>
                          </w:tc>
                          <w:tc>
                            <w:tcPr>
                              <w:tcW w:w="1260" w:type="dxa"/>
                            </w:tcPr>
                            <w:p>
                              <w:pPr>
                                <w:jc w:val="right"/>
                                <w:rPr>
                                  <w:color w:val="000000"/>
                                  <w:sz w:val="18"/>
                                  <w:szCs w:val="18"/>
                                </w:rPr>
                              </w:pPr>
                              <w:r>
                                <w:rPr>
                                  <w:color w:val="000000"/>
                                  <w:sz w:val="18"/>
                                  <w:szCs w:val="18"/>
                                </w:rPr>
                                <w:t>603</w:t>
                              </w:r>
                            </w:p>
                          </w:tc>
                          <w:tc>
                            <w:tcPr>
                              <w:tcW w:w="1119" w:type="dxa"/>
                            </w:tcPr>
                            <w:p>
                              <w:pPr>
                                <w:jc w:val="right"/>
                                <w:rPr>
                                  <w:sz w:val="18"/>
                                  <w:szCs w:val="18"/>
                                </w:rPr>
                              </w:pPr>
                              <w:r>
                                <w:rPr>
                                  <w:sz w:val="18"/>
                                  <w:szCs w:val="18"/>
                                </w:rPr>
                                <w:t>25</w:t>
                              </w:r>
                            </w:p>
                          </w:tc>
                          <w:tc>
                            <w:tcPr>
                              <w:tcW w:w="1396" w:type="dxa"/>
                            </w:tcPr>
                            <w:p>
                              <w:pPr>
                                <w:jc w:val="center"/>
                                <w:rPr>
                                  <w:color w:val="000000"/>
                                  <w:sz w:val="18"/>
                                  <w:szCs w:val="18"/>
                                </w:rPr>
                              </w:pPr>
                              <w:r>
                                <w:rPr>
                                  <w:color w:val="000000"/>
                                  <w:sz w:val="18"/>
                                  <w:szCs w:val="18"/>
                                </w:rPr>
                                <w:t>kompensacinė išmoka (apskaičiuojama pagal fiksuotus dydžius)</w:t>
                              </w:r>
                            </w:p>
                          </w:tc>
                        </w:tr>
                        <w:tr>
                          <w:tc>
                            <w:tcPr>
                              <w:tcW w:w="675" w:type="dxa"/>
                            </w:tcPr>
                            <w:p>
                              <w:pPr>
                                <w:rPr>
                                  <w:sz w:val="18"/>
                                  <w:szCs w:val="18"/>
                                </w:rPr>
                              </w:pPr>
                              <w:r>
                                <w:rPr>
                                  <w:sz w:val="18"/>
                                  <w:szCs w:val="18"/>
                                </w:rPr>
                                <w:t>2.6.</w:t>
                              </w:r>
                            </w:p>
                          </w:tc>
                          <w:tc>
                            <w:tcPr>
                              <w:tcW w:w="1754" w:type="dxa"/>
                            </w:tcPr>
                            <w:p>
                              <w:pPr>
                                <w:rPr>
                                  <w:color w:val="000000"/>
                                  <w:sz w:val="18"/>
                                  <w:szCs w:val="18"/>
                                </w:rPr>
                              </w:pPr>
                              <w:r>
                                <w:rPr>
                                  <w:color w:val="000000"/>
                                  <w:sz w:val="18"/>
                                  <w:szCs w:val="18"/>
                                </w:rPr>
                                <w:t>Saulės elektrinės daugiabučiams</w:t>
                              </w:r>
                            </w:p>
                          </w:tc>
                          <w:tc>
                            <w:tcPr>
                              <w:tcW w:w="2268" w:type="dxa"/>
                            </w:tcPr>
                            <w:p>
                              <w:pPr>
                                <w:rPr>
                                  <w:sz w:val="18"/>
                                  <w:szCs w:val="18"/>
                                </w:rPr>
                              </w:pPr>
                              <w:r>
                                <w:rPr>
                                  <w:sz w:val="18"/>
                                  <w:szCs w:val="18"/>
                                </w:rPr>
                                <w:t>Fiziniai ir juridiniai asmenys</w:t>
                              </w:r>
                            </w:p>
                          </w:tc>
                          <w:tc>
                            <w:tcPr>
                              <w:tcW w:w="992" w:type="dxa"/>
                            </w:tcPr>
                            <w:p>
                              <w:pPr>
                                <w:jc w:val="right"/>
                                <w:rPr>
                                  <w:color w:val="000000"/>
                                  <w:sz w:val="18"/>
                                  <w:szCs w:val="18"/>
                                </w:rPr>
                              </w:pPr>
                              <w:r>
                                <w:rPr>
                                  <w:color w:val="000000"/>
                                  <w:sz w:val="18"/>
                                  <w:szCs w:val="18"/>
                                </w:rPr>
                                <w:t>4,36</w:t>
                              </w:r>
                            </w:p>
                          </w:tc>
                          <w:tc>
                            <w:tcPr>
                              <w:tcW w:w="992" w:type="dxa"/>
                            </w:tcPr>
                            <w:p>
                              <w:pPr>
                                <w:jc w:val="right"/>
                                <w:rPr>
                                  <w:color w:val="000000"/>
                                  <w:sz w:val="18"/>
                                  <w:szCs w:val="18"/>
                                </w:rPr>
                              </w:pPr>
                              <w:r>
                                <w:rPr>
                                  <w:color w:val="000000"/>
                                  <w:sz w:val="18"/>
                                  <w:szCs w:val="18"/>
                                </w:rPr>
                                <w:t>15,26</w:t>
                              </w:r>
                            </w:p>
                          </w:tc>
                          <w:tc>
                            <w:tcPr>
                              <w:tcW w:w="1260" w:type="dxa"/>
                            </w:tcPr>
                            <w:p>
                              <w:pPr>
                                <w:jc w:val="right"/>
                                <w:rPr>
                                  <w:color w:val="000000"/>
                                  <w:sz w:val="18"/>
                                  <w:szCs w:val="18"/>
                                </w:rPr>
                              </w:pPr>
                              <w:r>
                                <w:rPr>
                                  <w:color w:val="000000"/>
                                  <w:sz w:val="18"/>
                                  <w:szCs w:val="18"/>
                                </w:rPr>
                                <w:t>54,5</w:t>
                              </w:r>
                            </w:p>
                          </w:tc>
                          <w:tc>
                            <w:tcPr>
                              <w:tcW w:w="1119" w:type="dxa"/>
                            </w:tcPr>
                            <w:p>
                              <w:pPr>
                                <w:jc w:val="right"/>
                                <w:rPr>
                                  <w:sz w:val="18"/>
                                  <w:szCs w:val="18"/>
                                </w:rPr>
                              </w:pPr>
                              <w:r>
                                <w:rPr>
                                  <w:sz w:val="18"/>
                                  <w:szCs w:val="18"/>
                                </w:rPr>
                                <w:t>3</w:t>
                              </w:r>
                            </w:p>
                          </w:tc>
                          <w:tc>
                            <w:tcPr>
                              <w:tcW w:w="1396" w:type="dxa"/>
                            </w:tcPr>
                            <w:p>
                              <w:pPr>
                                <w:jc w:val="center"/>
                                <w:rPr>
                                  <w:color w:val="FF0000"/>
                                  <w:sz w:val="18"/>
                                  <w:szCs w:val="18"/>
                                </w:rPr>
                              </w:pPr>
                              <w:r>
                                <w:rPr>
                                  <w:sz w:val="18"/>
                                  <w:szCs w:val="18"/>
                                </w:rPr>
                                <w:t>kompensacinė išmoka (apskaičiuojama pagal fiksuotus dydžius)</w:t>
                              </w:r>
                            </w:p>
                          </w:tc>
                        </w:tr>
                        <w:tr>
                          <w:tc>
                            <w:tcPr>
                              <w:tcW w:w="675" w:type="dxa"/>
                            </w:tcPr>
                            <w:p>
                              <w:pPr>
                                <w:rPr>
                                  <w:sz w:val="18"/>
                                  <w:szCs w:val="18"/>
                                </w:rPr>
                              </w:pPr>
                              <w:r>
                                <w:rPr>
                                  <w:sz w:val="18"/>
                                  <w:szCs w:val="18"/>
                                </w:rPr>
                                <w:t>3.1.</w:t>
                              </w:r>
                            </w:p>
                          </w:tc>
                          <w:tc>
                            <w:tcPr>
                              <w:tcW w:w="1754" w:type="dxa"/>
                            </w:tcPr>
                            <w:p>
                              <w:pPr>
                                <w:rPr>
                                  <w:sz w:val="18"/>
                                  <w:szCs w:val="18"/>
                                </w:rPr>
                              </w:pPr>
                              <w:r>
                                <w:rPr>
                                  <w:color w:val="000000"/>
                                  <w:sz w:val="18"/>
                                  <w:szCs w:val="18"/>
                                </w:rPr>
                                <w:t>Investicinė parama biometano gamybai ir (ar) biodujų išvalymui</w:t>
                              </w:r>
                            </w:p>
                          </w:tc>
                          <w:tc>
                            <w:tcPr>
                              <w:tcW w:w="2268" w:type="dxa"/>
                            </w:tcPr>
                            <w:p>
                              <w:pPr>
                                <w:ind w:left="-57" w:right="-57"/>
                                <w:rPr>
                                  <w:color w:val="000000"/>
                                  <w:sz w:val="18"/>
                                  <w:szCs w:val="18"/>
                                </w:rPr>
                              </w:pPr>
                              <w:r>
                                <w:rPr>
                                  <w:color w:val="000000"/>
                                  <w:sz w:val="18"/>
                                  <w:szCs w:val="18"/>
                                </w:rPr>
                                <w:t>Lietuvoje registruoti privatūs juridiniai asmenys.</w:t>
                              </w:r>
                            </w:p>
                            <w:p>
                              <w:pPr>
                                <w:ind w:left="-57" w:right="-57"/>
                                <w:rPr>
                                  <w:color w:val="000000"/>
                                  <w:sz w:val="18"/>
                                  <w:szCs w:val="18"/>
                                </w:rPr>
                              </w:pPr>
                              <w:r>
                                <w:rPr>
                                  <w:color w:val="000000"/>
                                  <w:sz w:val="18"/>
                                  <w:szCs w:val="18"/>
                                </w:rPr>
                                <w:t>Žemės ūkio veiklą vykdantys subjektai</w:t>
                              </w:r>
                            </w:p>
                          </w:tc>
                          <w:tc>
                            <w:tcPr>
                              <w:tcW w:w="992" w:type="dxa"/>
                            </w:tcPr>
                            <w:p>
                              <w:pPr>
                                <w:jc w:val="right"/>
                                <w:rPr>
                                  <w:color w:val="000000"/>
                                  <w:sz w:val="18"/>
                                  <w:szCs w:val="18"/>
                                </w:rPr>
                              </w:pPr>
                              <w:r>
                                <w:rPr>
                                  <w:color w:val="000000"/>
                                  <w:sz w:val="18"/>
                                  <w:szCs w:val="18"/>
                                </w:rPr>
                                <w:t>122,62</w:t>
                              </w:r>
                            </w:p>
                          </w:tc>
                          <w:tc>
                            <w:tcPr>
                              <w:tcW w:w="992" w:type="dxa"/>
                            </w:tcPr>
                            <w:p>
                              <w:pPr>
                                <w:jc w:val="right"/>
                                <w:rPr>
                                  <w:color w:val="000000"/>
                                  <w:sz w:val="18"/>
                                  <w:szCs w:val="18"/>
                                </w:rPr>
                              </w:pPr>
                              <w:r>
                                <w:rPr>
                                  <w:color w:val="000000"/>
                                  <w:sz w:val="18"/>
                                  <w:szCs w:val="18"/>
                                </w:rPr>
                                <w:t>735,72</w:t>
                              </w:r>
                            </w:p>
                          </w:tc>
                          <w:tc>
                            <w:tcPr>
                              <w:tcW w:w="1260" w:type="dxa"/>
                            </w:tcPr>
                            <w:p>
                              <w:pPr>
                                <w:jc w:val="right"/>
                                <w:rPr>
                                  <w:color w:val="000000"/>
                                  <w:sz w:val="18"/>
                                  <w:szCs w:val="18"/>
                                </w:rPr>
                              </w:pPr>
                              <w:r>
                                <w:rPr>
                                  <w:color w:val="000000"/>
                                  <w:sz w:val="18"/>
                                  <w:szCs w:val="18"/>
                                </w:rPr>
                                <w:t>1839,33</w:t>
                              </w:r>
                            </w:p>
                          </w:tc>
                          <w:tc>
                            <w:tcPr>
                              <w:tcW w:w="1119" w:type="dxa"/>
                            </w:tcPr>
                            <w:p>
                              <w:pPr>
                                <w:jc w:val="right"/>
                                <w:rPr>
                                  <w:sz w:val="18"/>
                                  <w:szCs w:val="18"/>
                                </w:rPr>
                              </w:pPr>
                              <w:r>
                                <w:rPr>
                                  <w:sz w:val="18"/>
                                  <w:szCs w:val="18"/>
                                </w:rPr>
                                <w:t>31</w:t>
                              </w:r>
                            </w:p>
                          </w:tc>
                          <w:tc>
                            <w:tcPr>
                              <w:tcW w:w="1396" w:type="dxa"/>
                            </w:tcPr>
                            <w:p>
                              <w:pPr>
                                <w:jc w:val="center"/>
                                <w:rPr>
                                  <w:sz w:val="18"/>
                                  <w:szCs w:val="18"/>
                                </w:rPr>
                              </w:pPr>
                              <w:r>
                                <w:rPr>
                                  <w:sz w:val="18"/>
                                  <w:szCs w:val="18"/>
                                </w:rPr>
                                <w:t>subsidija</w:t>
                              </w:r>
                            </w:p>
                          </w:tc>
                        </w:tr>
                        <w:tr>
                          <w:tc>
                            <w:tcPr>
                              <w:tcW w:w="675" w:type="dxa"/>
                            </w:tcPr>
                            <w:p>
                              <w:pPr>
                                <w:rPr>
                                  <w:sz w:val="18"/>
                                  <w:szCs w:val="18"/>
                                </w:rPr>
                              </w:pPr>
                              <w:r>
                                <w:rPr>
                                  <w:sz w:val="18"/>
                                  <w:szCs w:val="18"/>
                                </w:rPr>
                                <w:t>3.2.</w:t>
                              </w:r>
                            </w:p>
                          </w:tc>
                          <w:tc>
                            <w:tcPr>
                              <w:tcW w:w="1754" w:type="dxa"/>
                            </w:tcPr>
                            <w:p>
                              <w:pPr>
                                <w:rPr>
                                  <w:color w:val="000000"/>
                                  <w:sz w:val="18"/>
                                  <w:szCs w:val="18"/>
                                </w:rPr>
                              </w:pPr>
                              <w:r>
                                <w:rPr>
                                  <w:color w:val="000000"/>
                                  <w:sz w:val="18"/>
                                  <w:szCs w:val="18"/>
                                </w:rPr>
                                <w:t>Biometano ir (ar) biodujų panaudojimas žemės ūkyje pakeičiant dyzelinį kurą</w:t>
                              </w:r>
                            </w:p>
                          </w:tc>
                          <w:tc>
                            <w:tcPr>
                              <w:tcW w:w="2268" w:type="dxa"/>
                            </w:tcPr>
                            <w:p>
                              <w:pPr>
                                <w:ind w:left="-57" w:right="-57"/>
                                <w:rPr>
                                  <w:color w:val="000000"/>
                                  <w:sz w:val="18"/>
                                  <w:szCs w:val="18"/>
                                </w:rPr>
                              </w:pPr>
                              <w:r>
                                <w:rPr>
                                  <w:color w:val="000000"/>
                                  <w:sz w:val="18"/>
                                  <w:szCs w:val="18"/>
                                </w:rPr>
                                <w:t>Lietuvoje registruoti privatūs juridiniai asmenys.</w:t>
                              </w:r>
                            </w:p>
                            <w:p>
                              <w:pPr>
                                <w:ind w:left="-57" w:right="-57"/>
                                <w:rPr>
                                  <w:color w:val="000000"/>
                                  <w:sz w:val="18"/>
                                  <w:szCs w:val="18"/>
                                </w:rPr>
                              </w:pPr>
                              <w:r>
                                <w:rPr>
                                  <w:color w:val="000000"/>
                                  <w:sz w:val="18"/>
                                  <w:szCs w:val="18"/>
                                </w:rPr>
                                <w:t>Žemės ūkio veiklą vykdantys subjektai</w:t>
                              </w:r>
                            </w:p>
                          </w:tc>
                          <w:tc>
                            <w:tcPr>
                              <w:tcW w:w="992" w:type="dxa"/>
                            </w:tcPr>
                            <w:p>
                              <w:pPr>
                                <w:jc w:val="right"/>
                                <w:rPr>
                                  <w:color w:val="000000"/>
                                  <w:sz w:val="18"/>
                                  <w:szCs w:val="18"/>
                                </w:rPr>
                              </w:pPr>
                              <w:r>
                                <w:rPr>
                                  <w:color w:val="000000"/>
                                  <w:sz w:val="18"/>
                                  <w:szCs w:val="18"/>
                                </w:rPr>
                                <w:t>1,72</w:t>
                              </w:r>
                            </w:p>
                          </w:tc>
                          <w:tc>
                            <w:tcPr>
                              <w:tcW w:w="992" w:type="dxa"/>
                            </w:tcPr>
                            <w:p>
                              <w:pPr>
                                <w:jc w:val="right"/>
                                <w:rPr>
                                  <w:color w:val="000000"/>
                                  <w:sz w:val="18"/>
                                  <w:szCs w:val="18"/>
                                </w:rPr>
                              </w:pPr>
                              <w:r>
                                <w:rPr>
                                  <w:color w:val="000000"/>
                                  <w:sz w:val="18"/>
                                  <w:szCs w:val="18"/>
                                </w:rPr>
                                <w:t>10,32</w:t>
                              </w:r>
                            </w:p>
                          </w:tc>
                          <w:tc>
                            <w:tcPr>
                              <w:tcW w:w="1260" w:type="dxa"/>
                            </w:tcPr>
                            <w:p>
                              <w:pPr>
                                <w:jc w:val="right"/>
                                <w:rPr>
                                  <w:color w:val="000000"/>
                                  <w:sz w:val="18"/>
                                  <w:szCs w:val="18"/>
                                </w:rPr>
                              </w:pPr>
                              <w:r>
                                <w:rPr>
                                  <w:color w:val="000000"/>
                                  <w:sz w:val="18"/>
                                  <w:szCs w:val="18"/>
                                </w:rPr>
                                <w:t>25,79</w:t>
                              </w:r>
                            </w:p>
                          </w:tc>
                          <w:tc>
                            <w:tcPr>
                              <w:tcW w:w="1119" w:type="dxa"/>
                            </w:tcPr>
                            <w:p>
                              <w:pPr>
                                <w:jc w:val="right"/>
                                <w:rPr>
                                  <w:sz w:val="18"/>
                                  <w:szCs w:val="18"/>
                                </w:rPr>
                              </w:pPr>
                              <w:r>
                                <w:rPr>
                                  <w:sz w:val="18"/>
                                  <w:szCs w:val="18"/>
                                </w:rPr>
                                <w:t>2</w:t>
                              </w:r>
                            </w:p>
                          </w:tc>
                          <w:tc>
                            <w:tcPr>
                              <w:tcW w:w="1396" w:type="dxa"/>
                            </w:tcPr>
                            <w:p>
                              <w:pPr>
                                <w:jc w:val="center"/>
                                <w:rPr>
                                  <w:sz w:val="18"/>
                                  <w:szCs w:val="18"/>
                                </w:rPr>
                              </w:pPr>
                              <w:r>
                                <w:rPr>
                                  <w:sz w:val="18"/>
                                  <w:szCs w:val="18"/>
                                </w:rPr>
                                <w:t>subsidija</w:t>
                              </w:r>
                            </w:p>
                          </w:tc>
                        </w:tr>
                        <w:tr>
                          <w:tc>
                            <w:tcPr>
                              <w:tcW w:w="675" w:type="dxa"/>
                            </w:tcPr>
                            <w:p>
                              <w:pPr>
                                <w:rPr>
                                  <w:sz w:val="18"/>
                                  <w:szCs w:val="18"/>
                                </w:rPr>
                              </w:pPr>
                              <w:r>
                                <w:rPr>
                                  <w:sz w:val="18"/>
                                  <w:szCs w:val="18"/>
                                </w:rPr>
                                <w:t>4.1.</w:t>
                              </w:r>
                            </w:p>
                          </w:tc>
                          <w:tc>
                            <w:tcPr>
                              <w:tcW w:w="1754" w:type="dxa"/>
                            </w:tcPr>
                            <w:p>
                              <w:pPr>
                                <w:rPr>
                                  <w:sz w:val="18"/>
                                  <w:szCs w:val="18"/>
                                </w:rPr>
                              </w:pPr>
                              <w:r>
                                <w:rPr>
                                  <w:color w:val="000000"/>
                                  <w:sz w:val="18"/>
                                  <w:szCs w:val="18"/>
                                </w:rPr>
                                <w:t>Visuomeninio transporto ir darnaus judumo skatinimas (paspirtukai, dviračiai, dalijimosi paslauga ir pan.)</w:t>
                              </w:r>
                            </w:p>
                          </w:tc>
                          <w:tc>
                            <w:tcPr>
                              <w:tcW w:w="2268" w:type="dxa"/>
                            </w:tcPr>
                            <w:p>
                              <w:pPr>
                                <w:rPr>
                                  <w:sz w:val="18"/>
                                  <w:szCs w:val="18"/>
                                </w:rPr>
                              </w:pPr>
                              <w:r>
                                <w:rPr>
                                  <w:sz w:val="18"/>
                                  <w:szCs w:val="18"/>
                                </w:rPr>
                                <w:t>Fiziniai asmenys</w:t>
                              </w:r>
                            </w:p>
                          </w:tc>
                          <w:tc>
                            <w:tcPr>
                              <w:tcW w:w="992" w:type="dxa"/>
                            </w:tcPr>
                            <w:p>
                              <w:pPr>
                                <w:jc w:val="right"/>
                                <w:rPr>
                                  <w:color w:val="000000"/>
                                  <w:sz w:val="18"/>
                                  <w:szCs w:val="18"/>
                                </w:rPr>
                              </w:pPr>
                              <w:r>
                                <w:rPr>
                                  <w:color w:val="000000"/>
                                  <w:sz w:val="18"/>
                                  <w:szCs w:val="18"/>
                                </w:rPr>
                                <w:t>39,00</w:t>
                              </w:r>
                            </w:p>
                          </w:tc>
                          <w:tc>
                            <w:tcPr>
                              <w:tcW w:w="992" w:type="dxa"/>
                            </w:tcPr>
                            <w:p>
                              <w:pPr>
                                <w:jc w:val="right"/>
                                <w:rPr>
                                  <w:color w:val="000000"/>
                                  <w:sz w:val="18"/>
                                  <w:szCs w:val="18"/>
                                </w:rPr>
                              </w:pPr>
                              <w:r>
                                <w:rPr>
                                  <w:color w:val="000000"/>
                                  <w:sz w:val="18"/>
                                  <w:szCs w:val="18"/>
                                </w:rPr>
                                <w:t>78,005</w:t>
                              </w:r>
                            </w:p>
                          </w:tc>
                          <w:tc>
                            <w:tcPr>
                              <w:tcW w:w="1260" w:type="dxa"/>
                            </w:tcPr>
                            <w:p>
                              <w:pPr>
                                <w:jc w:val="right"/>
                                <w:rPr>
                                  <w:color w:val="000000"/>
                                  <w:sz w:val="18"/>
                                  <w:szCs w:val="18"/>
                                </w:rPr>
                              </w:pPr>
                              <w:r>
                                <w:rPr>
                                  <w:color w:val="000000"/>
                                  <w:sz w:val="18"/>
                                  <w:szCs w:val="18"/>
                                </w:rPr>
                                <w:t>78,00</w:t>
                              </w:r>
                            </w:p>
                          </w:tc>
                          <w:tc>
                            <w:tcPr>
                              <w:tcW w:w="1119" w:type="dxa"/>
                            </w:tcPr>
                            <w:p>
                              <w:pPr>
                                <w:jc w:val="right"/>
                                <w:rPr>
                                  <w:sz w:val="18"/>
                                  <w:szCs w:val="18"/>
                                </w:rPr>
                              </w:pPr>
                              <w:r>
                                <w:rPr>
                                  <w:sz w:val="18"/>
                                  <w:szCs w:val="18"/>
                                </w:rPr>
                                <w:t>8</w:t>
                              </w:r>
                            </w:p>
                          </w:tc>
                          <w:tc>
                            <w:tcPr>
                              <w:tcW w:w="1396" w:type="dxa"/>
                            </w:tcPr>
                            <w:p>
                              <w:pPr>
                                <w:jc w:val="center"/>
                                <w:rPr>
                                  <w:sz w:val="18"/>
                                  <w:szCs w:val="18"/>
                                </w:rPr>
                              </w:pPr>
                              <w:r>
                                <w:rPr>
                                  <w:sz w:val="18"/>
                                  <w:szCs w:val="18"/>
                                </w:rPr>
                                <w:t>kompensacinė išmoka</w:t>
                              </w:r>
                            </w:p>
                          </w:tc>
                        </w:tr>
                        <w:tr>
                          <w:tc>
                            <w:tcPr>
                              <w:tcW w:w="675" w:type="dxa"/>
                            </w:tcPr>
                            <w:p>
                              <w:pPr>
                                <w:rPr>
                                  <w:sz w:val="18"/>
                                  <w:szCs w:val="18"/>
                                </w:rPr>
                              </w:pPr>
                              <w:r>
                                <w:rPr>
                                  <w:sz w:val="18"/>
                                  <w:szCs w:val="18"/>
                                </w:rPr>
                                <w:t>4.2.</w:t>
                              </w:r>
                            </w:p>
                          </w:tc>
                          <w:tc>
                            <w:tcPr>
                              <w:tcW w:w="1754" w:type="dxa"/>
                            </w:tcPr>
                            <w:p>
                              <w:pPr>
                                <w:rPr>
                                  <w:color w:val="000000"/>
                                  <w:sz w:val="18"/>
                                  <w:szCs w:val="18"/>
                                </w:rPr>
                              </w:pPr>
                              <w:r>
                                <w:rPr>
                                  <w:color w:val="000000"/>
                                  <w:sz w:val="18"/>
                                  <w:szCs w:val="18"/>
                                </w:rPr>
                                <w:t>Mažiau taršių automobilių ir registruojamų elektrinių motorinių priemonių įsigijimo fiziniams asmenims skatinimas</w:t>
                              </w:r>
                            </w:p>
                          </w:tc>
                          <w:tc>
                            <w:tcPr>
                              <w:tcW w:w="2268" w:type="dxa"/>
                            </w:tcPr>
                            <w:p>
                              <w:pPr>
                                <w:rPr>
                                  <w:sz w:val="18"/>
                                  <w:szCs w:val="18"/>
                                </w:rPr>
                              </w:pPr>
                              <w:r>
                                <w:rPr>
                                  <w:sz w:val="18"/>
                                  <w:szCs w:val="18"/>
                                </w:rPr>
                                <w:t>Fiziniai asmenys</w:t>
                              </w:r>
                            </w:p>
                          </w:tc>
                          <w:tc>
                            <w:tcPr>
                              <w:tcW w:w="992" w:type="dxa"/>
                            </w:tcPr>
                            <w:p>
                              <w:pPr>
                                <w:jc w:val="right"/>
                                <w:rPr>
                                  <w:color w:val="000000"/>
                                  <w:sz w:val="18"/>
                                  <w:szCs w:val="18"/>
                                </w:rPr>
                              </w:pPr>
                              <w:r>
                                <w:rPr>
                                  <w:color w:val="000000"/>
                                  <w:sz w:val="18"/>
                                  <w:szCs w:val="18"/>
                                </w:rPr>
                                <w:t>14,40</w:t>
                              </w:r>
                            </w:p>
                          </w:tc>
                          <w:tc>
                            <w:tcPr>
                              <w:tcW w:w="992" w:type="dxa"/>
                            </w:tcPr>
                            <w:p>
                              <w:pPr>
                                <w:jc w:val="right"/>
                                <w:rPr>
                                  <w:color w:val="000000"/>
                                  <w:sz w:val="18"/>
                                  <w:szCs w:val="18"/>
                                </w:rPr>
                              </w:pPr>
                              <w:r>
                                <w:rPr>
                                  <w:color w:val="000000"/>
                                  <w:sz w:val="18"/>
                                  <w:szCs w:val="18"/>
                                </w:rPr>
                                <w:t>32,4</w:t>
                              </w:r>
                            </w:p>
                          </w:tc>
                          <w:tc>
                            <w:tcPr>
                              <w:tcW w:w="1260" w:type="dxa"/>
                            </w:tcPr>
                            <w:p>
                              <w:pPr>
                                <w:jc w:val="right"/>
                                <w:rPr>
                                  <w:color w:val="000000"/>
                                  <w:sz w:val="18"/>
                                  <w:szCs w:val="18"/>
                                </w:rPr>
                              </w:pPr>
                              <w:r>
                                <w:rPr>
                                  <w:color w:val="000000"/>
                                  <w:sz w:val="18"/>
                                  <w:szCs w:val="18"/>
                                </w:rPr>
                                <w:t>35,74</w:t>
                              </w:r>
                            </w:p>
                          </w:tc>
                          <w:tc>
                            <w:tcPr>
                              <w:tcW w:w="1119" w:type="dxa"/>
                            </w:tcPr>
                            <w:p>
                              <w:pPr>
                                <w:jc w:val="right"/>
                                <w:rPr>
                                  <w:sz w:val="18"/>
                                  <w:szCs w:val="18"/>
                                </w:rPr>
                              </w:pPr>
                              <w:r>
                                <w:rPr>
                                  <w:sz w:val="18"/>
                                  <w:szCs w:val="18"/>
                                </w:rPr>
                                <w:t xml:space="preserve">4 </w:t>
                              </w:r>
                            </w:p>
                          </w:tc>
                          <w:tc>
                            <w:tcPr>
                              <w:tcW w:w="1396" w:type="dxa"/>
                            </w:tcPr>
                            <w:p>
                              <w:pPr>
                                <w:jc w:val="center"/>
                                <w:rPr>
                                  <w:sz w:val="18"/>
                                  <w:szCs w:val="18"/>
                                </w:rPr>
                              </w:pPr>
                              <w:r>
                                <w:rPr>
                                  <w:sz w:val="18"/>
                                  <w:szCs w:val="18"/>
                                </w:rPr>
                                <w:t>kompensacinė išmoka</w:t>
                              </w:r>
                            </w:p>
                          </w:tc>
                        </w:tr>
                        <w:tr>
                          <w:tc>
                            <w:tcPr>
                              <w:tcW w:w="675" w:type="dxa"/>
                            </w:tcPr>
                            <w:p>
                              <w:pPr>
                                <w:rPr>
                                  <w:sz w:val="18"/>
                                  <w:szCs w:val="18"/>
                                </w:rPr>
                              </w:pPr>
                              <w:r>
                                <w:rPr>
                                  <w:sz w:val="18"/>
                                  <w:szCs w:val="18"/>
                                </w:rPr>
                                <w:t>5.1.</w:t>
                              </w:r>
                            </w:p>
                          </w:tc>
                          <w:tc>
                            <w:tcPr>
                              <w:tcW w:w="1754" w:type="dxa"/>
                            </w:tcPr>
                            <w:p>
                              <w:pPr>
                                <w:rPr>
                                  <w:color w:val="000000"/>
                                  <w:sz w:val="18"/>
                                  <w:szCs w:val="18"/>
                                </w:rPr>
                              </w:pPr>
                              <w:r>
                                <w:rPr>
                                  <w:color w:val="000000"/>
                                  <w:sz w:val="18"/>
                                  <w:szCs w:val="18"/>
                                </w:rPr>
                                <w:t>Privačių juridinių asmenų energijos vartojimo efektyvumo priemonių įgyvendinimas</w:t>
                              </w:r>
                            </w:p>
                          </w:tc>
                          <w:tc>
                            <w:tcPr>
                              <w:tcW w:w="2268" w:type="dxa"/>
                            </w:tcPr>
                            <w:p>
                              <w:pPr>
                                <w:rPr>
                                  <w:sz w:val="18"/>
                                  <w:szCs w:val="18"/>
                                </w:rPr>
                              </w:pPr>
                              <w:r>
                                <w:rPr>
                                  <w:sz w:val="18"/>
                                  <w:szCs w:val="18"/>
                                </w:rPr>
                                <w:t>Juridiniai asmenys</w:t>
                              </w:r>
                            </w:p>
                          </w:tc>
                          <w:tc>
                            <w:tcPr>
                              <w:tcW w:w="992" w:type="dxa"/>
                            </w:tcPr>
                            <w:p>
                              <w:pPr>
                                <w:jc w:val="right"/>
                                <w:rPr>
                                  <w:color w:val="000000"/>
                                  <w:sz w:val="18"/>
                                  <w:szCs w:val="18"/>
                                </w:rPr>
                              </w:pPr>
                              <w:r>
                                <w:rPr>
                                  <w:color w:val="000000"/>
                                  <w:sz w:val="18"/>
                                  <w:szCs w:val="18"/>
                                </w:rPr>
                                <w:t>2,53</w:t>
                              </w:r>
                            </w:p>
                          </w:tc>
                          <w:tc>
                            <w:tcPr>
                              <w:tcW w:w="992" w:type="dxa"/>
                            </w:tcPr>
                            <w:p>
                              <w:pPr>
                                <w:jc w:val="right"/>
                                <w:rPr>
                                  <w:color w:val="000000"/>
                                  <w:sz w:val="18"/>
                                  <w:szCs w:val="18"/>
                                </w:rPr>
                              </w:pPr>
                              <w:r>
                                <w:rPr>
                                  <w:color w:val="000000"/>
                                  <w:sz w:val="18"/>
                                  <w:szCs w:val="18"/>
                                </w:rPr>
                                <w:t>15,18</w:t>
                              </w:r>
                            </w:p>
                          </w:tc>
                          <w:tc>
                            <w:tcPr>
                              <w:tcW w:w="1260" w:type="dxa"/>
                            </w:tcPr>
                            <w:p>
                              <w:pPr>
                                <w:jc w:val="right"/>
                                <w:rPr>
                                  <w:color w:val="000000"/>
                                  <w:sz w:val="18"/>
                                  <w:szCs w:val="18"/>
                                </w:rPr>
                              </w:pPr>
                              <w:r>
                                <w:rPr>
                                  <w:color w:val="000000"/>
                                  <w:sz w:val="18"/>
                                  <w:szCs w:val="18"/>
                                </w:rPr>
                                <w:t>37,95</w:t>
                              </w:r>
                            </w:p>
                          </w:tc>
                          <w:tc>
                            <w:tcPr>
                              <w:tcW w:w="1119" w:type="dxa"/>
                            </w:tcPr>
                            <w:p>
                              <w:pPr>
                                <w:jc w:val="right"/>
                                <w:rPr>
                                  <w:sz w:val="18"/>
                                  <w:szCs w:val="18"/>
                                </w:rPr>
                              </w:pPr>
                              <w:r>
                                <w:rPr>
                                  <w:sz w:val="18"/>
                                  <w:szCs w:val="18"/>
                                </w:rPr>
                                <w:t>5</w:t>
                              </w:r>
                            </w:p>
                          </w:tc>
                          <w:tc>
                            <w:tcPr>
                              <w:tcW w:w="1396" w:type="dxa"/>
                            </w:tcPr>
                            <w:p>
                              <w:pPr>
                                <w:jc w:val="center"/>
                                <w:rPr>
                                  <w:sz w:val="18"/>
                                  <w:szCs w:val="18"/>
                                </w:rPr>
                              </w:pPr>
                              <w:r>
                                <w:rPr>
                                  <w:sz w:val="18"/>
                                  <w:szCs w:val="18"/>
                                </w:rPr>
                                <w:t>subsidija</w:t>
                              </w:r>
                            </w:p>
                          </w:tc>
                        </w:tr>
                        <w:tr>
                          <w:tc>
                            <w:tcPr>
                              <w:tcW w:w="675" w:type="dxa"/>
                            </w:tcPr>
                            <w:p>
                              <w:pPr>
                                <w:rPr>
                                  <w:sz w:val="18"/>
                                  <w:szCs w:val="18"/>
                                </w:rPr>
                              </w:pPr>
                              <w:r>
                                <w:rPr>
                                  <w:sz w:val="18"/>
                                  <w:szCs w:val="18"/>
                                </w:rPr>
                                <w:t>5.2.</w:t>
                              </w:r>
                            </w:p>
                          </w:tc>
                          <w:tc>
                            <w:tcPr>
                              <w:tcW w:w="1754" w:type="dxa"/>
                            </w:tcPr>
                            <w:p>
                              <w:pPr>
                                <w:rPr>
                                  <w:color w:val="000000"/>
                                  <w:sz w:val="18"/>
                                  <w:szCs w:val="18"/>
                                </w:rPr>
                              </w:pPr>
                              <w:r>
                                <w:rPr>
                                  <w:color w:val="000000"/>
                                  <w:sz w:val="18"/>
                                  <w:szCs w:val="18"/>
                                </w:rPr>
                                <w:t>Iškastinio kuro naudojimo mažinimas įmonėse</w:t>
                              </w:r>
                            </w:p>
                          </w:tc>
                          <w:tc>
                            <w:tcPr>
                              <w:tcW w:w="2268" w:type="dxa"/>
                            </w:tcPr>
                            <w:p>
                              <w:pPr>
                                <w:rPr>
                                  <w:sz w:val="18"/>
                                  <w:szCs w:val="18"/>
                                </w:rPr>
                              </w:pPr>
                              <w:r>
                                <w:rPr>
                                  <w:color w:val="000000"/>
                                  <w:sz w:val="18"/>
                                  <w:szCs w:val="18"/>
                                </w:rPr>
                                <w:t>Lietuvoje registruoti juridiniai asmenys, nevykdantys veiklos, kuri įrašyta į Lietuvos Respublikos klimato kaitos valdymo įstatymo I priedo veiklų sąrašą</w:t>
                              </w:r>
                            </w:p>
                          </w:tc>
                          <w:tc>
                            <w:tcPr>
                              <w:tcW w:w="992" w:type="dxa"/>
                            </w:tcPr>
                            <w:p>
                              <w:pPr>
                                <w:jc w:val="right"/>
                                <w:rPr>
                                  <w:color w:val="000000"/>
                                  <w:sz w:val="18"/>
                                  <w:szCs w:val="18"/>
                                </w:rPr>
                              </w:pPr>
                              <w:r>
                                <w:rPr>
                                  <w:color w:val="000000"/>
                                  <w:sz w:val="18"/>
                                  <w:szCs w:val="18"/>
                                </w:rPr>
                                <w:t>5,05</w:t>
                              </w:r>
                            </w:p>
                          </w:tc>
                          <w:tc>
                            <w:tcPr>
                              <w:tcW w:w="992" w:type="dxa"/>
                            </w:tcPr>
                            <w:p>
                              <w:pPr>
                                <w:jc w:val="right"/>
                                <w:rPr>
                                  <w:color w:val="000000"/>
                                  <w:sz w:val="18"/>
                                  <w:szCs w:val="18"/>
                                </w:rPr>
                              </w:pPr>
                              <w:r>
                                <w:rPr>
                                  <w:color w:val="000000"/>
                                  <w:sz w:val="18"/>
                                  <w:szCs w:val="18"/>
                                </w:rPr>
                                <w:t>30,30</w:t>
                              </w:r>
                            </w:p>
                          </w:tc>
                          <w:tc>
                            <w:tcPr>
                              <w:tcW w:w="1260" w:type="dxa"/>
                            </w:tcPr>
                            <w:p>
                              <w:pPr>
                                <w:jc w:val="right"/>
                                <w:rPr>
                                  <w:color w:val="000000"/>
                                  <w:sz w:val="18"/>
                                  <w:szCs w:val="18"/>
                                </w:rPr>
                              </w:pPr>
                              <w:r>
                                <w:rPr>
                                  <w:color w:val="000000"/>
                                  <w:sz w:val="18"/>
                                  <w:szCs w:val="18"/>
                                </w:rPr>
                                <w:t>75,75</w:t>
                              </w:r>
                            </w:p>
                          </w:tc>
                          <w:tc>
                            <w:tcPr>
                              <w:tcW w:w="1119" w:type="dxa"/>
                            </w:tcPr>
                            <w:p>
                              <w:pPr>
                                <w:jc w:val="right"/>
                                <w:rPr>
                                  <w:sz w:val="18"/>
                                  <w:szCs w:val="18"/>
                                </w:rPr>
                              </w:pPr>
                              <w:r>
                                <w:rPr>
                                  <w:sz w:val="18"/>
                                  <w:szCs w:val="18"/>
                                </w:rPr>
                                <w:t>10</w:t>
                              </w:r>
                            </w:p>
                          </w:tc>
                          <w:tc>
                            <w:tcPr>
                              <w:tcW w:w="1396" w:type="dxa"/>
                            </w:tcPr>
                            <w:p>
                              <w:pPr>
                                <w:jc w:val="center"/>
                                <w:rPr>
                                  <w:sz w:val="18"/>
                                  <w:szCs w:val="18"/>
                                </w:rPr>
                              </w:pPr>
                              <w:r>
                                <w:rPr>
                                  <w:sz w:val="18"/>
                                  <w:szCs w:val="18"/>
                                </w:rPr>
                                <w:t>subsidija</w:t>
                              </w:r>
                            </w:p>
                          </w:tc>
                        </w:tr>
                        <w:tr>
                          <w:tc>
                            <w:tcPr>
                              <w:tcW w:w="675" w:type="dxa"/>
                            </w:tcPr>
                            <w:p>
                              <w:pPr>
                                <w:rPr>
                                  <w:sz w:val="18"/>
                                  <w:szCs w:val="18"/>
                                </w:rPr>
                              </w:pPr>
                              <w:r>
                                <w:rPr>
                                  <w:sz w:val="18"/>
                                  <w:szCs w:val="18"/>
                                </w:rPr>
                                <w:t>6.</w:t>
                              </w:r>
                            </w:p>
                          </w:tc>
                          <w:tc>
                            <w:tcPr>
                              <w:tcW w:w="1754" w:type="dxa"/>
                            </w:tcPr>
                            <w:p>
                              <w:pPr>
                                <w:rPr>
                                  <w:color w:val="000000"/>
                                  <w:sz w:val="18"/>
                                  <w:szCs w:val="18"/>
                                </w:rPr>
                              </w:pPr>
                              <w:r>
                                <w:rPr>
                                  <w:color w:val="000000"/>
                                  <w:sz w:val="18"/>
                                  <w:szCs w:val="18"/>
                                </w:rPr>
                                <w:t>Aštuonioliktosios Lietuvos Respublikos Vyriausybės programos, kuriai pritarta 2020 m. gruodžio 11 d. Lietuvos Respublikos Seimo nutarimu Nr. XIV-72, 155.4 papunktyje nurodyta priemonė „Neutralaus poveikio klimatui Vyriausybė nuo 2024 m.“</w:t>
                              </w:r>
                            </w:p>
                          </w:tc>
                          <w:tc>
                            <w:tcPr>
                              <w:tcW w:w="2268" w:type="dxa"/>
                            </w:tcPr>
                            <w:p>
                              <w:pPr>
                                <w:ind w:left="-57" w:right="-57"/>
                                <w:rPr>
                                  <w:sz w:val="18"/>
                                  <w:szCs w:val="18"/>
                                </w:rPr>
                              </w:pPr>
                              <w:r>
                                <w:rPr>
                                  <w:sz w:val="18"/>
                                  <w:szCs w:val="18"/>
                                </w:rPr>
                                <w:t xml:space="preserve">Valstybei priklausančių pastatų valdytojai ar savininkai </w:t>
                              </w:r>
                            </w:p>
                          </w:tc>
                          <w:tc>
                            <w:tcPr>
                              <w:tcW w:w="992" w:type="dxa"/>
                            </w:tcPr>
                            <w:p>
                              <w:pPr>
                                <w:jc w:val="right"/>
                                <w:rPr>
                                  <w:color w:val="000000"/>
                                  <w:sz w:val="18"/>
                                  <w:szCs w:val="18"/>
                                </w:rPr>
                              </w:pPr>
                              <w:r>
                                <w:rPr>
                                  <w:color w:val="000000"/>
                                  <w:sz w:val="18"/>
                                  <w:szCs w:val="18"/>
                                </w:rPr>
                                <w:t>2,06</w:t>
                              </w:r>
                            </w:p>
                          </w:tc>
                          <w:tc>
                            <w:tcPr>
                              <w:tcW w:w="992" w:type="dxa"/>
                            </w:tcPr>
                            <w:p>
                              <w:pPr>
                                <w:jc w:val="right"/>
                                <w:rPr>
                                  <w:color w:val="000000"/>
                                  <w:sz w:val="18"/>
                                  <w:szCs w:val="18"/>
                                </w:rPr>
                              </w:pPr>
                              <w:r>
                                <w:rPr>
                                  <w:color w:val="000000"/>
                                  <w:sz w:val="18"/>
                                  <w:szCs w:val="18"/>
                                </w:rPr>
                                <w:t>7,21</w:t>
                              </w:r>
                            </w:p>
                          </w:tc>
                          <w:tc>
                            <w:tcPr>
                              <w:tcW w:w="1260" w:type="dxa"/>
                            </w:tcPr>
                            <w:p>
                              <w:pPr>
                                <w:jc w:val="right"/>
                                <w:rPr>
                                  <w:color w:val="000000"/>
                                  <w:sz w:val="18"/>
                                  <w:szCs w:val="18"/>
                                </w:rPr>
                              </w:pPr>
                              <w:r>
                                <w:rPr>
                                  <w:sz w:val="18"/>
                                  <w:szCs w:val="18"/>
                                </w:rPr>
                                <w:t>10,27</w:t>
                              </w:r>
                            </w:p>
                          </w:tc>
                          <w:tc>
                            <w:tcPr>
                              <w:tcW w:w="1119" w:type="dxa"/>
                            </w:tcPr>
                            <w:p>
                              <w:pPr>
                                <w:jc w:val="right"/>
                                <w:rPr>
                                  <w:sz w:val="18"/>
                                  <w:szCs w:val="18"/>
                                </w:rPr>
                              </w:pPr>
                              <w:r>
                                <w:rPr>
                                  <w:sz w:val="18"/>
                                  <w:szCs w:val="18"/>
                                </w:rPr>
                                <w:t>5</w:t>
                              </w:r>
                            </w:p>
                          </w:tc>
                          <w:tc>
                            <w:tcPr>
                              <w:tcW w:w="1396" w:type="dxa"/>
                            </w:tcPr>
                            <w:p>
                              <w:pPr>
                                <w:jc w:val="center"/>
                                <w:rPr>
                                  <w:sz w:val="18"/>
                                  <w:szCs w:val="18"/>
                                </w:rPr>
                              </w:pPr>
                              <w:r>
                                <w:rPr>
                                  <w:sz w:val="18"/>
                                  <w:szCs w:val="18"/>
                                </w:rPr>
                                <w:t>subsidija</w:t>
                              </w:r>
                            </w:p>
                          </w:tc>
                        </w:tr>
                        <w:tr>
                          <w:tc>
                            <w:tcPr>
                              <w:tcW w:w="675" w:type="dxa"/>
                            </w:tcPr>
                            <w:p>
                              <w:pPr>
                                <w:rPr>
                                  <w:sz w:val="18"/>
                                  <w:szCs w:val="18"/>
                                </w:rPr>
                              </w:pPr>
                              <w:r>
                                <w:rPr>
                                  <w:sz w:val="18"/>
                                  <w:szCs w:val="18"/>
                                </w:rPr>
                                <w:t>7.</w:t>
                              </w:r>
                            </w:p>
                          </w:tc>
                          <w:tc>
                            <w:tcPr>
                              <w:tcW w:w="1754" w:type="dxa"/>
                            </w:tcPr>
                            <w:p>
                              <w:pPr>
                                <w:rPr>
                                  <w:color w:val="000000"/>
                                  <w:sz w:val="18"/>
                                  <w:szCs w:val="18"/>
                                </w:rPr>
                              </w:pPr>
                              <w:r>
                                <w:rPr>
                                  <w:color w:val="000000"/>
                                  <w:sz w:val="18"/>
                                  <w:szCs w:val="18"/>
                                </w:rPr>
                                <w:t>Juridinių asmenų investicijoms į gamtinių dujų naudojimo mažinimą ir (ar) atsinaujinančių energijos išteklių panaudojimą</w:t>
                              </w:r>
                            </w:p>
                          </w:tc>
                          <w:tc>
                            <w:tcPr>
                              <w:tcW w:w="2268" w:type="dxa"/>
                            </w:tcPr>
                            <w:p>
                              <w:pPr>
                                <w:ind w:left="-57" w:right="-57"/>
                                <w:rPr>
                                  <w:sz w:val="18"/>
                                  <w:szCs w:val="18"/>
                                </w:rPr>
                              </w:pPr>
                              <w:r>
                                <w:rPr>
                                  <w:sz w:val="18"/>
                                  <w:szCs w:val="18"/>
                                </w:rPr>
                                <w:t>Privatūs juridiniai asmenys, nukentėję dėl Rusijos karo prieš Ukrainą</w:t>
                              </w:r>
                            </w:p>
                          </w:tc>
                          <w:tc>
                            <w:tcPr>
                              <w:tcW w:w="992" w:type="dxa"/>
                            </w:tcPr>
                            <w:p>
                              <w:pPr>
                                <w:jc w:val="right"/>
                                <w:rPr>
                                  <w:color w:val="000000"/>
                                  <w:sz w:val="18"/>
                                  <w:szCs w:val="18"/>
                                </w:rPr>
                              </w:pPr>
                              <w:r>
                                <w:rPr>
                                  <w:color w:val="000000"/>
                                  <w:sz w:val="18"/>
                                  <w:szCs w:val="18"/>
                                </w:rPr>
                                <w:t>177,78</w:t>
                              </w:r>
                            </w:p>
                          </w:tc>
                          <w:tc>
                            <w:tcPr>
                              <w:tcW w:w="992" w:type="dxa"/>
                            </w:tcPr>
                            <w:p>
                              <w:pPr>
                                <w:jc w:val="right"/>
                                <w:rPr>
                                  <w:color w:val="000000"/>
                                  <w:sz w:val="18"/>
                                  <w:szCs w:val="18"/>
                                </w:rPr>
                              </w:pPr>
                              <w:r>
                                <w:rPr>
                                  <w:color w:val="000000"/>
                                  <w:sz w:val="18"/>
                                  <w:szCs w:val="18"/>
                                </w:rPr>
                                <w:t>622,23</w:t>
                              </w:r>
                            </w:p>
                          </w:tc>
                          <w:tc>
                            <w:tcPr>
                              <w:tcW w:w="1260" w:type="dxa"/>
                            </w:tcPr>
                            <w:p>
                              <w:pPr>
                                <w:jc w:val="right"/>
                                <w:rPr>
                                  <w:color w:val="000000"/>
                                  <w:sz w:val="18"/>
                                  <w:szCs w:val="18"/>
                                </w:rPr>
                              </w:pPr>
                              <w:r>
                                <w:rPr>
                                  <w:color w:val="000000"/>
                                  <w:sz w:val="18"/>
                                  <w:szCs w:val="18"/>
                                </w:rPr>
                                <w:t>1777,77</w:t>
                              </w:r>
                            </w:p>
                          </w:tc>
                          <w:tc>
                            <w:tcPr>
                              <w:tcW w:w="1119" w:type="dxa"/>
                            </w:tcPr>
                            <w:p>
                              <w:pPr>
                                <w:jc w:val="right"/>
                                <w:rPr>
                                  <w:sz w:val="18"/>
                                  <w:szCs w:val="18"/>
                                </w:rPr>
                              </w:pPr>
                              <w:r>
                                <w:rPr>
                                  <w:sz w:val="18"/>
                                  <w:szCs w:val="18"/>
                                </w:rPr>
                                <w:t>80</w:t>
                              </w:r>
                            </w:p>
                          </w:tc>
                          <w:tc>
                            <w:tcPr>
                              <w:tcW w:w="1396" w:type="dxa"/>
                            </w:tcPr>
                            <w:p>
                              <w:pPr>
                                <w:jc w:val="center"/>
                                <w:rPr>
                                  <w:sz w:val="18"/>
                                  <w:szCs w:val="18"/>
                                </w:rPr>
                              </w:pPr>
                              <w:r>
                                <w:rPr>
                                  <w:sz w:val="18"/>
                                  <w:szCs w:val="18"/>
                                </w:rPr>
                                <w:t>subsidija</w:t>
                              </w:r>
                            </w:p>
                          </w:tc>
                        </w:tr>
                        <w:tr>
                          <w:tc>
                            <w:tcPr>
                              <w:tcW w:w="10456" w:type="dxa"/>
                              <w:gridSpan w:val="8"/>
                            </w:tcPr>
                            <w:p>
                              <w:pPr>
                                <w:rPr>
                                  <w:sz w:val="18"/>
                                  <w:szCs w:val="18"/>
                                </w:rPr>
                              </w:pPr>
                              <w:r>
                                <w:rPr>
                                  <w:b/>
                                  <w:bCs/>
                                  <w:sz w:val="20"/>
                                </w:rPr>
                                <w:t>Komunikacinės veiklos</w:t>
                              </w:r>
                            </w:p>
                          </w:tc>
                        </w:tr>
                        <w:tr>
                          <w:tc>
                            <w:tcPr>
                              <w:tcW w:w="675" w:type="dxa"/>
                            </w:tcPr>
                            <w:p>
                              <w:pPr>
                                <w:rPr>
                                  <w:sz w:val="18"/>
                                  <w:szCs w:val="18"/>
                                </w:rPr>
                              </w:pPr>
                              <w:r>
                                <w:rPr>
                                  <w:sz w:val="18"/>
                                  <w:szCs w:val="18"/>
                                </w:rPr>
                                <w:t>8.</w:t>
                              </w:r>
                            </w:p>
                          </w:tc>
                          <w:tc>
                            <w:tcPr>
                              <w:tcW w:w="1754" w:type="dxa"/>
                            </w:tcPr>
                            <w:p>
                              <w:pPr>
                                <w:rPr>
                                  <w:color w:val="000000"/>
                                  <w:sz w:val="18"/>
                                  <w:szCs w:val="18"/>
                                </w:rPr>
                              </w:pPr>
                              <w:r>
                                <w:rPr>
                                  <w:color w:val="000000"/>
                                  <w:sz w:val="18"/>
                                  <w:szCs w:val="18"/>
                                </w:rPr>
                                <w:t xml:space="preserve">Finansinė paskata nevyriausybinių organizacijų veikloms ir (ar) veiksmams formuojant  klimato politiką ir informuojant visuomenę apie klimato kaitą</w:t>
                              </w:r>
                            </w:p>
                          </w:tc>
                          <w:tc>
                            <w:tcPr>
                              <w:tcW w:w="2268" w:type="dxa"/>
                            </w:tcPr>
                            <w:p>
                              <w:pPr>
                                <w:ind w:left="-57" w:right="-57"/>
                                <w:rPr>
                                  <w:color w:val="000000"/>
                                  <w:sz w:val="18"/>
                                  <w:szCs w:val="18"/>
                                </w:rPr>
                              </w:pPr>
                              <w:r>
                                <w:rPr>
                                  <w:color w:val="000000"/>
                                  <w:sz w:val="18"/>
                                  <w:szCs w:val="18"/>
                                </w:rPr>
                                <w:t>Lietuvoje registruotos nevyriausybinės organizacijos</w:t>
                              </w:r>
                            </w:p>
                          </w:tc>
                          <w:tc>
                            <w:tcPr>
                              <w:tcW w:w="992" w:type="dxa"/>
                            </w:tcPr>
                            <w:p>
                              <w:pPr>
                                <w:jc w:val="center"/>
                                <w:rPr>
                                  <w:sz w:val="18"/>
                                  <w:szCs w:val="18"/>
                                </w:rPr>
                              </w:pPr>
                              <w:r>
                                <w:rPr>
                                  <w:sz w:val="18"/>
                                  <w:szCs w:val="18"/>
                                </w:rPr>
                                <w:t>nevertina-mas</w:t>
                              </w:r>
                            </w:p>
                          </w:tc>
                          <w:tc>
                            <w:tcPr>
                              <w:tcW w:w="992" w:type="dxa"/>
                            </w:tcPr>
                            <w:p>
                              <w:pPr>
                                <w:jc w:val="center"/>
                                <w:rPr>
                                  <w:sz w:val="18"/>
                                  <w:szCs w:val="18"/>
                                </w:rPr>
                              </w:pPr>
                              <w:r>
                                <w:rPr>
                                  <w:sz w:val="18"/>
                                  <w:szCs w:val="18"/>
                                </w:rPr>
                                <w:t>nevertina-mas</w:t>
                              </w:r>
                            </w:p>
                          </w:tc>
                          <w:tc>
                            <w:tcPr>
                              <w:tcW w:w="1260" w:type="dxa"/>
                            </w:tcPr>
                            <w:p>
                              <w:pPr>
                                <w:jc w:val="right"/>
                                <w:rPr>
                                  <w:sz w:val="18"/>
                                  <w:szCs w:val="18"/>
                                </w:rPr>
                              </w:pPr>
                              <w:r>
                                <w:rPr>
                                  <w:sz w:val="18"/>
                                  <w:szCs w:val="18"/>
                                </w:rPr>
                                <w:t>nevertinamas</w:t>
                              </w:r>
                            </w:p>
                          </w:tc>
                          <w:tc>
                            <w:tcPr>
                              <w:tcW w:w="1119" w:type="dxa"/>
                            </w:tcPr>
                            <w:p>
                              <w:pPr>
                                <w:jc w:val="right"/>
                                <w:rPr>
                                  <w:sz w:val="18"/>
                                  <w:szCs w:val="18"/>
                                </w:rPr>
                              </w:pPr>
                              <w:r>
                                <w:rPr>
                                  <w:sz w:val="18"/>
                                  <w:szCs w:val="18"/>
                                </w:rPr>
                                <w:t>0,5</w:t>
                              </w:r>
                            </w:p>
                          </w:tc>
                          <w:tc>
                            <w:tcPr>
                              <w:tcW w:w="1396" w:type="dxa"/>
                            </w:tcPr>
                            <w:p>
                              <w:pPr>
                                <w:jc w:val="center"/>
                                <w:rPr>
                                  <w:sz w:val="18"/>
                                  <w:szCs w:val="18"/>
                                </w:rPr>
                              </w:pPr>
                              <w:r>
                                <w:rPr>
                                  <w:sz w:val="18"/>
                                  <w:szCs w:val="18"/>
                                </w:rPr>
                                <w:t>subsidija</w:t>
                              </w:r>
                            </w:p>
                          </w:tc>
                        </w:tr>
                        <w:tr>
                          <w:tc>
                            <w:tcPr>
                              <w:tcW w:w="675" w:type="dxa"/>
                            </w:tcPr>
                            <w:p>
                              <w:pPr>
                                <w:rPr>
                                  <w:sz w:val="20"/>
                                </w:rPr>
                              </w:pPr>
                            </w:p>
                          </w:tc>
                          <w:tc>
                            <w:tcPr>
                              <w:tcW w:w="4022" w:type="dxa"/>
                              <w:gridSpan w:val="2"/>
                            </w:tcPr>
                            <w:p>
                              <w:pPr>
                                <w:ind w:left="-57" w:right="-57"/>
                                <w:rPr>
                                  <w:b/>
                                  <w:bCs/>
                                  <w:color w:val="000000"/>
                                  <w:sz w:val="20"/>
                                </w:rPr>
                              </w:pPr>
                              <w:r>
                                <w:rPr>
                                  <w:b/>
                                  <w:bCs/>
                                  <w:color w:val="000000"/>
                                  <w:sz w:val="20"/>
                                </w:rPr>
                                <w:t>Iš viso</w:t>
                              </w:r>
                            </w:p>
                          </w:tc>
                          <w:tc>
                            <w:tcPr>
                              <w:tcW w:w="992" w:type="dxa"/>
                            </w:tcPr>
                            <w:p>
                              <w:pPr>
                                <w:jc w:val="right"/>
                                <w:rPr>
                                  <w:b/>
                                  <w:bCs/>
                                  <w:sz w:val="20"/>
                                </w:rPr>
                              </w:pPr>
                              <w:r>
                                <w:rPr>
                                  <w:b/>
                                  <w:bCs/>
                                  <w:sz w:val="20"/>
                                </w:rPr>
                                <w:t>531,59</w:t>
                              </w:r>
                            </w:p>
                          </w:tc>
                          <w:tc>
                            <w:tcPr>
                              <w:tcW w:w="992" w:type="dxa"/>
                            </w:tcPr>
                            <w:p>
                              <w:pPr>
                                <w:jc w:val="right"/>
                                <w:rPr>
                                  <w:b/>
                                  <w:bCs/>
                                  <w:sz w:val="20"/>
                                </w:rPr>
                              </w:pPr>
                              <w:r>
                                <w:rPr>
                                  <w:b/>
                                  <w:bCs/>
                                  <w:sz w:val="20"/>
                                </w:rPr>
                                <w:t>2115,19</w:t>
                              </w:r>
                            </w:p>
                          </w:tc>
                          <w:tc>
                            <w:tcPr>
                              <w:tcW w:w="1260" w:type="dxa"/>
                            </w:tcPr>
                            <w:p>
                              <w:pPr>
                                <w:jc w:val="right"/>
                                <w:rPr>
                                  <w:b/>
                                  <w:bCs/>
                                  <w:sz w:val="20"/>
                                </w:rPr>
                              </w:pPr>
                              <w:r>
                                <w:rPr>
                                  <w:b/>
                                  <w:bCs/>
                                  <w:sz w:val="20"/>
                                </w:rPr>
                                <w:t>5425,92</w:t>
                              </w:r>
                            </w:p>
                          </w:tc>
                          <w:tc>
                            <w:tcPr>
                              <w:tcW w:w="1119" w:type="dxa"/>
                            </w:tcPr>
                            <w:p>
                              <w:pPr>
                                <w:jc w:val="right"/>
                                <w:rPr>
                                  <w:b/>
                                  <w:bCs/>
                                  <w:sz w:val="20"/>
                                </w:rPr>
                              </w:pPr>
                              <w:r>
                                <w:rPr>
                                  <w:b/>
                                  <w:bCs/>
                                  <w:sz w:val="20"/>
                                </w:rPr>
                                <w:t>242,5</w:t>
                              </w:r>
                            </w:p>
                          </w:tc>
                          <w:tc>
                            <w:tcPr>
                              <w:tcW w:w="1396" w:type="dxa"/>
                            </w:tcPr>
                            <w:p>
                              <w:pPr>
                                <w:jc w:val="center"/>
                                <w:rPr>
                                  <w:sz w:val="20"/>
                                </w:rPr>
                              </w:pPr>
                              <w:r>
                                <w:rPr>
                                  <w:sz w:val="20"/>
                                </w:rPr>
                                <w:t>-</w:t>
                              </w:r>
                            </w:p>
                          </w:tc>
                        </w:tr>
                      </w:tbl>
                      <w:p>
                        <w:pPr>
                          <w:tabs>
                            <w:tab w:val="left" w:pos="860"/>
                          </w:tabs>
                          <w:ind w:firstLine="567"/>
                          <w:jc w:val="both"/>
                          <w:rPr>
                            <w:sz w:val="20"/>
                          </w:rPr>
                        </w:pPr>
                      </w:p>
                      <w:p/>
                      <w:p>
                        <w:pPr>
                          <w:tabs>
                            <w:tab w:val="left" w:pos="860"/>
                          </w:tabs>
                          <w:ind w:firstLine="567"/>
                          <w:jc w:val="both"/>
                          <w:rPr>
                            <w:sz w:val="20"/>
                          </w:rPr>
                        </w:pPr>
                        <w:r>
                          <w:rPr>
                            <w:sz w:val="20"/>
                          </w:rPr>
                          <w:t>Pažangos priemonės pažangos veiklų ir (ar) jų poveiklių vertinimui naudotas sąnaudų ir naudos analizės (toliau – SNA) metodas. Pažangos veiklų ir jų poveiklių įgyvendinimo laikotarpis skiriasi, priklausomai nuo veiklos, todėl skaičiavimuose naudotas 27 metų ataskaitinis laikotarpis.</w:t>
                        </w: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tc>
                      <w:tcPr>
                        <w:tcW w:w="10456" w:type="dxa"/>
                      </w:tcPr>
                      <w:p>
                        <w:pPr>
                          <w:keepNext/>
                          <w:keepLines/>
                          <w:jc w:val="center"/>
                          <w:outlineLvl w:val="2"/>
                          <w:rPr>
                            <w:b/>
                            <w:bCs/>
                          </w:rPr>
                        </w:pPr>
                        <w:r>
                          <w:rPr>
                            <w:b/>
                            <w:bCs/>
                          </w:rPr>
                          <w:t>ANTRASIS SKIRSNIS</w:t>
                        </w:r>
                      </w:p>
                      <w:p>
                        <w:pPr>
                          <w:keepNext/>
                          <w:keepLines/>
                          <w:jc w:val="center"/>
                          <w:outlineLvl w:val="2"/>
                          <w:rPr>
                            <w:b/>
                            <w:bCs/>
                            <w:caps/>
                          </w:rPr>
                        </w:pPr>
                        <w:r>
                          <w:rPr>
                            <w:b/>
                            <w:bCs/>
                            <w:caps/>
                          </w:rPr>
                          <w:t>PLĖTROS PROGRAMOS PAŽANGOS Priemonės GERIAUSIOS alternatyvos PASIRINKIMAS</w:t>
                        </w:r>
                      </w:p>
                    </w:tc>
                  </w:tr>
                  <w:tr>
                    <w:tc>
                      <w:tcPr>
                        <w:tcW w:w="10456" w:type="dxa"/>
                        <w:shd w:val="clear" w:color="auto" w:fill="DBE5F1" w:themeFill="accent1" w:themeFillTint="33"/>
                      </w:tcPr>
                      <w:p>
                        <w:pPr>
                          <w:rPr>
                            <w:b/>
                            <w:sz w:val="22"/>
                            <w:szCs w:val="22"/>
                          </w:rPr>
                        </w:pPr>
                        <w:r>
                          <w:rPr>
                            <w:b/>
                            <w:sz w:val="22"/>
                            <w:szCs w:val="22"/>
                          </w:rPr>
                          <w:t>Geriausios alternatyvos pasirinkimas</w:t>
                        </w:r>
                      </w:p>
                    </w:tc>
                  </w:tr>
                  <w:tr>
                    <w:tc>
                      <w:tcPr>
                        <w:tcW w:w="10456" w:type="dxa"/>
                      </w:tcPr>
                      <w:p>
                        <w:pPr>
                          <w:ind w:firstLine="540"/>
                          <w:jc w:val="both"/>
                          <w:rPr>
                            <w:sz w:val="20"/>
                          </w:rPr>
                        </w:pPr>
                        <w:r>
                          <w:rPr>
                            <w:sz w:val="20"/>
                          </w:rPr>
                          <w:t xml:space="preserve">Aplinkos ministerija, rengdama Programos pažangos priemonės „Didinti klimato kaitos politikos veiksmingumą“ aprašą (toliau – pažangos priemonės aprašas), 2022 m. Aplinkos ministerijos finansuojamoms  veikloms ŠESD tikslų pasiekimui neatlieka alternatyvų vertinimo analizės, kadangi siekiant kuo greičiau finansuoti šias veiklas buvo padaryta  Finansų ministerijos išimtis. Taip pat Aplinkos ministerija nurodo pažangos veiklas, susijusias su Nacionaliniame energetikos ir klimato srities veiksmų plane (2021–2030 m.) (toliau – NEKSVP) priemonėmis. Rengiant NEKSVP, atliktos veiksmingumo analizės, pagal kurias nustatyta, kokios priemonės veiksmingos ir kokias būtina finansuoti, kad būtų pasiekti klimato švelninimo (kiekybinio ŠESD kiekio mažinimo) tikslai. Todėl rengiant šios pažangos priemonės aprašą, papildomai  atliekama tik SNA pagal Centrinės projektų valdymo agentūros parengtas skaičiuokles. </w:t>
                        </w:r>
                      </w:p>
                      <w:p>
                        <w:pPr>
                          <w:ind w:firstLine="540"/>
                          <w:jc w:val="both"/>
                          <w:rPr>
                            <w:sz w:val="20"/>
                            <w:highlight w:val="yellow"/>
                          </w:rPr>
                        </w:pPr>
                        <w:r>
                          <w:rPr>
                            <w:sz w:val="20"/>
                          </w:rPr>
                          <w:t>Atlikus SNA gautas teigiamas ekonominės naudos ir išlaidų santykis (ENIS) – 1.99, ekonominė grynoji dabartinė vertė (EGDV) lygi 498 mln. Eur. Galima vertinti, kad pažangos priemonės įgyvendinimas yra sąlyginai nerizikingas, nes atlikus scenarijų analizę matosi, kad susiklosčius ir nepalankiam scenarijui pažangos priemonės įgyvendinimas būtų ekonomiškai atsiperkantis.</w:t>
                        </w:r>
                      </w:p>
                    </w:tc>
                  </w:tr>
                </w:tbl>
                <w:p>
                  <w:pPr>
                    <w:rPr>
                      <w:b/>
                      <w:bCs/>
                    </w:rPr>
                  </w:pPr>
                </w:p>
              </w:sdtContent>
            </w:sdt>
            <w:sdt>
              <w:sdtPr>
                <w:alias w:val="poskyris"/>
                <w:tag w:val="part_e83a301343954f44aa22d08d91e28c9d"/>
                <w:lock w:val="sdtLocked"/>
                <w:richText/>
              </w:sdtPr>
              <w:sdtContent>
                <w:p>
                  <w:pPr>
                    <w:rPr>
                      <w:b/>
                      <w:bCs/>
                      <w:sz w:val="22"/>
                      <w:szCs w:val="22"/>
                    </w:rPr>
                  </w:pPr>
                  <w:sdt>
                    <w:sdtPr>
                      <w:alias w:val="Pavadinimas"/>
                      <w:tag w:val="title_e83a301343954f44aa22d08d91e28c9d"/>
                      <w:lock w:val="sdtLocked"/>
                      <w:richText/>
                    </w:sdtPr>
                    <w:sdtContent>
                      <w:r>
                        <w:rPr>
                          <w:b/>
                          <w:bCs/>
                          <w:sz w:val="22"/>
                          <w:szCs w:val="22"/>
                        </w:rPr>
                        <w:t xml:space="preserve">Paaiškinimai: </w:t>
                      </w:r>
                    </w:sdtContent>
                  </w:sdt>
                </w:p>
                <w:p>
                  <w:pPr>
                    <w:tabs>
                      <w:tab w:val="left" w:pos="598"/>
                    </w:tabs>
                    <w:ind w:firstLine="567"/>
                    <w:jc w:val="both"/>
                    <w:rPr>
                      <w:b/>
                      <w:sz w:val="20"/>
                    </w:rPr>
                  </w:pPr>
                </w:p>
              </w:sdtContent>
            </w:sdt>
            <w:sdt>
              <w:sdtPr>
                <w:alias w:val="poskyris"/>
                <w:tag w:val="part_bf77060841514729a97fc7c8cfb6c752"/>
                <w:lock w:val="sdtLocked"/>
                <w:richText/>
              </w:sdtPr>
              <w:sdtContent>
                <w:p>
                  <w:pPr>
                    <w:tabs>
                      <w:tab w:val="left" w:pos="598"/>
                    </w:tabs>
                    <w:ind w:firstLine="567"/>
                    <w:jc w:val="both"/>
                    <w:rPr>
                      <w:b/>
                      <w:sz w:val="20"/>
                    </w:rPr>
                  </w:pPr>
                  <w:sdt>
                    <w:sdtPr>
                      <w:alias w:val="Pavadinimas"/>
                      <w:tag w:val="title_bf77060841514729a97fc7c8cfb6c752"/>
                      <w:lock w:val="sdtLocked"/>
                      <w:richText/>
                    </w:sdtPr>
                    <w:sdtContent>
                      <w:r>
                        <w:rPr>
                          <w:b/>
                          <w:sz w:val="20"/>
                        </w:rPr>
                        <w:t>Alternatyvų nustatymas</w:t>
                      </w:r>
                    </w:sdtContent>
                  </w:sdt>
                </w:p>
                <w:p>
                  <w:pPr>
                    <w:tabs>
                      <w:tab w:val="left" w:pos="598"/>
                    </w:tabs>
                    <w:ind w:firstLine="567"/>
                    <w:jc w:val="both"/>
                    <w:rPr>
                      <w:sz w:val="20"/>
                    </w:rPr>
                  </w:pPr>
                  <w:r>
                    <w:rPr>
                      <w:sz w:val="20"/>
                    </w:rPr>
                    <w:t xml:space="preserve">Priemonės alternatyvos nurodomos pasirenkant galimas skirtingas veiklas/poveikles (reguliacines, investicines, komunikacines, analitines, mišrias) ir jų derinius bei kitus esminius intervencijos sprendinius (tikslinės grupės segmentas, projektų vykdytojai, kt.). </w:t>
                  </w:r>
                </w:p>
                <w:p>
                  <w:pPr>
                    <w:tabs>
                      <w:tab w:val="left" w:pos="598"/>
                    </w:tabs>
                    <w:ind w:firstLine="567"/>
                    <w:jc w:val="both"/>
                    <w:rPr>
                      <w:sz w:val="20"/>
                      <w:u w:val="single"/>
                    </w:rPr>
                  </w:pPr>
                  <w:r>
                    <w:rPr>
                      <w:sz w:val="20"/>
                      <w:u w:val="single"/>
                    </w:rPr>
                    <w:t>Priemonės veiklų tipai:</w:t>
                  </w:r>
                </w:p>
                <w:p>
                  <w:pPr>
                    <w:ind w:firstLine="567"/>
                    <w:rPr>
                      <w:sz w:val="20"/>
                    </w:rPr>
                  </w:pPr>
                  <w:r>
                    <w:rPr>
                      <w:sz w:val="20"/>
                    </w:rPr>
                    <w:t>- reguliacinės veiklos (</w:t>
                  </w:r>
                  <w:r>
                    <w:rPr>
                      <w:bCs/>
                      <w:sz w:val="20"/>
                    </w:rPr>
                    <w:t>nustatomi, pakeičiami ar panaikinami įpareigojimai, įvedami ir pakeičiami mokesčiai, nustatomos arba pakeičiamos paskatos ir panašiai</w:t>
                  </w:r>
                  <w:r>
                    <w:rPr>
                      <w:sz w:val="20"/>
                    </w:rPr>
                    <w:t>);</w:t>
                  </w:r>
                </w:p>
                <w:p>
                  <w:pPr>
                    <w:tabs>
                      <w:tab w:val="left" w:pos="598"/>
                    </w:tabs>
                    <w:ind w:firstLine="567"/>
                    <w:jc w:val="both"/>
                    <w:rPr>
                      <w:sz w:val="20"/>
                    </w:rPr>
                  </w:pPr>
                  <w:r>
                    <w:rPr>
                      <w:sz w:val="20"/>
                    </w:rPr>
                    <w:t>- investicinės veiklos (infrastruktūros vystymas, paslaugų teikimas ir investicijos į žinias bei žmogiškuosius išteklius);</w:t>
                  </w:r>
                </w:p>
                <w:p>
                  <w:pPr>
                    <w:tabs>
                      <w:tab w:val="left" w:pos="598"/>
                    </w:tabs>
                    <w:ind w:firstLine="567"/>
                    <w:jc w:val="both"/>
                    <w:rPr>
                      <w:sz w:val="20"/>
                    </w:rPr>
                  </w:pPr>
                  <w:r>
                    <w:rPr>
                      <w:sz w:val="20"/>
                    </w:rPr>
                    <w:t>- komunikacinės veiklos (veiklos, kuriomis siekiama supažindinti tikslinę grupę su naujomis idėjomis, siekiant elgsenos ir nuostatų pokyčio. Komunikacinės veiklos gali būti savarankiškos arba palengvinančios (pastiprinančios) kitų veiklų įgyvendinimą);</w:t>
                  </w:r>
                </w:p>
                <w:p>
                  <w:pPr>
                    <w:tabs>
                      <w:tab w:val="left" w:pos="598"/>
                    </w:tabs>
                    <w:ind w:firstLine="567"/>
                    <w:jc w:val="both"/>
                    <w:rPr>
                      <w:sz w:val="20"/>
                    </w:rPr>
                  </w:pPr>
                  <w:r>
                    <w:rPr>
                      <w:sz w:val="20"/>
                    </w:rPr>
                    <w:t>- analitinės veiklos (informacijos apie konkrečią veiklos ar atsakomybės sritį ir su ja susijusius reiškinius rinkimas, apdorojimas, gretinimas su kita turima informacija, kokybiškai naujų duomenų, kurie yra šių informacijos apdorojimo procesų rezultatas ir kurie skirti sprendimams priimti, gavimas).</w:t>
                  </w:r>
                </w:p>
                <w:p>
                  <w:pPr>
                    <w:tabs>
                      <w:tab w:val="left" w:pos="598"/>
                    </w:tabs>
                    <w:ind w:firstLine="567"/>
                    <w:jc w:val="both"/>
                    <w:rPr>
                      <w:sz w:val="20"/>
                    </w:rPr>
                  </w:pPr>
                </w:p>
                <w:p>
                  <w:pPr>
                    <w:tabs>
                      <w:tab w:val="left" w:pos="860"/>
                    </w:tabs>
                    <w:ind w:firstLine="567"/>
                    <w:jc w:val="both"/>
                    <w:rPr>
                      <w:sz w:val="20"/>
                      <w:szCs w:val="24"/>
                    </w:rPr>
                  </w:pPr>
                  <w:r>
                    <w:rPr>
                      <w:sz w:val="20"/>
                    </w:rPr>
                    <w:t xml:space="preserve">Priemonės alternatyvos turi būti skirtos tai pačiai problemai spręsti. Nieko nedarymas nėra laikoma alternatyva. </w:t>
                  </w:r>
                  <w:r>
                    <w:rPr>
                      <w:sz w:val="20"/>
                      <w:szCs w:val="24"/>
                    </w:rPr>
                    <w:t xml:space="preserve">Alternatyvos turėtų skirtis bent viena veikla arba kitais esminiais intervencijos sprendiniais (pvz., skirtingi projektų vykdytojai, finansavimo forma, tikslinė grupė, finansavimo apimtys). </w:t>
                  </w:r>
                </w:p>
                <w:p>
                  <w:pPr>
                    <w:tabs>
                      <w:tab w:val="left" w:pos="598"/>
                    </w:tabs>
                    <w:ind w:firstLine="567"/>
                    <w:jc w:val="both"/>
                    <w:rPr>
                      <w:sz w:val="20"/>
                    </w:rPr>
                  </w:pPr>
                </w:p>
                <w:p>
                  <w:pPr>
                    <w:tabs>
                      <w:tab w:val="left" w:pos="598"/>
                    </w:tabs>
                    <w:ind w:firstLine="567"/>
                    <w:jc w:val="both"/>
                    <w:rPr>
                      <w:sz w:val="20"/>
                    </w:rPr>
                  </w:pPr>
                  <w:r>
                    <w:rPr>
                      <w:sz w:val="20"/>
                    </w:rPr>
                    <w:t xml:space="preserve">Nurodant alternatyvas turi būti atsižvelgiama į tai, kad teisės aktų nuostatos gali būti keičiamos ir jų keitimas gali būti viena iš alternatyvos veiklų, ir į tai, ar bus tiesiogiai prisidedama prie NPP horizontaliųjų principų įgyvendinimo ir kaip tai bus daroma (siekiant projekto tikslo, per tikslinę grupę, projekto vykdytojus, įgyvendinant projekto veiklas, siekiant rodiklių reikšmių, rezultatų ir pan.) </w:t>
                  </w:r>
                </w:p>
                <w:p>
                  <w:pPr>
                    <w:tabs>
                      <w:tab w:val="left" w:pos="860"/>
                    </w:tabs>
                    <w:ind w:firstLine="567"/>
                    <w:jc w:val="both"/>
                    <w:rPr>
                      <w:sz w:val="20"/>
                      <w:szCs w:val="24"/>
                    </w:rPr>
                  </w:pPr>
                  <w:r>
                    <w:rPr>
                      <w:sz w:val="20"/>
                      <w:szCs w:val="24"/>
                    </w:rPr>
                    <w:t xml:space="preserve">Jeigu nurodant priemonės įgyvendinimo alternatyvas pirmiausia būtina vykdyti analitinę veiklą, pažangos priemonės aprašas gali būti tvirtinamas nurodant tik šią veiklą. Kartu su analitine veikla gali būti planuojamos ir kitos veiklos, kurių alternatyvų vertinimas neatliekamas. </w:t>
                  </w:r>
                </w:p>
                <w:p>
                  <w:pPr>
                    <w:tabs>
                      <w:tab w:val="left" w:pos="860"/>
                    </w:tabs>
                    <w:ind w:firstLine="567"/>
                    <w:jc w:val="both"/>
                    <w:rPr>
                      <w:b/>
                      <w:sz w:val="20"/>
                    </w:rPr>
                  </w:pPr>
                </w:p>
                <w:p>
                  <w:pPr>
                    <w:tabs>
                      <w:tab w:val="left" w:pos="860"/>
                    </w:tabs>
                    <w:ind w:firstLine="567"/>
                    <w:jc w:val="both"/>
                    <w:rPr>
                      <w:sz w:val="20"/>
                      <w:szCs w:val="24"/>
                    </w:rPr>
                  </w:pPr>
                  <w:r>
                    <w:rPr>
                      <w:sz w:val="20"/>
                      <w:szCs w:val="24"/>
                      <w:u w:val="single"/>
                    </w:rPr>
                    <w:t>Toliau pateikiami klausimai, padedantys nurodyti priemonės alternatyvas.</w:t>
                  </w:r>
                  <w:r>
                    <w:rPr>
                      <w:sz w:val="20"/>
                      <w:szCs w:val="24"/>
                    </w:rPr>
                    <w:t xml:space="preserve"> Dalis klausimų taikoma tais atvejais, kai priemonės alternatyva aprašoma remiantis anksčiau jau įgyvendintomis veiklomis. Rekomenduojama klausimus apgalvoti ir aptarti priemonės rengimo grupėje, į klausimus atsakyti rašytine forma nereikalaujama.</w:t>
                  </w:r>
                </w:p>
                <w:p>
                  <w:pPr>
                    <w:tabs>
                      <w:tab w:val="left" w:pos="860"/>
                    </w:tabs>
                    <w:ind w:firstLine="567"/>
                    <w:jc w:val="both"/>
                    <w:rPr>
                      <w:i/>
                      <w:sz w:val="20"/>
                      <w:szCs w:val="24"/>
                    </w:rPr>
                  </w:pPr>
                  <w:r>
                    <w:rPr>
                      <w:i/>
                      <w:sz w:val="20"/>
                      <w:szCs w:val="24"/>
                    </w:rPr>
                    <w:t>- (</w:t>
                  </w:r>
                  <w:r>
                    <w:rPr>
                      <w:i/>
                      <w:sz w:val="20"/>
                      <w:szCs w:val="24"/>
                      <w:u w:val="single"/>
                    </w:rPr>
                    <w:t>Kai svarstomos anksčiau įgyvendintos veiklos</w:t>
                  </w:r>
                  <w:r>
                    <w:rPr>
                      <w:i/>
                      <w:sz w:val="20"/>
                      <w:szCs w:val="24"/>
                    </w:rPr>
                    <w:t xml:space="preserve">): Ar anksčiau įgyvendintos veiklos pasiteisino? Kokie yra įrodymai dėl veiklų įgyvendinimo rezultatų, poveikio ir naudingumo visuomenei (vertinimų išvados, statistiniai duomenys, išlaidų peržiūros duomenys ir pan.)? Kokie buvo sėkmingiausi įgyvendintos priemonės projektai? Ar anksčiau įgyvendintos veiklos ar dalis veiklų gali būti įtrauktos į priemonės alternatyvą?  </w:t>
                  </w:r>
                </w:p>
                <w:p>
                  <w:pPr>
                    <w:tabs>
                      <w:tab w:val="left" w:pos="860"/>
                    </w:tabs>
                    <w:ind w:firstLine="620"/>
                    <w:jc w:val="both"/>
                    <w:rPr>
                      <w:i/>
                      <w:sz w:val="20"/>
                      <w:szCs w:val="24"/>
                    </w:rPr>
                  </w:pPr>
                  <w:r>
                    <w:rPr>
                      <w:i/>
                      <w:sz w:val="20"/>
                      <w:szCs w:val="24"/>
                    </w:rPr>
                    <w:t>- (</w:t>
                  </w:r>
                  <w:r>
                    <w:rPr>
                      <w:i/>
                      <w:sz w:val="20"/>
                      <w:szCs w:val="24"/>
                      <w:u w:val="single"/>
                    </w:rPr>
                    <w:t>Kai svarstomos anksčiau įgyvendintos veiklos</w:t>
                  </w:r>
                  <w:r>
                    <w:rPr>
                      <w:i/>
                      <w:sz w:val="20"/>
                      <w:szCs w:val="24"/>
                    </w:rPr>
                    <w:t>): Ar intervencija buvo pritaikyta pagal teritorinius ypatumus (teritorinius ar regioninius skirtumus) bei kitus demografinius ir socialinius ar ekonominius tikslinių grupių skirtumus? Ar ši informacija gali būti panaudota nustatant alternatyvas?</w:t>
                  </w:r>
                </w:p>
                <w:p>
                  <w:pPr>
                    <w:tabs>
                      <w:tab w:val="left" w:pos="860"/>
                    </w:tabs>
                    <w:ind w:firstLine="567"/>
                    <w:jc w:val="both"/>
                    <w:rPr>
                      <w:i/>
                      <w:sz w:val="20"/>
                      <w:szCs w:val="24"/>
                    </w:rPr>
                  </w:pPr>
                  <w:r>
                    <w:rPr>
                      <w:i/>
                      <w:sz w:val="20"/>
                      <w:szCs w:val="24"/>
                    </w:rPr>
                    <w:t>- (</w:t>
                  </w:r>
                  <w:r>
                    <w:rPr>
                      <w:i/>
                      <w:sz w:val="20"/>
                      <w:szCs w:val="24"/>
                      <w:u w:val="single"/>
                    </w:rPr>
                    <w:t>Kai svarstomos anksčiau įgyvendintos veiklos</w:t>
                  </w:r>
                  <w:r>
                    <w:rPr>
                      <w:i/>
                      <w:sz w:val="20"/>
                      <w:szCs w:val="24"/>
                    </w:rPr>
                    <w:t>): Kokie esminiai pokyčiai įvyko įgyvendinant ankstesnę priemonę bei „ex post“ laikotarpiu (viešosios paslaugos apimčių ir poreikio pokyčiai, projektų vykdytojų veiklos, susijusios su investicijomis, vykdymo ar juridinio statuso pokyčiai, disponavimo turtu ir turto nuosavybės pokyčiai, kt.)? Ar anksčiau įgyvendinta priemonė (veikla) galėtų būti pakeista atsižvelgiant į įvykusius pokyčius ir taip nustatoma alternatyva?</w:t>
                  </w:r>
                </w:p>
                <w:p>
                  <w:pPr>
                    <w:tabs>
                      <w:tab w:val="left" w:pos="860"/>
                    </w:tabs>
                    <w:ind w:firstLine="567"/>
                    <w:jc w:val="both"/>
                    <w:rPr>
                      <w:i/>
                      <w:iCs/>
                      <w:sz w:val="20"/>
                    </w:rPr>
                  </w:pPr>
                  <w:r>
                    <w:rPr>
                      <w:sz w:val="20"/>
                    </w:rPr>
                    <w:t>-</w:t>
                  </w:r>
                  <w:r>
                    <w:tab/>
                  </w:r>
                  <w:r>
                    <w:rPr>
                      <w:i/>
                      <w:iCs/>
                      <w:sz w:val="20"/>
                    </w:rPr>
                    <w:t>Ar galėtų būti nustatyta alternatyva remiantis kitų šalių praktika, moksliniais straipsniais ir (ar) tarptautinių organizacijų rekomendacijomis?</w:t>
                  </w:r>
                </w:p>
                <w:p>
                  <w:pPr>
                    <w:tabs>
                      <w:tab w:val="left" w:pos="860"/>
                    </w:tabs>
                    <w:ind w:firstLine="567"/>
                    <w:jc w:val="both"/>
                    <w:rPr>
                      <w:i/>
                      <w:iCs/>
                      <w:sz w:val="20"/>
                    </w:rPr>
                  </w:pPr>
                  <w:r>
                    <w:rPr>
                      <w:sz w:val="20"/>
                    </w:rPr>
                    <w:t>-</w:t>
                  </w:r>
                  <w:r>
                    <w:tab/>
                  </w:r>
                  <w:r>
                    <w:rPr>
                      <w:i/>
                      <w:iCs/>
                      <w:sz w:val="20"/>
                    </w:rPr>
                    <w:t>Ar viena iš alternatyvų galėtų būti tam tikrų reguliacinių ir komunikacinių veiklų įgyvendinimas be investicinių veiklų arba su minimaliomis investicijomis?</w:t>
                  </w:r>
                </w:p>
                <w:p>
                  <w:pPr>
                    <w:tabs>
                      <w:tab w:val="left" w:pos="860"/>
                    </w:tabs>
                    <w:ind w:firstLine="567"/>
                    <w:jc w:val="both"/>
                    <w:rPr>
                      <w:i/>
                      <w:iCs/>
                      <w:sz w:val="20"/>
                    </w:rPr>
                  </w:pPr>
                  <w:r>
                    <w:rPr>
                      <w:sz w:val="20"/>
                    </w:rPr>
                    <w:t>-</w:t>
                  </w:r>
                  <w:r>
                    <w:tab/>
                  </w:r>
                  <w:r>
                    <w:rPr>
                      <w:i/>
                      <w:iCs/>
                      <w:sz w:val="20"/>
                    </w:rPr>
                    <w:t>Ar viena iš alternatyvų galėtų būti problemos sprendimo perdavimas privačiam sektoriui? Ar problema galėtų būti sprendžiama pritraukiant privačių lėšų? Ar problema galėtų būti sprendžiama pritraukiant nevyriausybinių organizacijų?</w:t>
                  </w:r>
                </w:p>
                <w:p>
                  <w:pPr>
                    <w:tabs>
                      <w:tab w:val="left" w:pos="860"/>
                    </w:tabs>
                    <w:ind w:firstLine="567"/>
                    <w:jc w:val="both"/>
                    <w:rPr>
                      <w:i/>
                      <w:iCs/>
                      <w:sz w:val="20"/>
                    </w:rPr>
                  </w:pPr>
                  <w:r>
                    <w:rPr>
                      <w:sz w:val="20"/>
                    </w:rPr>
                    <w:t>-</w:t>
                  </w:r>
                  <w:r>
                    <w:tab/>
                  </w:r>
                  <w:r>
                    <w:rPr>
                      <w:i/>
                      <w:iCs/>
                      <w:sz w:val="20"/>
                    </w:rPr>
                    <w:t xml:space="preserve">Ar egzistuoja galimybė išplėsti paslaugos teikėjų ar priemonės vykdytojų grupę apmokestinant (iš dalies apmokestinant) paslaugas, siekiant sumažinti naštą viešajam sektoriui? </w:t>
                  </w:r>
                </w:p>
                <w:p>
                  <w:pPr>
                    <w:tabs>
                      <w:tab w:val="left" w:pos="860"/>
                    </w:tabs>
                    <w:ind w:firstLine="567"/>
                    <w:jc w:val="both"/>
                    <w:rPr>
                      <w:i/>
                      <w:sz w:val="20"/>
                      <w:szCs w:val="24"/>
                    </w:rPr>
                  </w:pPr>
                  <w:r>
                    <w:rPr>
                      <w:sz w:val="20"/>
                      <w:szCs w:val="24"/>
                    </w:rPr>
                    <w:t>-</w:t>
                    <w:tab/>
                  </w:r>
                  <w:r>
                    <w:rPr>
                      <w:i/>
                      <w:sz w:val="20"/>
                      <w:szCs w:val="24"/>
                    </w:rPr>
                    <w:t>Ar planuojamos finansuoti veiklos turi potencialo būti finansiškai gyvybingos (duoti grynųjų pajamų arba leisti sutaupyti lėšų)? Ar įgyvendinant priemonę galėtų būti taikomos finansinės priemonės?</w:t>
                  </w:r>
                </w:p>
                <w:p>
                  <w:pPr>
                    <w:tabs>
                      <w:tab w:val="left" w:pos="860"/>
                    </w:tabs>
                    <w:ind w:firstLine="567"/>
                    <w:jc w:val="both"/>
                    <w:rPr>
                      <w:i/>
                      <w:sz w:val="20"/>
                      <w:szCs w:val="24"/>
                    </w:rPr>
                  </w:pPr>
                  <w:r>
                    <w:rPr>
                      <w:sz w:val="20"/>
                      <w:szCs w:val="24"/>
                    </w:rPr>
                    <w:t>-</w:t>
                    <w:tab/>
                  </w:r>
                  <w:r>
                    <w:rPr>
                      <w:i/>
                      <w:sz w:val="20"/>
                      <w:szCs w:val="24"/>
                    </w:rPr>
                    <w:t>Ar viena iš alternatyvų galėtų būti paslaugų teikimo konsolidavimas ar paslaugų teikėjų kooperavimasis?</w:t>
                  </w:r>
                </w:p>
                <w:p>
                  <w:pPr>
                    <w:tabs>
                      <w:tab w:val="left" w:pos="860"/>
                    </w:tabs>
                    <w:ind w:firstLine="567"/>
                    <w:jc w:val="both"/>
                    <w:rPr>
                      <w:i/>
                      <w:sz w:val="20"/>
                      <w:szCs w:val="24"/>
                    </w:rPr>
                  </w:pPr>
                  <w:r>
                    <w:rPr>
                      <w:sz w:val="20"/>
                      <w:szCs w:val="24"/>
                    </w:rPr>
                    <w:t>-</w:t>
                    <w:tab/>
                  </w:r>
                  <w:r>
                    <w:rPr>
                      <w:i/>
                      <w:sz w:val="20"/>
                      <w:szCs w:val="24"/>
                    </w:rPr>
                    <w:t>Kokius problemos sprendimus siūlo socialiniai ir ekonominiai partneriai? Ar remiantis šiais siūlymais galima sukurti alternatyvą?</w:t>
                  </w:r>
                </w:p>
                <w:p>
                  <w:pPr>
                    <w:tabs>
                      <w:tab w:val="left" w:pos="860"/>
                    </w:tabs>
                    <w:ind w:firstLine="567"/>
                    <w:jc w:val="both"/>
                    <w:rPr>
                      <w:i/>
                      <w:sz w:val="20"/>
                      <w:szCs w:val="24"/>
                    </w:rPr>
                  </w:pPr>
                  <w:r>
                    <w:rPr>
                      <w:sz w:val="20"/>
                      <w:szCs w:val="24"/>
                    </w:rPr>
                    <w:t>-</w:t>
                    <w:tab/>
                  </w:r>
                  <w:r>
                    <w:rPr>
                      <w:i/>
                      <w:sz w:val="20"/>
                      <w:szCs w:val="24"/>
                    </w:rPr>
                    <w:t>Kaip atsižvelgta į NPP horizontaliųjų principų įgyvendinimą? Kaip jie bus įgyvendinami pagal toliau nurodytus požymius?</w:t>
                  </w:r>
                </w:p>
                <w:p>
                  <w:pPr>
                    <w:tabs>
                      <w:tab w:val="left" w:pos="598"/>
                    </w:tabs>
                    <w:ind w:firstLine="567"/>
                    <w:jc w:val="both"/>
                    <w:rPr>
                      <w:b/>
                      <w:sz w:val="20"/>
                    </w:rPr>
                  </w:pPr>
                </w:p>
              </w:sdtContent>
            </w:sdt>
            <w:sdt>
              <w:sdtPr>
                <w:alias w:val="poskyris"/>
                <w:tag w:val="part_b233b68013814aacbb68f1e3ee3b059c"/>
                <w:lock w:val="sdtLocked"/>
                <w:richText/>
              </w:sdtPr>
              <w:sdtContent>
                <w:p>
                  <w:pPr>
                    <w:tabs>
                      <w:tab w:val="left" w:pos="598"/>
                    </w:tabs>
                    <w:ind w:firstLine="567"/>
                    <w:jc w:val="both"/>
                    <w:rPr>
                      <w:b/>
                      <w:sz w:val="20"/>
                    </w:rPr>
                  </w:pPr>
                  <w:sdt>
                    <w:sdtPr>
                      <w:alias w:val="Pavadinimas"/>
                      <w:tag w:val="title_b233b68013814aacbb68f1e3ee3b059c"/>
                      <w:lock w:val="sdtLocked"/>
                      <w:richText/>
                    </w:sdtPr>
                    <w:sdtContent>
                      <w:r>
                        <w:rPr>
                          <w:b/>
                          <w:sz w:val="20"/>
                        </w:rPr>
                        <w:t>Alternatyvų palyginimas</w:t>
                      </w:r>
                    </w:sdtContent>
                  </w:sdt>
                </w:p>
                <w:p>
                  <w:pPr>
                    <w:ind w:firstLine="567"/>
                    <w:jc w:val="both"/>
                    <w:rPr>
                      <w:b/>
                      <w:sz w:val="20"/>
                      <w:szCs w:val="24"/>
                      <w:u w:val="single"/>
                    </w:rPr>
                  </w:pPr>
                  <w:r>
                    <w:rPr>
                      <w:sz w:val="20"/>
                      <w:szCs w:val="24"/>
                    </w:rPr>
                    <w:t>Alternatyvų palyginimas atliekamas taikant sąnaudų ir naudos analizę (toliau – SNA) arba sąnaudų veiksmingumo analizę (toliau – SVA) ar kitus su programų portfelio valdytoju suderintus metodus. Kai alternatyvoms palyginti pasirenkama SVA ar kiti metodai, pagrindžiamas metodo pasirinkimas.</w:t>
                  </w:r>
                </w:p>
                <w:p>
                  <w:pPr>
                    <w:ind w:firstLine="567"/>
                    <w:jc w:val="both"/>
                    <w:rPr>
                      <w:bCs/>
                      <w:sz w:val="20"/>
                      <w:szCs w:val="24"/>
                    </w:rPr>
                  </w:pPr>
                  <w:r>
                    <w:rPr>
                      <w:bCs/>
                      <w:sz w:val="20"/>
                      <w:szCs w:val="24"/>
                    </w:rPr>
                    <w:t>Priemonės rengėjas SNA gali pasirinkti visais atvejais, tačiau SVA gali būti taikoma, kai tenkinami visi šie bendrieji kriterijai:</w:t>
                  </w:r>
                </w:p>
                <w:sdt>
                  <w:sdtPr>
                    <w:alias w:val="a pp."/>
                    <w:tag w:val="part_c06ad115063c43759d2ba8e1a6b56d55"/>
                    <w:lock w:val="sdtLocked"/>
                    <w:richText/>
                  </w:sdtPr>
                  <w:sdtContent>
                    <w:p>
                      <w:pPr>
                        <w:tabs>
                          <w:tab w:val="left" w:pos="426"/>
                          <w:tab w:val="left" w:pos="890"/>
                        </w:tabs>
                        <w:ind w:firstLine="567"/>
                        <w:jc w:val="both"/>
                        <w:rPr>
                          <w:bCs/>
                          <w:sz w:val="20"/>
                          <w:szCs w:val="24"/>
                        </w:rPr>
                      </w:pPr>
                      <w:sdt>
                        <w:sdtPr>
                          <w:alias w:val="Numeris"/>
                          <w:tag w:val="nr_c06ad115063c43759d2ba8e1a6b56d55"/>
                          <w:lock w:val="sdtLocked"/>
                          <w:richText/>
                        </w:sdtPr>
                        <w:sdtContent>
                          <w:r>
                            <w:rPr>
                              <w:bCs/>
                              <w:sz w:val="20"/>
                              <w:szCs w:val="24"/>
                            </w:rPr>
                            <w:t>a</w:t>
                          </w:r>
                        </w:sdtContent>
                      </w:sdt>
                      <w:r>
                        <w:rPr>
                          <w:bCs/>
                          <w:sz w:val="20"/>
                          <w:szCs w:val="24"/>
                        </w:rPr>
                        <w:t>)</w:t>
                        <w:tab/>
                        <w:t>visomis alternatyvomis siekiama tų pačių homogeniškų rezultatų rodiklių;</w:t>
                      </w:r>
                    </w:p>
                  </w:sdtContent>
                </w:sdt>
                <w:sdt>
                  <w:sdtPr>
                    <w:alias w:val="b pp."/>
                    <w:tag w:val="part_ad84d0aca6b64227a8fe9c7458a6a189"/>
                    <w:lock w:val="sdtLocked"/>
                    <w:richText/>
                  </w:sdtPr>
                  <w:sdtContent>
                    <w:p>
                      <w:pPr>
                        <w:tabs>
                          <w:tab w:val="left" w:pos="426"/>
                          <w:tab w:val="left" w:pos="890"/>
                        </w:tabs>
                        <w:ind w:firstLine="567"/>
                        <w:jc w:val="both"/>
                        <w:rPr>
                          <w:bCs/>
                          <w:sz w:val="20"/>
                          <w:szCs w:val="24"/>
                        </w:rPr>
                      </w:pPr>
                      <w:sdt>
                        <w:sdtPr>
                          <w:alias w:val="Numeris"/>
                          <w:tag w:val="nr_ad84d0aca6b64227a8fe9c7458a6a189"/>
                          <w:lock w:val="sdtLocked"/>
                          <w:richText/>
                        </w:sdtPr>
                        <w:sdtContent>
                          <w:r>
                            <w:rPr>
                              <w:bCs/>
                              <w:sz w:val="20"/>
                              <w:szCs w:val="24"/>
                            </w:rPr>
                            <w:t>b</w:t>
                          </w:r>
                        </w:sdtContent>
                      </w:sdt>
                      <w:r>
                        <w:rPr>
                          <w:bCs/>
                          <w:sz w:val="20"/>
                          <w:szCs w:val="24"/>
                        </w:rPr>
                        <w:t>)</w:t>
                        <w:tab/>
                        <w:t>siekiami rezultatai yra tokie svarbūs, kad nėra abejonių dėl jų naudos ir poreikio (būtinybės) juos pasiekti;</w:t>
                      </w:r>
                    </w:p>
                  </w:sdtContent>
                </w:sdt>
                <w:sdt>
                  <w:sdtPr>
                    <w:alias w:val="c pp."/>
                    <w:tag w:val="part_f0bfa8adfa45427b800d6379c92beae4"/>
                    <w:lock w:val="sdtLocked"/>
                    <w:richText/>
                  </w:sdtPr>
                  <w:sdtContent>
                    <w:p>
                      <w:pPr>
                        <w:tabs>
                          <w:tab w:val="left" w:pos="426"/>
                          <w:tab w:val="left" w:pos="890"/>
                        </w:tabs>
                        <w:ind w:firstLine="567"/>
                        <w:jc w:val="both"/>
                        <w:rPr>
                          <w:bCs/>
                          <w:sz w:val="20"/>
                          <w:szCs w:val="24"/>
                        </w:rPr>
                      </w:pPr>
                      <w:sdt>
                        <w:sdtPr>
                          <w:alias w:val="Numeris"/>
                          <w:tag w:val="nr_f0bfa8adfa45427b800d6379c92beae4"/>
                          <w:lock w:val="sdtLocked"/>
                          <w:richText/>
                        </w:sdtPr>
                        <w:sdtContent>
                          <w:r>
                            <w:rPr>
                              <w:bCs/>
                              <w:sz w:val="20"/>
                              <w:szCs w:val="24"/>
                            </w:rPr>
                            <w:t>c</w:t>
                          </w:r>
                        </w:sdtContent>
                      </w:sdt>
                      <w:r>
                        <w:rPr>
                          <w:bCs/>
                          <w:sz w:val="20"/>
                          <w:szCs w:val="24"/>
                        </w:rPr>
                        <w:t>)</w:t>
                        <w:tab/>
                        <w:t xml:space="preserve">priemonės esmė yra didinti efektyvumą, t. y. gerinti sąnaudų ir siekiamų rezultatų santykį. Taigi įgyvendinant priemonę pirmiausia efektyviau panaudojami valstybės finansiniai ištekliai, o paslaugos ar infrastruktūros prieinamumo padidėjimas gali atsirasti tik kaip geresnio lėšų panaudojimo padarinys. Šiuo atveju kokybiniai pokyčiai gali pasireikšti tik dėl natūralios technologinės kaitos; </w:t>
                      </w:r>
                    </w:p>
                  </w:sdtContent>
                </w:sdt>
                <w:sdt>
                  <w:sdtPr>
                    <w:alias w:val="d pp."/>
                    <w:tag w:val="part_2753bf17f4c0428d9b23b5573eea913b"/>
                    <w:lock w:val="sdtLocked"/>
                    <w:richText/>
                  </w:sdtPr>
                  <w:sdtContent>
                    <w:p>
                      <w:pPr>
                        <w:tabs>
                          <w:tab w:val="left" w:pos="426"/>
                          <w:tab w:val="left" w:pos="890"/>
                        </w:tabs>
                        <w:ind w:firstLine="567"/>
                        <w:jc w:val="both"/>
                        <w:rPr>
                          <w:bCs/>
                          <w:sz w:val="20"/>
                          <w:szCs w:val="24"/>
                        </w:rPr>
                      </w:pPr>
                      <w:sdt>
                        <w:sdtPr>
                          <w:alias w:val="Numeris"/>
                          <w:tag w:val="nr_2753bf17f4c0428d9b23b5573eea913b"/>
                          <w:lock w:val="sdtLocked"/>
                          <w:richText/>
                        </w:sdtPr>
                        <w:sdtContent>
                          <w:r>
                            <w:rPr>
                              <w:bCs/>
                              <w:sz w:val="20"/>
                              <w:szCs w:val="24"/>
                            </w:rPr>
                            <w:t>d</w:t>
                          </w:r>
                        </w:sdtContent>
                      </w:sdt>
                      <w:r>
                        <w:rPr>
                          <w:bCs/>
                          <w:sz w:val="20"/>
                          <w:szCs w:val="24"/>
                        </w:rPr>
                        <w:t>)</w:t>
                        <w:tab/>
                        <w:t xml:space="preserve">priemonės alternatyvose nėra sąnaudų elementų, kurių nebūtų galima įvertinti, o paslėptos sąnaudos (jei tokių vis dėlto galėtų būti) nedidelės ir nereikšmingos; </w:t>
                      </w:r>
                    </w:p>
                  </w:sdtContent>
                </w:sdt>
                <w:sdt>
                  <w:sdtPr>
                    <w:alias w:val="e pp."/>
                    <w:tag w:val="part_439fa939a01a432cb1967648090e3b13"/>
                    <w:lock w:val="sdtLocked"/>
                    <w:richText/>
                  </w:sdtPr>
                  <w:sdtContent>
                    <w:p>
                      <w:pPr>
                        <w:tabs>
                          <w:tab w:val="left" w:pos="426"/>
                          <w:tab w:val="left" w:pos="890"/>
                        </w:tabs>
                        <w:ind w:firstLine="567"/>
                        <w:jc w:val="both"/>
                        <w:rPr>
                          <w:bCs/>
                          <w:sz w:val="20"/>
                          <w:szCs w:val="24"/>
                        </w:rPr>
                      </w:pPr>
                      <w:sdt>
                        <w:sdtPr>
                          <w:alias w:val="Numeris"/>
                          <w:tag w:val="nr_439fa939a01a432cb1967648090e3b13"/>
                          <w:lock w:val="sdtLocked"/>
                          <w:richText/>
                        </w:sdtPr>
                        <w:sdtContent>
                          <w:r>
                            <w:rPr>
                              <w:bCs/>
                              <w:sz w:val="20"/>
                              <w:szCs w:val="24"/>
                            </w:rPr>
                            <w:t>e</w:t>
                          </w:r>
                        </w:sdtContent>
                      </w:sdt>
                      <w:r>
                        <w:rPr>
                          <w:bCs/>
                          <w:sz w:val="20"/>
                          <w:szCs w:val="24"/>
                        </w:rPr>
                        <w:t>)</w:t>
                        <w:tab/>
                        <w:t>alternatyvos nepasižymi skirtingu išoriniu poveikiu arba skirtumai tarp jų nereikšmingi.</w:t>
                      </w:r>
                    </w:p>
                    <w:p>
                      <w:pPr>
                        <w:ind w:firstLine="567"/>
                        <w:jc w:val="both"/>
                        <w:rPr>
                          <w:bCs/>
                          <w:sz w:val="20"/>
                          <w:szCs w:val="24"/>
                        </w:rPr>
                      </w:pPr>
                      <w:r>
                        <w:rPr>
                          <w:bCs/>
                          <w:sz w:val="20"/>
                          <w:szCs w:val="24"/>
                        </w:rPr>
                        <w:t>SVA išimtinai gali būti (bet neprivalo) taikoma ir tokiu atveju, kai veiksmų įgyvendinimas yra privalomas dėl Europos Sąjungos direktyvų reikalavimų ar tarptautinių įsipareigojimų (pvz., NATO, Šengeno sutarties) ir pagal šiuos reikalavimus ar įsipareigojimus būtini konkretūs veiksmai ir rezultatai. Išimtis taikyti SVA galima ir tokiu atveju, kai tai suderinta su programų portfelio valdytoju, jam pateikus tokio siūlymo pagrindimą.</w:t>
                      </w:r>
                    </w:p>
                    <w:p>
                      <w:pPr>
                        <w:ind w:firstLine="567"/>
                        <w:jc w:val="both"/>
                        <w:rPr>
                          <w:sz w:val="20"/>
                          <w:szCs w:val="24"/>
                        </w:rPr>
                      </w:pPr>
                      <w:r>
                        <w:rPr>
                          <w:sz w:val="20"/>
                          <w:szCs w:val="24"/>
                        </w:rPr>
                        <w:t>Alternatyvų palyginimas atliekamas naudojant skaičiuoklę</w:t>
                      </w:r>
                      <w:r>
                        <w:rPr>
                          <w:sz w:val="20"/>
                          <w:szCs w:val="24"/>
                          <w:vertAlign w:val="superscript"/>
                        </w:rPr>
                        <w:t xml:space="preserve"> </w:t>
                      </w:r>
                      <w:r>
                        <w:rPr>
                          <w:sz w:val="20"/>
                          <w:szCs w:val="24"/>
                        </w:rPr>
                        <w:t xml:space="preserve">(skaičiuoklė skelbiama interneto svetainėje adresu: </w:t>
                      </w:r>
                      <w:r>
                        <w:rPr>
                          <w:i/>
                          <w:color w:val="0000FF"/>
                          <w:sz w:val="20"/>
                          <w:szCs w:val="24"/>
                          <w:u w:val="single"/>
                        </w:rPr>
                        <w:t>https://www.ppplietuva.lt/lt/docview/?file=%2Fdocuments%2Ffiles%2FPriemoniu+skaiciuokle_v1_0_20210211.xlsm</w:t>
                      </w:r>
                      <w:r>
                        <w:rPr>
                          <w:sz w:val="20"/>
                          <w:szCs w:val="24"/>
                        </w:rPr>
                        <w:t xml:space="preserve">). Jeigu pasirinkta SNA, pagrindžiamas ekonominės naudos komponentų pasirinkimas ir skaičiavimai, kurie turi būti atlikti naudojant skaičiuoklę. Skaičiuoklė naudojama ir tuo atveju, kai nagrinėjamas tik vienas veiklų rinkinys. </w:t>
                      </w:r>
                    </w:p>
                    <w:p>
                      <w:pPr>
                        <w:ind w:firstLine="567"/>
                        <w:jc w:val="both"/>
                        <w:rPr>
                          <w:sz w:val="20"/>
                          <w:szCs w:val="24"/>
                        </w:rPr>
                      </w:pPr>
                      <w:r>
                        <w:rPr>
                          <w:sz w:val="20"/>
                          <w:szCs w:val="24"/>
                        </w:rPr>
                        <w:t>Naudojant skaičiuoklę apskaičiuojamos ir nurodomos kiekvienos alternatyvos palyginamųjų rodiklių reikšmės:</w:t>
                      </w:r>
                    </w:p>
                    <w:p>
                      <w:pPr>
                        <w:tabs>
                          <w:tab w:val="left" w:pos="426"/>
                          <w:tab w:val="left" w:pos="851"/>
                        </w:tabs>
                        <w:ind w:firstLine="567"/>
                        <w:jc w:val="both"/>
                        <w:rPr>
                          <w:sz w:val="20"/>
                          <w:szCs w:val="24"/>
                        </w:rPr>
                      </w:pPr>
                      <w:r>
                        <w:rPr>
                          <w:sz w:val="20"/>
                          <w:szCs w:val="24"/>
                        </w:rPr>
                        <w:t>‐</w:t>
                        <w:tab/>
                        <w:t>ekonominės naudos ir išlaidų santykis (taikant SNA);</w:t>
                      </w:r>
                    </w:p>
                    <w:p>
                      <w:pPr>
                        <w:tabs>
                          <w:tab w:val="left" w:pos="426"/>
                          <w:tab w:val="left" w:pos="851"/>
                        </w:tabs>
                        <w:ind w:firstLine="567"/>
                        <w:jc w:val="both"/>
                        <w:rPr>
                          <w:sz w:val="20"/>
                          <w:szCs w:val="24"/>
                        </w:rPr>
                      </w:pPr>
                      <w:r>
                        <w:rPr>
                          <w:sz w:val="20"/>
                          <w:szCs w:val="24"/>
                        </w:rPr>
                        <w:t>‐</w:t>
                        <w:tab/>
                        <w:t>santykinis rodiklis (taikant SVA);</w:t>
                      </w:r>
                    </w:p>
                    <w:p>
                      <w:pPr>
                        <w:tabs>
                          <w:tab w:val="left" w:pos="376"/>
                          <w:tab w:val="left" w:pos="851"/>
                        </w:tabs>
                        <w:ind w:firstLine="567"/>
                        <w:jc w:val="both"/>
                        <w:rPr>
                          <w:sz w:val="20"/>
                          <w:szCs w:val="24"/>
                        </w:rPr>
                      </w:pPr>
                      <w:r>
                        <w:rPr>
                          <w:sz w:val="20"/>
                          <w:szCs w:val="24"/>
                        </w:rPr>
                        <w:t>‐</w:t>
                        <w:tab/>
                        <w:t>daugiakriterės analizės rodiklis (taikant daugiakriterę analizę).</w:t>
                      </w:r>
                    </w:p>
                    <w:p>
                      <w:pPr>
                        <w:ind w:firstLine="567"/>
                        <w:jc w:val="both"/>
                        <w:rPr>
                          <w:sz w:val="20"/>
                          <w:szCs w:val="24"/>
                        </w:rPr>
                      </w:pPr>
                      <w:r>
                        <w:rPr>
                          <w:sz w:val="20"/>
                          <w:szCs w:val="24"/>
                        </w:rPr>
                        <w:t>Nurodoma, kuri alternatyva visuomenei naudingiausia, remiantis alternatyvų palyginamųjų rodiklių reikšmėmis ir atsižvelgiant į jos poveikį viešiesiems finansams.</w:t>
                      </w:r>
                    </w:p>
                    <w:p>
                      <w:pPr>
                        <w:ind w:firstLine="567"/>
                        <w:jc w:val="both"/>
                        <w:rPr>
                          <w:sz w:val="20"/>
                          <w:szCs w:val="24"/>
                        </w:rPr>
                      </w:pPr>
                      <w:r>
                        <w:rPr>
                          <w:sz w:val="20"/>
                          <w:szCs w:val="24"/>
                        </w:rPr>
                        <w:t xml:space="preserve">Naudojant skaičiuoklę nustatomas naudingiausios alternatyvos poveikis viešiesiems finansams. Nurodoma, iš kokių šaltinių įgyvendinus priemonę bus finansuojamos padidėjusios išlaidos (jei išlaidos padidėja). </w:t>
                      </w:r>
                    </w:p>
                    <w:p>
                      <w:pPr>
                        <w:spacing w:line="120" w:lineRule="auto"/>
                      </w:pPr>
                    </w:p>
                    <w:p/>
                  </w:sdtContent>
                </w:sdt>
              </w:sdtContent>
            </w:sdt>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pgMar w:top="720" w:right="720" w:bottom="720" w:left="720"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color w:val="2B579A"/>
        <w:sz w:val="22"/>
        <w:szCs w:val="22"/>
        <w:shd w:val="clear" w:color="auto" w:fill="E6E6E6"/>
      </w:rPr>
      <w:fldChar w:fldCharType="begin"/>
    </w:r>
    <w:r>
      <w:rPr>
        <w:sz w:val="22"/>
        <w:szCs w:val="22"/>
      </w:rPr>
      <w:instrText>PAGE   \* MERGEFORMAT</w:instrText>
    </w:r>
    <w:r>
      <w:rPr>
        <w:color w:val="2B579A"/>
        <w:sz w:val="22"/>
        <w:szCs w:val="22"/>
        <w:shd w:val="clear" w:color="auto" w:fill="E6E6E6"/>
      </w:rPr>
      <w:fldChar w:fldCharType="separate"/>
    </w:r>
    <w:r>
      <w:rPr>
        <w:sz w:val="22"/>
        <w:szCs w:val="22"/>
      </w:rPr>
      <w:t>7</w:t>
    </w:r>
    <w:r>
      <w:rPr>
        <w:color w:val="2B579A"/>
        <w:sz w:val="22"/>
        <w:szCs w:val="22"/>
        <w:shd w:val="clear" w:color="auto" w:fill="E6E6E6"/>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5BD"/>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54E3A4EE-740F-49CA-8043-0A3AF95D641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82641113">
      <w:bodyDiv w:val="1"/>
      <w:marLeft w:val="0"/>
      <w:marRight w:val="0"/>
      <w:marTop w:val="0"/>
      <w:marBottom w:val="0"/>
      <w:divBdr>
        <w:top w:val="none" w:sz="0" w:space="0" w:color="auto"/>
        <w:left w:val="none" w:sz="0" w:space="0" w:color="auto"/>
        <w:bottom w:val="none" w:sz="0" w:space="0" w:color="auto"/>
        <w:right w:val="none" w:sz="0" w:space="0" w:color="auto"/>
      </w:divBdr>
      <w:divsChild>
        <w:div w:id="768886945">
          <w:marLeft w:val="0"/>
          <w:marRight w:val="0"/>
          <w:marTop w:val="0"/>
          <w:marBottom w:val="0"/>
          <w:divBdr>
            <w:top w:val="none" w:sz="0" w:space="0" w:color="auto"/>
            <w:left w:val="none" w:sz="0" w:space="0" w:color="auto"/>
            <w:bottom w:val="none" w:sz="0" w:space="0" w:color="auto"/>
            <w:right w:val="none" w:sz="0" w:space="0" w:color="auto"/>
          </w:divBdr>
        </w:div>
        <w:div w:id="1566136359">
          <w:marLeft w:val="0"/>
          <w:marRight w:val="0"/>
          <w:marTop w:val="0"/>
          <w:marBottom w:val="0"/>
          <w:divBdr>
            <w:top w:val="none" w:sz="0" w:space="0" w:color="auto"/>
            <w:left w:val="none" w:sz="0" w:space="0" w:color="auto"/>
            <w:bottom w:val="none" w:sz="0" w:space="0" w:color="auto"/>
            <w:right w:val="none" w:sz="0" w:space="0" w:color="auto"/>
          </w:divBdr>
        </w:div>
        <w:div w:id="1702971791">
          <w:marLeft w:val="0"/>
          <w:marRight w:val="0"/>
          <w:marTop w:val="0"/>
          <w:marBottom w:val="0"/>
          <w:divBdr>
            <w:top w:val="none" w:sz="0" w:space="0" w:color="auto"/>
            <w:left w:val="none" w:sz="0" w:space="0" w:color="auto"/>
            <w:bottom w:val="none" w:sz="0" w:space="0" w:color="auto"/>
            <w:right w:val="none" w:sz="0" w:space="0" w:color="auto"/>
          </w:divBdr>
        </w:div>
      </w:divsChild>
    </w:div>
    <w:div w:id="974793355">
      <w:bodyDiv w:val="1"/>
      <w:marLeft w:val="0"/>
      <w:marRight w:val="0"/>
      <w:marTop w:val="0"/>
      <w:marBottom w:val="0"/>
      <w:divBdr>
        <w:top w:val="none" w:sz="0" w:space="0" w:color="auto"/>
        <w:left w:val="none" w:sz="0" w:space="0" w:color="auto"/>
        <w:bottom w:val="none" w:sz="0" w:space="0" w:color="auto"/>
        <w:right w:val="none" w:sz="0" w:space="0" w:color="auto"/>
      </w:divBdr>
      <w:divsChild>
        <w:div w:id="1086071502">
          <w:marLeft w:val="0"/>
          <w:marRight w:val="0"/>
          <w:marTop w:val="0"/>
          <w:marBottom w:val="0"/>
          <w:divBdr>
            <w:top w:val="none" w:sz="0" w:space="0" w:color="auto"/>
            <w:left w:val="none" w:sz="0" w:space="0" w:color="auto"/>
            <w:bottom w:val="none" w:sz="0" w:space="0" w:color="auto"/>
            <w:right w:val="none" w:sz="0" w:space="0" w:color="auto"/>
          </w:divBdr>
        </w:div>
      </w:divsChild>
    </w:div>
    <w:div w:id="1111360381">
      <w:bodyDiv w:val="1"/>
      <w:marLeft w:val="0"/>
      <w:marRight w:val="0"/>
      <w:marTop w:val="0"/>
      <w:marBottom w:val="0"/>
      <w:divBdr>
        <w:top w:val="none" w:sz="0" w:space="0" w:color="auto"/>
        <w:left w:val="none" w:sz="0" w:space="0" w:color="auto"/>
        <w:bottom w:val="none" w:sz="0" w:space="0" w:color="auto"/>
        <w:right w:val="none" w:sz="0" w:space="0" w:color="auto"/>
      </w:divBdr>
      <w:divsChild>
        <w:div w:id="1316884366">
          <w:marLeft w:val="0"/>
          <w:marRight w:val="0"/>
          <w:marTop w:val="0"/>
          <w:marBottom w:val="0"/>
          <w:divBdr>
            <w:top w:val="none" w:sz="0" w:space="0" w:color="auto"/>
            <w:left w:val="none" w:sz="0" w:space="0" w:color="auto"/>
            <w:bottom w:val="none" w:sz="0" w:space="0" w:color="auto"/>
            <w:right w:val="none" w:sz="0" w:space="0" w:color="auto"/>
          </w:divBdr>
        </w:div>
      </w:divsChild>
    </w:div>
    <w:div w:id="1911184437">
      <w:bodyDiv w:val="1"/>
      <w:marLeft w:val="0"/>
      <w:marRight w:val="0"/>
      <w:marTop w:val="0"/>
      <w:marBottom w:val="0"/>
      <w:divBdr>
        <w:top w:val="none" w:sz="0" w:space="0" w:color="auto"/>
        <w:left w:val="none" w:sz="0" w:space="0" w:color="auto"/>
        <w:bottom w:val="none" w:sz="0" w:space="0" w:color="auto"/>
        <w:right w:val="none" w:sz="0" w:space="0" w:color="auto"/>
      </w:divBdr>
      <w:divsChild>
        <w:div w:id="124272947">
          <w:marLeft w:val="0"/>
          <w:marRight w:val="0"/>
          <w:marTop w:val="0"/>
          <w:marBottom w:val="0"/>
          <w:divBdr>
            <w:top w:val="none" w:sz="0" w:space="0" w:color="auto"/>
            <w:left w:val="none" w:sz="0" w:space="0" w:color="auto"/>
            <w:bottom w:val="none" w:sz="0" w:space="0" w:color="auto"/>
            <w:right w:val="none" w:sz="0" w:space="0" w:color="auto"/>
          </w:divBdr>
        </w:div>
        <w:div w:id="186990825">
          <w:marLeft w:val="0"/>
          <w:marRight w:val="0"/>
          <w:marTop w:val="0"/>
          <w:marBottom w:val="0"/>
          <w:divBdr>
            <w:top w:val="none" w:sz="0" w:space="0" w:color="auto"/>
            <w:left w:val="none" w:sz="0" w:space="0" w:color="auto"/>
            <w:bottom w:val="none" w:sz="0" w:space="0" w:color="auto"/>
            <w:right w:val="none" w:sz="0" w:space="0" w:color="auto"/>
          </w:divBdr>
        </w:div>
        <w:div w:id="614409770">
          <w:marLeft w:val="0"/>
          <w:marRight w:val="0"/>
          <w:marTop w:val="0"/>
          <w:marBottom w:val="0"/>
          <w:divBdr>
            <w:top w:val="none" w:sz="0" w:space="0" w:color="auto"/>
            <w:left w:val="none" w:sz="0" w:space="0" w:color="auto"/>
            <w:bottom w:val="none" w:sz="0" w:space="0" w:color="auto"/>
            <w:right w:val="none" w:sz="0" w:space="0" w:color="auto"/>
          </w:divBdr>
        </w:div>
        <w:div w:id="673996789">
          <w:marLeft w:val="0"/>
          <w:marRight w:val="0"/>
          <w:marTop w:val="0"/>
          <w:marBottom w:val="0"/>
          <w:divBdr>
            <w:top w:val="none" w:sz="0" w:space="0" w:color="auto"/>
            <w:left w:val="none" w:sz="0" w:space="0" w:color="auto"/>
            <w:bottom w:val="none" w:sz="0" w:space="0" w:color="auto"/>
            <w:right w:val="none" w:sz="0" w:space="0" w:color="auto"/>
          </w:divBdr>
        </w:div>
        <w:div w:id="787045434">
          <w:marLeft w:val="0"/>
          <w:marRight w:val="0"/>
          <w:marTop w:val="0"/>
          <w:marBottom w:val="0"/>
          <w:divBdr>
            <w:top w:val="none" w:sz="0" w:space="0" w:color="auto"/>
            <w:left w:val="none" w:sz="0" w:space="0" w:color="auto"/>
            <w:bottom w:val="none" w:sz="0" w:space="0" w:color="auto"/>
            <w:right w:val="none" w:sz="0" w:space="0" w:color="auto"/>
          </w:divBdr>
        </w:div>
        <w:div w:id="1089423036">
          <w:marLeft w:val="0"/>
          <w:marRight w:val="0"/>
          <w:marTop w:val="0"/>
          <w:marBottom w:val="0"/>
          <w:divBdr>
            <w:top w:val="none" w:sz="0" w:space="0" w:color="auto"/>
            <w:left w:val="none" w:sz="0" w:space="0" w:color="auto"/>
            <w:bottom w:val="none" w:sz="0" w:space="0" w:color="auto"/>
            <w:right w:val="none" w:sz="0" w:space="0" w:color="auto"/>
          </w:divBdr>
        </w:div>
        <w:div w:id="1166628639">
          <w:marLeft w:val="0"/>
          <w:marRight w:val="0"/>
          <w:marTop w:val="0"/>
          <w:marBottom w:val="0"/>
          <w:divBdr>
            <w:top w:val="none" w:sz="0" w:space="0" w:color="auto"/>
            <w:left w:val="none" w:sz="0" w:space="0" w:color="auto"/>
            <w:bottom w:val="none" w:sz="0" w:space="0" w:color="auto"/>
            <w:right w:val="none" w:sz="0" w:space="0" w:color="auto"/>
          </w:divBdr>
        </w:div>
        <w:div w:id="1224215798">
          <w:marLeft w:val="0"/>
          <w:marRight w:val="0"/>
          <w:marTop w:val="0"/>
          <w:marBottom w:val="0"/>
          <w:divBdr>
            <w:top w:val="none" w:sz="0" w:space="0" w:color="auto"/>
            <w:left w:val="none" w:sz="0" w:space="0" w:color="auto"/>
            <w:bottom w:val="none" w:sz="0" w:space="0" w:color="auto"/>
            <w:right w:val="none" w:sz="0" w:space="0" w:color="auto"/>
          </w:divBdr>
        </w:div>
        <w:div w:id="1406339953">
          <w:marLeft w:val="0"/>
          <w:marRight w:val="0"/>
          <w:marTop w:val="0"/>
          <w:marBottom w:val="0"/>
          <w:divBdr>
            <w:top w:val="none" w:sz="0" w:space="0" w:color="auto"/>
            <w:left w:val="none" w:sz="0" w:space="0" w:color="auto"/>
            <w:bottom w:val="none" w:sz="0" w:space="0" w:color="auto"/>
            <w:right w:val="none" w:sz="0" w:space="0" w:color="auto"/>
          </w:divBdr>
        </w:div>
        <w:div w:id="1446731144">
          <w:marLeft w:val="0"/>
          <w:marRight w:val="0"/>
          <w:marTop w:val="0"/>
          <w:marBottom w:val="0"/>
          <w:divBdr>
            <w:top w:val="none" w:sz="0" w:space="0" w:color="auto"/>
            <w:left w:val="none" w:sz="0" w:space="0" w:color="auto"/>
            <w:bottom w:val="none" w:sz="0" w:space="0" w:color="auto"/>
            <w:right w:val="none" w:sz="0" w:space="0" w:color="auto"/>
          </w:divBdr>
        </w:div>
        <w:div w:id="1575816299">
          <w:marLeft w:val="0"/>
          <w:marRight w:val="0"/>
          <w:marTop w:val="0"/>
          <w:marBottom w:val="0"/>
          <w:divBdr>
            <w:top w:val="none" w:sz="0" w:space="0" w:color="auto"/>
            <w:left w:val="none" w:sz="0" w:space="0" w:color="auto"/>
            <w:bottom w:val="none" w:sz="0" w:space="0" w:color="auto"/>
            <w:right w:val="none" w:sz="0" w:space="0" w:color="auto"/>
          </w:divBdr>
        </w:div>
        <w:div w:id="1583488789">
          <w:marLeft w:val="0"/>
          <w:marRight w:val="0"/>
          <w:marTop w:val="0"/>
          <w:marBottom w:val="0"/>
          <w:divBdr>
            <w:top w:val="none" w:sz="0" w:space="0" w:color="auto"/>
            <w:left w:val="none" w:sz="0" w:space="0" w:color="auto"/>
            <w:bottom w:val="none" w:sz="0" w:space="0" w:color="auto"/>
            <w:right w:val="none" w:sz="0" w:space="0" w:color="auto"/>
          </w:divBdr>
        </w:div>
        <w:div w:id="1590852188">
          <w:marLeft w:val="0"/>
          <w:marRight w:val="0"/>
          <w:marTop w:val="0"/>
          <w:marBottom w:val="0"/>
          <w:divBdr>
            <w:top w:val="none" w:sz="0" w:space="0" w:color="auto"/>
            <w:left w:val="none" w:sz="0" w:space="0" w:color="auto"/>
            <w:bottom w:val="none" w:sz="0" w:space="0" w:color="auto"/>
            <w:right w:val="none" w:sz="0" w:space="0" w:color="auto"/>
          </w:divBdr>
        </w:div>
        <w:div w:id="1631394632">
          <w:marLeft w:val="0"/>
          <w:marRight w:val="0"/>
          <w:marTop w:val="0"/>
          <w:marBottom w:val="0"/>
          <w:divBdr>
            <w:top w:val="none" w:sz="0" w:space="0" w:color="auto"/>
            <w:left w:val="none" w:sz="0" w:space="0" w:color="auto"/>
            <w:bottom w:val="none" w:sz="0" w:space="0" w:color="auto"/>
            <w:right w:val="none" w:sz="0" w:space="0" w:color="auto"/>
          </w:divBdr>
        </w:div>
        <w:div w:id="1648633645">
          <w:marLeft w:val="0"/>
          <w:marRight w:val="0"/>
          <w:marTop w:val="0"/>
          <w:marBottom w:val="0"/>
          <w:divBdr>
            <w:top w:val="none" w:sz="0" w:space="0" w:color="auto"/>
            <w:left w:val="none" w:sz="0" w:space="0" w:color="auto"/>
            <w:bottom w:val="none" w:sz="0" w:space="0" w:color="auto"/>
            <w:right w:val="none" w:sz="0" w:space="0" w:color="auto"/>
          </w:divBdr>
        </w:div>
        <w:div w:id="19062596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3" ma:contentTypeDescription="Create a new document." ma:contentTypeScope="" ma:versionID="1861a30ab98678bb43709c19570b3593">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65477438a8dcf7bc50766488f89f6180"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bf800c8bb0794c24a25e64ca97d33fa5" PartId="9684cf5d320244c3a50b41f5544ead3f">
    <Part Type="skyrius" Nr="1" Title="BENDROSIOS NUOSTATOS" DocPartId="3674a685a58f4aa583a1aa5299011447" PartId="f3602c7dd99743289e38dea0d23af2fa">
      <Part Type="poskyris" Title="Paaiškinimai:" DocPartId="54b6d217772945e794b2ce8ffaa93c23" PartId="cacebcae7b9841ee85548bee9c12feaf">
        <Part Type="punktas" Nr="1" Abbr="1 p." DocPartId="91ff8b034ff44912a55a8f97cd16a416" PartId="b9a9d448524b482eaec31065edefb52b"/>
        <Part Type="punktas" Nr="2" Abbr="2 p." DocPartId="0922ae483676483cafb11a83678b6003" PartId="36c3d61599254b429bd7d513efbe7e5f"/>
        <Part Type="punktas" Nr="3" Abbr="3 p." DocPartId="5805522175824d9297ac6df0bf78b6b9" PartId="557c12a1d00341a9b8544dd277d513d6"/>
      </Part>
    </Part>
    <Part Type="skyrius" Nr="2" Title="SIEKIAMAS POKYTIS" DocPartId="3656d185bd18492b962fb851954a449b" PartId="6cf7954b71f444859a6033853a5d4958">
      <Part Type="lentele" Nr="3" Title="ALTERNATYVŲ ANALIZĖ" Notes="Numeris ne iš eilės. Trūksta dalių? [DocDalys]" DocPartId="ff24271e06b246349c586eb8da080718" PartId="853655b3559544ffa048be7d1718b396"/>
      <Part Type="lentele" DocPartId="477a8f569b614385b96fb965791ffb3b" PartId="147129854f6c4206ba4e9a8430b3a385"/>
      <Part Type="poskyris" Title="Paaiškinimai:" DocPartId="1a96c751437345449e78842baffc5eff" PartId="e83a301343954f44aa22d08d91e28c9d"/>
      <Part Type="poskyris" Title="Alternatyvų nustatymas" DocPartId="c7f9cb3ab89343e2ab160a37fd8616e6" PartId="bf77060841514729a97fc7c8cfb6c752"/>
      <Part Type="poskyris" Title="Alternatyvų palyginimas" DocPartId="07faa1f5cd384b6d912c1e1064cd7dc6" PartId="b233b68013814aacbb68f1e3ee3b059c">
        <Part Type="strPapunktis" Nr="a" Abbr="a pp." DocPartId="3b0acc0af7b8465ea1a318642482d1b5" PartId="c06ad115063c43759d2ba8e1a6b56d55"/>
        <Part Type="strPapunktis" Nr="b" Abbr="b pp." DocPartId="bf1637368cc84d809a8627e462ca2684" PartId="ad84d0aca6b64227a8fe9c7458a6a189"/>
        <Part Type="strPapunktis" Nr="c" Abbr="c pp." DocPartId="6c5cc5abde054a65b6a6c307b9f2b166" PartId="f0bfa8adfa45427b800d6379c92beae4"/>
        <Part Type="strPapunktis" Nr="d" Abbr="d pp." DocPartId="07363118a2944f02818419dad7dbd7d9" PartId="2753bf17f4c0428d9b23b5573eea913b"/>
        <Part Type="strPapunktis" Nr="e" Abbr="e pp." DocPartId="b8e8c94f35944f68847daaa137838f37" PartId="439fa939a01a432cb1967648090e3b13"/>
      </Part>
    </Part>
  </Part>
</Parts>
</file>

<file path=customXml/itemProps1.xml><?xml version="1.0" encoding="utf-8"?>
<ds:datastoreItem xmlns:ds="http://schemas.openxmlformats.org/officeDocument/2006/customXml" ds:itemID="{B889C7DB-2957-46E2-A80F-CF7B53FB94F5}">
  <ds:schemaRefs>
    <ds:schemaRef ds:uri="http://schemas.microsoft.com/office/2006/documentManagement/types"/>
    <ds:schemaRef ds:uri="f5aad5d0-9c26-490e-8743-a6c7ceabd501"/>
    <ds:schemaRef ds:uri="http://purl.org/dc/elements/1.1/"/>
    <ds:schemaRef ds:uri="http://schemas.openxmlformats.org/package/2006/metadata/core-properties"/>
    <ds:schemaRef ds:uri="http://schemas.microsoft.com/office/infopath/2007/PartnerControls"/>
    <ds:schemaRef ds:uri="19cf09c5-daa1-4028-a0ff-74a0be4ec5cc"/>
    <ds:schemaRef ds:uri="http://purl.org/dc/terms/"/>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7AD36352-1035-492C-8026-C038D170EDFB}">
  <ds:schemaRefs>
    <ds:schemaRef ds:uri="http://schemas.microsoft.com/sharepoint/v3/contenttype/forms"/>
  </ds:schemaRefs>
</ds:datastoreItem>
</file>

<file path=customXml/itemProps3.xml><?xml version="1.0" encoding="utf-8"?>
<ds:datastoreItem xmlns:ds="http://schemas.openxmlformats.org/officeDocument/2006/customXml" ds:itemID="{3E41AD84-7929-40F5-8464-485DCAC409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AB6219D-DBE0-481E-85B3-A9501C1B074C}">
  <ds:schemaRefs>
    <ds:schemaRef ds:uri="http://schemas.openxmlformats.org/officeDocument/2006/bibliography"/>
  </ds:schemaRefs>
</ds:datastoreItem>
</file>

<file path=customXml/itemProps5.xml><?xml version="1.0" encoding="utf-8"?>
<ds:datastoreItem xmlns:ds="http://schemas.openxmlformats.org/officeDocument/2006/customXml" ds:itemID="{685C6BB7-3640-4463-A2AA-2000B9C6FDC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2974</Words>
  <Characters>21954</Characters>
  <Application>Microsoft Office Word</Application>
  <DocSecurity>4</DocSecurity>
  <Lines>708</Lines>
  <Paragraphs>311</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24617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2022-05-06T12:13:00Z</dcterms:created>
  <dc:creator>Božena Zaikovska-Tomkevičienė</dc:creator>
  <lastModifiedBy>adlibuser</lastModifiedBy>
  <dcterms:modified xsi:type="dcterms:W3CDTF">2022-05-06T12:13:00Z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