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75ff9a62a44812b3a93bc47e0840b0"/>
        <w:lock w:val="sdtLocked"/>
        <w:richText/>
      </w:sdtPr>
      <w:sdtContent>
        <w:p>
          <w:pPr>
            <w:tabs>
              <w:tab w:val="center" w:pos="4819"/>
              <w:tab w:val="right" w:pos="9638"/>
            </w:tabs>
            <w:rPr>
              <w:sz w:val="22"/>
              <w:szCs w:val="22"/>
            </w:rPr>
          </w:pPr>
        </w:p>
      </w:sdtContent>
    </w:sdt>
    <w:sdt>
      <w:sdtPr>
        <w:alias w:val="patvirtinta"/>
        <w:tag w:val="part_eea3e1255ada46518c6d3cc97c188b40"/>
        <w:lock w:val="sdtLocked"/>
        <w:richText/>
      </w:sdtPr>
      <w:sdtContent>
        <w:p>
          <w:pPr>
            <w:ind w:left="9356"/>
            <w:rPr>
              <w:szCs w:val="24"/>
            </w:rPr>
          </w:pPr>
          <w:r>
            <w:rPr>
              <w:szCs w:val="24"/>
            </w:rPr>
            <w:t>PATVIRTINTA</w:t>
          </w:r>
        </w:p>
        <w:p>
          <w:pPr>
            <w:ind w:left="9356"/>
            <w:rPr>
              <w:szCs w:val="24"/>
            </w:rPr>
          </w:pPr>
          <w:r>
            <w:rPr>
              <w:szCs w:val="24"/>
            </w:rPr>
            <w:t xml:space="preserve">Lietuvos Respublikos </w:t>
          </w:r>
          <w:r>
            <w:t>aplinkos</w:t>
          </w:r>
          <w:r>
            <w:rPr>
              <w:szCs w:val="24"/>
            </w:rPr>
            <w:t xml:space="preserve"> ministro </w:t>
          </w:r>
        </w:p>
        <w:p>
          <w:pPr>
            <w:ind w:left="9356"/>
          </w:pPr>
          <w:r>
            <w:rPr>
              <w:szCs w:val="24"/>
            </w:rPr>
            <w:t xml:space="preserve">2022  m.              d. įsakymu Nr. </w:t>
          </w:r>
          <w:r>
            <w:t>D1-</w:t>
          </w:r>
        </w:p>
        <w:p>
          <w:pPr>
            <w:ind w:left="8647"/>
            <w:rPr>
              <w:szCs w:val="24"/>
            </w:rPr>
          </w:pPr>
        </w:p>
        <w:sdt>
          <w:sdtPr>
            <w:alias w:val="Pavadinimas"/>
            <w:tag w:val="title_eea3e1255ada46518c6d3cc97c188b40"/>
            <w:lock w:val="sdtLocked"/>
            <w:richText/>
          </w:sdtPr>
          <w:sdtContent>
            <w:p>
              <w:pPr>
                <w:jc w:val="center"/>
                <w:rPr>
                  <w:b/>
                  <w:bCs/>
                  <w:lang w:val="en-US"/>
                </w:rPr>
              </w:pPr>
              <w:r>
                <w:rPr>
                  <w:b/>
                  <w:bCs/>
                </w:rPr>
                <w:t>2022–2030 METŲ PLĖTROS PROGRAMOS VALDYTOJOS LIETUVOS RESPUBLIKOS APLINKOS MINISTERIJOS </w:t>
              </w:r>
              <w:r>
                <w:rPr>
                  <w:b/>
                  <w:bCs/>
                  <w:lang w:val="en-US"/>
                </w:rPr>
                <w:t> </w:t>
              </w:r>
            </w:p>
            <w:p>
              <w:pPr>
                <w:jc w:val="center"/>
                <w:rPr>
                  <w:b/>
                  <w:szCs w:val="24"/>
                </w:rPr>
              </w:pPr>
              <w:r>
                <w:rPr>
                  <w:b/>
                  <w:bCs/>
                  <w:szCs w:val="24"/>
                </w:rPr>
                <w:t>APLINKOS APSAUGOS IR KLIMATO KAITOS VALDYMO PLĖTROS PROGRAMOS PAŽANGOS PRIEMONĖS</w:t>
              </w:r>
            </w:p>
            <w:p>
              <w:pPr>
                <w:jc w:val="center"/>
                <w:rPr>
                  <w:b/>
                  <w:szCs w:val="24"/>
                  <w:lang w:eastAsia="lt-LT"/>
                </w:rPr>
              </w:pPr>
              <w:r>
                <w:rPr>
                  <w:b/>
                  <w:bCs/>
                  <w:szCs w:val="24"/>
                  <w:lang w:eastAsia="lt-LT"/>
                </w:rPr>
                <w:t>NR. 02-001-06-04-02</w:t>
              </w:r>
              <w:r>
                <w:rPr>
                  <w:b/>
                  <w:color w:val="808080"/>
                  <w:szCs w:val="24"/>
                  <w:lang w:eastAsia="lt-LT"/>
                </w:rPr>
                <w:t xml:space="preserve"> </w:t>
              </w:r>
              <w:r>
                <w:rPr>
                  <w:b/>
                  <w:color w:val="000000"/>
                  <w:szCs w:val="24"/>
                  <w:lang w:eastAsia="lt-LT"/>
                </w:rPr>
                <w:t>„</w:t>
              </w:r>
              <w:r>
                <w:rPr>
                  <w:b/>
                  <w:color w:val="000000"/>
                  <w:bdr w:val="none" w:sz="0" w:space="0" w:color="auto" w:frame="1"/>
                </w:rPr>
                <w:t>DIDINTI KLIMATO KAITOS POLITIKOS VEIKSMINGUMĄ</w:t>
              </w:r>
              <w:r>
                <w:rPr>
                  <w:b/>
                  <w:color w:val="000000"/>
                  <w:szCs w:val="24"/>
                  <w:lang w:eastAsia="lt-LT"/>
                </w:rPr>
                <w:t>“</w:t>
              </w:r>
              <w:r>
                <w:rPr>
                  <w:b/>
                  <w:szCs w:val="24"/>
                  <w:lang w:eastAsia="lt-LT"/>
                </w:rPr>
                <w:t xml:space="preserve"> APRAŠAS</w:t>
              </w:r>
            </w:p>
          </w:sdtContent>
        </w:sdt>
        <w:p>
          <w:pPr>
            <w:jc w:val="center"/>
            <w:rPr>
              <w:b/>
              <w:szCs w:val="24"/>
              <w:lang w:eastAsia="lt-LT"/>
            </w:rPr>
          </w:pPr>
        </w:p>
        <w:sdt>
          <w:sdtPr>
            <w:alias w:val="skyrius"/>
            <w:tag w:val="part_546977be824c46b6a60f89fd12a6a6e8"/>
            <w:lock w:val="sdtLocked"/>
            <w:richText/>
          </w:sdtPr>
          <w:sdtContent>
            <w:p>
              <w:pPr>
                <w:tabs>
                  <w:tab w:val="left" w:pos="1985"/>
                </w:tabs>
                <w:jc w:val="center"/>
                <w:rPr>
                  <w:b/>
                  <w:bCs/>
                  <w:szCs w:val="24"/>
                </w:rPr>
              </w:pPr>
              <w:sdt>
                <w:sdtPr>
                  <w:alias w:val="Numeris"/>
                  <w:tag w:val="nr_546977be824c46b6a60f89fd12a6a6e8"/>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546977be824c46b6a60f89fd12a6a6e8"/>
                  <w:lock w:val="sdtLocked"/>
                  <w:richText/>
                </w:sdtPr>
                <w:sdtContent>
                  <w:r>
                    <w:rPr>
                      <w:b/>
                      <w:bCs/>
                      <w:lang w:eastAsia="lt-LT"/>
                    </w:rPr>
                    <w:t>PLĖTROS PROGRAMOS PAŽANGOS PRIEMONĖS SIEKIAMI REZULTATAI</w:t>
                  </w:r>
                </w:sdtContent>
              </w:sdt>
            </w:p>
            <w:p>
              <w:pPr>
                <w:jc w:val="center"/>
                <w:rPr>
                  <w:b/>
                  <w:bCs/>
                  <w:lang w:eastAsia="lt-LT"/>
                </w:rPr>
              </w:pPr>
            </w:p>
            <w:tbl>
              <w:tblPr>
                <w:tblW w:w="11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417"/>
                <w:gridCol w:w="2806"/>
                <w:gridCol w:w="1276"/>
                <w:gridCol w:w="1417"/>
                <w:gridCol w:w="992"/>
                <w:gridCol w:w="1134"/>
                <w:gridCol w:w="1418"/>
              </w:tblGrid>
              <w:tr>
                <w:trPr>
                  <w:trHeight w:val="20"/>
                  <w:jc w:val="center"/>
                </w:trPr>
                <w:tc>
                  <w:tcPr>
                    <w:tcW w:w="851" w:type="dxa"/>
                    <w:vMerge w:val="restart"/>
                    <w:shd w:val="clear" w:color="auto" w:fill="DBE5F1" w:themeFill="accent1" w:themeFillTint="33"/>
                    <w:vAlign w:val="center"/>
                  </w:tcPr>
                  <w:p>
                    <w:pPr>
                      <w:jc w:val="center"/>
                      <w:rPr>
                        <w:b/>
                        <w:sz w:val="16"/>
                        <w:szCs w:val="16"/>
                      </w:rPr>
                    </w:pPr>
                    <w:r>
                      <w:rPr>
                        <w:b/>
                        <w:sz w:val="16"/>
                        <w:szCs w:val="16"/>
                      </w:rPr>
                      <w:t>Rodiklio kodas</w:t>
                    </w:r>
                  </w:p>
                </w:tc>
                <w:tc>
                  <w:tcPr>
                    <w:tcW w:w="1417" w:type="dxa"/>
                    <w:vMerge w:val="restart"/>
                    <w:shd w:val="clear" w:color="auto" w:fill="DBE5F1" w:themeFill="accent1" w:themeFillTint="33"/>
                    <w:vAlign w:val="center"/>
                  </w:tcPr>
                  <w:p>
                    <w:pPr>
                      <w:jc w:val="center"/>
                      <w:rPr>
                        <w:b/>
                        <w:sz w:val="16"/>
                        <w:szCs w:val="16"/>
                      </w:rPr>
                    </w:pPr>
                    <w:r>
                      <w:rPr>
                        <w:b/>
                        <w:sz w:val="16"/>
                        <w:szCs w:val="16"/>
                      </w:rPr>
                      <w:t>Rodiklio tipas (rezultato / produkto)</w:t>
                    </w:r>
                  </w:p>
                </w:tc>
                <w:tc>
                  <w:tcPr>
                    <w:tcW w:w="2806" w:type="dxa"/>
                    <w:vMerge w:val="restart"/>
                    <w:shd w:val="clear" w:color="auto" w:fill="DBE5F1" w:themeFill="accent1" w:themeFillTint="33"/>
                    <w:vAlign w:val="center"/>
                  </w:tcPr>
                  <w:p>
                    <w:pPr>
                      <w:jc w:val="center"/>
                      <w:rPr>
                        <w:b/>
                        <w:sz w:val="16"/>
                        <w:szCs w:val="16"/>
                      </w:rPr>
                    </w:pPr>
                    <w:r>
                      <w:rPr>
                        <w:b/>
                        <w:sz w:val="16"/>
                        <w:szCs w:val="16"/>
                      </w:rPr>
                      <w:t>Rodiklio pavadinimas</w:t>
                    </w:r>
                  </w:p>
                </w:tc>
                <w:tc>
                  <w:tcPr>
                    <w:tcW w:w="1276" w:type="dxa"/>
                    <w:vMerge w:val="restart"/>
                    <w:shd w:val="clear" w:color="auto" w:fill="DBE5F1" w:themeFill="accent1" w:themeFillTint="33"/>
                    <w:vAlign w:val="center"/>
                  </w:tcPr>
                  <w:p>
                    <w:pPr>
                      <w:jc w:val="center"/>
                      <w:rPr>
                        <w:b/>
                        <w:sz w:val="16"/>
                        <w:szCs w:val="16"/>
                      </w:rPr>
                    </w:pPr>
                    <w:r>
                      <w:rPr>
                        <w:b/>
                        <w:sz w:val="16"/>
                        <w:szCs w:val="16"/>
                      </w:rPr>
                      <w:t>Matavimo vienetas</w:t>
                    </w:r>
                  </w:p>
                </w:tc>
                <w:tc>
                  <w:tcPr>
                    <w:tcW w:w="1417" w:type="dxa"/>
                    <w:vMerge w:val="restart"/>
                    <w:shd w:val="clear" w:color="auto" w:fill="DBE5F1" w:themeFill="accent1" w:themeFillTint="33"/>
                    <w:vAlign w:val="center"/>
                  </w:tcPr>
                  <w:p>
                    <w:pPr>
                      <w:jc w:val="center"/>
                      <w:rPr>
                        <w:b/>
                        <w:sz w:val="16"/>
                        <w:szCs w:val="16"/>
                      </w:rPr>
                    </w:pPr>
                    <w:r>
                      <w:rPr>
                        <w:b/>
                        <w:sz w:val="16"/>
                        <w:szCs w:val="16"/>
                      </w:rPr>
                      <w:t>Pradinė rodiklio reikšmė (metai)</w:t>
                    </w:r>
                  </w:p>
                </w:tc>
                <w:tc>
                  <w:tcPr>
                    <w:tcW w:w="2126" w:type="dxa"/>
                    <w:gridSpan w:val="2"/>
                    <w:shd w:val="clear" w:color="auto" w:fill="DBE5F1" w:themeFill="accent1" w:themeFillTint="33"/>
                  </w:tcPr>
                  <w:p>
                    <w:pPr>
                      <w:jc w:val="center"/>
                      <w:rPr>
                        <w:b/>
                        <w:sz w:val="16"/>
                        <w:szCs w:val="16"/>
                      </w:rPr>
                    </w:pPr>
                    <w:r>
                      <w:rPr>
                        <w:b/>
                        <w:sz w:val="16"/>
                        <w:szCs w:val="16"/>
                      </w:rPr>
                      <w:t>Siektinos rodiklio reikšmės</w:t>
                    </w:r>
                  </w:p>
                </w:tc>
                <w:tc>
                  <w:tcPr>
                    <w:tcW w:w="1418" w:type="dxa"/>
                    <w:vMerge w:val="restart"/>
                    <w:shd w:val="clear" w:color="auto" w:fill="DBE5F1" w:themeFill="accent1" w:themeFillTint="33"/>
                    <w:vAlign w:val="center"/>
                  </w:tcPr>
                  <w:p>
                    <w:pPr>
                      <w:jc w:val="center"/>
                      <w:rPr>
                        <w:b/>
                        <w:sz w:val="16"/>
                        <w:szCs w:val="16"/>
                      </w:rPr>
                    </w:pPr>
                    <w:r>
                      <w:rPr>
                        <w:b/>
                        <w:sz w:val="16"/>
                        <w:szCs w:val="16"/>
                      </w:rPr>
                      <w:t>Finansavimo šaltinis</w:t>
                    </w:r>
                  </w:p>
                </w:tc>
              </w:tr>
              <w:tr>
                <w:trPr>
                  <w:trHeight w:val="397"/>
                  <w:jc w:val="center"/>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806" w:type="dxa"/>
                    <w:vMerge/>
                    <w:vAlign w:val="center"/>
                  </w:tcPr>
                  <w:p>
                    <w:pPr>
                      <w:spacing w:line="276" w:lineRule="auto"/>
                      <w:jc w:val="center"/>
                      <w:rPr>
                        <w:b/>
                        <w:sz w:val="22"/>
                        <w:szCs w:val="22"/>
                      </w:rPr>
                    </w:pPr>
                  </w:p>
                </w:tc>
                <w:tc>
                  <w:tcPr>
                    <w:tcW w:w="1276"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BE5F1" w:themeFill="accent1" w:themeFillTint="33"/>
                    <w:vAlign w:val="center"/>
                  </w:tcPr>
                  <w:p>
                    <w:pPr>
                      <w:jc w:val="center"/>
                      <w:rPr>
                        <w:b/>
                        <w:sz w:val="16"/>
                        <w:szCs w:val="16"/>
                      </w:rPr>
                    </w:pPr>
                    <w:r>
                      <w:rPr>
                        <w:b/>
                        <w:sz w:val="16"/>
                        <w:szCs w:val="16"/>
                      </w:rPr>
                      <w:t>Tarpinė reikšmė 2025 m.</w:t>
                    </w:r>
                  </w:p>
                </w:tc>
                <w:tc>
                  <w:tcPr>
                    <w:tcW w:w="1134" w:type="dxa"/>
                    <w:shd w:val="clear" w:color="auto" w:fill="DBE5F1" w:themeFill="accent1" w:themeFillTint="33"/>
                    <w:vAlign w:val="center"/>
                  </w:tcPr>
                  <w:p>
                    <w:pPr>
                      <w:jc w:val="center"/>
                      <w:rPr>
                        <w:b/>
                        <w:sz w:val="16"/>
                        <w:szCs w:val="16"/>
                      </w:rPr>
                    </w:pPr>
                    <w:r>
                      <w:rPr>
                        <w:b/>
                        <w:sz w:val="16"/>
                        <w:szCs w:val="16"/>
                      </w:rPr>
                      <w:t>Galutinė reikšmė</w:t>
                    </w:r>
                  </w:p>
                  <w:p>
                    <w:pPr>
                      <w:jc w:val="center"/>
                      <w:rPr>
                        <w:b/>
                        <w:sz w:val="16"/>
                        <w:szCs w:val="16"/>
                      </w:rPr>
                    </w:pPr>
                    <w:r>
                      <w:rPr>
                        <w:b/>
                        <w:sz w:val="16"/>
                        <w:szCs w:val="16"/>
                      </w:rPr>
                      <w:t xml:space="preserve">2030 m. </w:t>
                    </w:r>
                  </w:p>
                </w:tc>
                <w:tc>
                  <w:tcPr>
                    <w:tcW w:w="1418" w:type="dxa"/>
                    <w:vMerge/>
                  </w:tcPr>
                  <w:p>
                    <w:pPr>
                      <w:spacing w:line="276" w:lineRule="auto"/>
                      <w:jc w:val="center"/>
                      <w:rPr>
                        <w:b/>
                        <w:sz w:val="16"/>
                        <w:szCs w:val="16"/>
                      </w:rPr>
                    </w:pPr>
                  </w:p>
                </w:tc>
              </w:tr>
              <w:tr>
                <w:trPr>
                  <w:trHeight w:val="193"/>
                  <w:jc w:val="center"/>
                </w:trPr>
                <w:tc>
                  <w:tcPr>
                    <w:tcW w:w="851" w:type="dxa"/>
                    <w:shd w:val="clear" w:color="auto" w:fill="DBE5F1" w:themeFill="accent1" w:themeFillTint="33"/>
                    <w:vAlign w:val="center"/>
                  </w:tcPr>
                  <w:p>
                    <w:pPr>
                      <w:spacing w:line="276" w:lineRule="auto"/>
                      <w:jc w:val="center"/>
                      <w:rPr>
                        <w:b/>
                        <w:sz w:val="16"/>
                        <w:szCs w:val="16"/>
                      </w:rPr>
                    </w:pPr>
                    <w:r>
                      <w:rPr>
                        <w:b/>
                        <w:sz w:val="16"/>
                        <w:szCs w:val="16"/>
                      </w:rPr>
                      <w:t>1</w:t>
                    </w:r>
                  </w:p>
                </w:tc>
                <w:tc>
                  <w:tcPr>
                    <w:tcW w:w="1417" w:type="dxa"/>
                    <w:shd w:val="clear" w:color="auto" w:fill="DBE5F1" w:themeFill="accent1" w:themeFillTint="33"/>
                    <w:vAlign w:val="center"/>
                  </w:tcPr>
                  <w:p>
                    <w:pPr>
                      <w:spacing w:line="276" w:lineRule="auto"/>
                      <w:jc w:val="center"/>
                      <w:rPr>
                        <w:b/>
                        <w:sz w:val="16"/>
                        <w:szCs w:val="16"/>
                      </w:rPr>
                    </w:pPr>
                    <w:r>
                      <w:rPr>
                        <w:b/>
                        <w:sz w:val="16"/>
                        <w:szCs w:val="16"/>
                      </w:rPr>
                      <w:t>2</w:t>
                    </w:r>
                  </w:p>
                </w:tc>
                <w:tc>
                  <w:tcPr>
                    <w:tcW w:w="2806" w:type="dxa"/>
                    <w:shd w:val="clear" w:color="auto" w:fill="DBE5F1" w:themeFill="accent1" w:themeFillTint="33"/>
                    <w:vAlign w:val="center"/>
                  </w:tcPr>
                  <w:p>
                    <w:pPr>
                      <w:spacing w:line="276" w:lineRule="auto"/>
                      <w:jc w:val="center"/>
                      <w:rPr>
                        <w:b/>
                        <w:sz w:val="16"/>
                        <w:szCs w:val="16"/>
                      </w:rPr>
                    </w:pPr>
                    <w:r>
                      <w:rPr>
                        <w:b/>
                        <w:sz w:val="16"/>
                        <w:szCs w:val="16"/>
                      </w:rPr>
                      <w:t>3</w:t>
                    </w:r>
                  </w:p>
                </w:tc>
                <w:tc>
                  <w:tcPr>
                    <w:tcW w:w="1276" w:type="dxa"/>
                    <w:shd w:val="clear" w:color="auto" w:fill="DBE5F1" w:themeFill="accent1" w:themeFillTint="33"/>
                    <w:vAlign w:val="center"/>
                  </w:tcPr>
                  <w:p>
                    <w:pPr>
                      <w:spacing w:line="276" w:lineRule="auto"/>
                      <w:jc w:val="center"/>
                      <w:rPr>
                        <w:b/>
                        <w:sz w:val="16"/>
                        <w:szCs w:val="16"/>
                      </w:rPr>
                    </w:pPr>
                    <w:r>
                      <w:rPr>
                        <w:b/>
                        <w:sz w:val="16"/>
                        <w:szCs w:val="16"/>
                      </w:rPr>
                      <w:t>4</w:t>
                    </w:r>
                  </w:p>
                </w:tc>
                <w:tc>
                  <w:tcPr>
                    <w:tcW w:w="1417" w:type="dxa"/>
                    <w:shd w:val="clear" w:color="auto" w:fill="DBE5F1" w:themeFill="accent1" w:themeFillTint="33"/>
                    <w:vAlign w:val="center"/>
                  </w:tcPr>
                  <w:p>
                    <w:pPr>
                      <w:spacing w:line="276" w:lineRule="auto"/>
                      <w:jc w:val="center"/>
                      <w:rPr>
                        <w:b/>
                        <w:sz w:val="16"/>
                        <w:szCs w:val="16"/>
                      </w:rPr>
                    </w:pPr>
                    <w:r>
                      <w:rPr>
                        <w:b/>
                        <w:sz w:val="16"/>
                        <w:szCs w:val="16"/>
                      </w:rPr>
                      <w:t>5</w:t>
                    </w:r>
                  </w:p>
                </w:tc>
                <w:tc>
                  <w:tcPr>
                    <w:tcW w:w="992" w:type="dxa"/>
                    <w:shd w:val="clear" w:color="auto" w:fill="DBE5F1" w:themeFill="accent1" w:themeFillTint="33"/>
                    <w:vAlign w:val="center"/>
                  </w:tcPr>
                  <w:p>
                    <w:pPr>
                      <w:jc w:val="center"/>
                      <w:rPr>
                        <w:b/>
                        <w:sz w:val="16"/>
                        <w:szCs w:val="16"/>
                      </w:rPr>
                    </w:pPr>
                    <w:r>
                      <w:rPr>
                        <w:b/>
                        <w:sz w:val="16"/>
                        <w:szCs w:val="16"/>
                      </w:rPr>
                      <w:t>6</w:t>
                    </w:r>
                  </w:p>
                </w:tc>
                <w:tc>
                  <w:tcPr>
                    <w:tcW w:w="1134" w:type="dxa"/>
                    <w:shd w:val="clear" w:color="auto" w:fill="DBE5F1" w:themeFill="accent1" w:themeFillTint="33"/>
                    <w:vAlign w:val="center"/>
                  </w:tcPr>
                  <w:p>
                    <w:pPr>
                      <w:jc w:val="center"/>
                      <w:rPr>
                        <w:b/>
                        <w:sz w:val="16"/>
                        <w:szCs w:val="16"/>
                      </w:rPr>
                    </w:pPr>
                    <w:r>
                      <w:rPr>
                        <w:b/>
                        <w:sz w:val="16"/>
                        <w:szCs w:val="16"/>
                      </w:rPr>
                      <w:t>7</w:t>
                    </w:r>
                  </w:p>
                </w:tc>
                <w:tc>
                  <w:tcPr>
                    <w:tcW w:w="1418" w:type="dxa"/>
                    <w:shd w:val="clear" w:color="auto" w:fill="DBE5F1" w:themeFill="accent1" w:themeFillTint="33"/>
                    <w:vAlign w:val="center"/>
                  </w:tcPr>
                  <w:p>
                    <w:pPr>
                      <w:spacing w:line="276" w:lineRule="auto"/>
                      <w:jc w:val="center"/>
                      <w:rPr>
                        <w:b/>
                        <w:sz w:val="16"/>
                        <w:szCs w:val="16"/>
                      </w:rPr>
                    </w:pPr>
                    <w:r>
                      <w:rPr>
                        <w:b/>
                        <w:sz w:val="16"/>
                        <w:szCs w:val="16"/>
                      </w:rPr>
                      <w:t>8</w:t>
                    </w:r>
                  </w:p>
                </w:tc>
              </w:tr>
              <w:tr>
                <w:trPr>
                  <w:trHeight w:val="750"/>
                  <w:jc w:val="center"/>
                </w:trPr>
                <w:tc>
                  <w:tcPr>
                    <w:tcW w:w="851" w:type="dxa"/>
                    <w:shd w:val="clear" w:color="auto" w:fill="FFFFFF" w:themeFill="background1"/>
                    <w:vAlign w:val="center"/>
                  </w:tcPr>
                  <w:p>
                    <w:pPr>
                      <w:jc w:val="center"/>
                      <w:rPr>
                        <w:sz w:val="20"/>
                      </w:rPr>
                    </w:pPr>
                    <w:r>
                      <w:rPr>
                        <w:sz w:val="20"/>
                      </w:rPr>
                      <w:t>02-001-06-04-02-01</w:t>
                    </w:r>
                  </w:p>
                </w:tc>
                <w:tc>
                  <w:tcPr>
                    <w:tcW w:w="1417" w:type="dxa"/>
                    <w:shd w:val="clear" w:color="auto" w:fill="FFFFFF" w:themeFill="background1"/>
                    <w:vAlign w:val="center"/>
                  </w:tcPr>
                  <w:p>
                    <w:pPr>
                      <w:jc w:val="center"/>
                      <w:rPr>
                        <w:iCs/>
                        <w:sz w:val="20"/>
                      </w:rPr>
                    </w:pPr>
                    <w:r>
                      <w:rPr>
                        <w:iCs/>
                        <w:sz w:val="20"/>
                      </w:rPr>
                      <w:t>rezultato</w:t>
                    </w:r>
                  </w:p>
                </w:tc>
                <w:tc>
                  <w:tcPr>
                    <w:tcW w:w="2806" w:type="dxa"/>
                    <w:shd w:val="clear" w:color="auto" w:fill="FFFFFF" w:themeFill="background1"/>
                    <w:vAlign w:val="center"/>
                  </w:tcPr>
                  <w:p>
                    <w:pPr>
                      <w:rPr>
                        <w:sz w:val="20"/>
                      </w:rPr>
                    </w:pPr>
                    <w:r>
                      <w:rPr>
                        <w:sz w:val="20"/>
                      </w:rPr>
                      <w:t>Suminis ŠESD sumažinimo efektas</w:t>
                    </w:r>
                  </w:p>
                </w:tc>
                <w:tc>
                  <w:tcPr>
                    <w:tcW w:w="1276" w:type="dxa"/>
                    <w:shd w:val="clear" w:color="auto" w:fill="FFFFFF" w:themeFill="background1"/>
                    <w:vAlign w:val="center"/>
                  </w:tcPr>
                  <w:p>
                    <w:pPr>
                      <w:ind w:firstLine="53"/>
                      <w:jc w:val="center"/>
                      <w:rPr>
                        <w:sz w:val="20"/>
                      </w:rPr>
                    </w:pPr>
                    <w:r>
                      <w:rPr>
                        <w:sz w:val="20"/>
                      </w:rPr>
                      <w:t>tūkst. tonų CO</w:t>
                    </w:r>
                    <w:r>
                      <w:rPr>
                        <w:sz w:val="20"/>
                        <w:vertAlign w:val="subscript"/>
                      </w:rPr>
                      <w:t>2</w:t>
                    </w:r>
                    <w:r>
                      <w:rPr>
                        <w:sz w:val="20"/>
                      </w:rPr>
                      <w:t xml:space="preserve"> ekvivalentu  </w:t>
                    </w:r>
                  </w:p>
                </w:tc>
                <w:tc>
                  <w:tcPr>
                    <w:tcW w:w="1417" w:type="dxa"/>
                    <w:shd w:val="clear" w:color="auto" w:fill="FFFFFF" w:themeFill="background1"/>
                    <w:vAlign w:val="center"/>
                  </w:tcPr>
                  <w:p>
                    <w:pPr>
                      <w:jc w:val="center"/>
                      <w:rPr>
                        <w:sz w:val="20"/>
                      </w:rPr>
                    </w:pPr>
                    <w:r>
                      <w:rPr>
                        <w:sz w:val="20"/>
                      </w:rPr>
                      <w:t xml:space="preserve">0 </w:t>
                    </w:r>
                  </w:p>
                  <w:p>
                    <w:pPr>
                      <w:jc w:val="center"/>
                      <w:rPr>
                        <w:sz w:val="20"/>
                      </w:rPr>
                    </w:pPr>
                    <w:r>
                      <w:rPr>
                        <w:sz w:val="20"/>
                      </w:rPr>
                      <w:t>(2021 m.)</w:t>
                    </w:r>
                  </w:p>
                </w:tc>
                <w:tc>
                  <w:tcPr>
                    <w:tcW w:w="992" w:type="dxa"/>
                    <w:shd w:val="clear" w:color="auto" w:fill="FFFFFF" w:themeFill="background1"/>
                    <w:vAlign w:val="center"/>
                  </w:tcPr>
                  <w:p>
                    <w:pPr>
                      <w:jc w:val="center"/>
                      <w:rPr>
                        <w:sz w:val="20"/>
                      </w:rPr>
                    </w:pPr>
                    <w:r>
                      <w:rPr>
                        <w:sz w:val="20"/>
                      </w:rPr>
                      <w:t>13,35</w:t>
                    </w:r>
                  </w:p>
                  <w:p>
                    <w:pPr>
                      <w:jc w:val="center"/>
                      <w:rPr>
                        <w:sz w:val="20"/>
                      </w:rPr>
                    </w:pPr>
                    <w:r>
                      <w:rPr>
                        <w:sz w:val="20"/>
                      </w:rPr>
                      <w:t>(2022 m.)</w:t>
                    </w:r>
                  </w:p>
                </w:tc>
                <w:tc>
                  <w:tcPr>
                    <w:tcW w:w="1134" w:type="dxa"/>
                    <w:shd w:val="clear" w:color="auto" w:fill="FFFFFF" w:themeFill="background1"/>
                    <w:vAlign w:val="center"/>
                  </w:tcPr>
                  <w:p>
                    <w:pPr>
                      <w:jc w:val="center"/>
                      <w:rPr>
                        <w:sz w:val="20"/>
                      </w:rPr>
                    </w:pPr>
                    <w:r>
                      <w:rPr>
                        <w:sz w:val="20"/>
                      </w:rPr>
                      <w:t>353,88</w:t>
                    </w:r>
                  </w:p>
                  <w:p>
                    <w:pPr>
                      <w:jc w:val="center"/>
                      <w:rPr>
                        <w:sz w:val="20"/>
                      </w:rPr>
                    </w:pPr>
                    <w:r>
                      <w:rPr>
                        <w:sz w:val="20"/>
                      </w:rPr>
                      <w:t>(2025 m.)</w:t>
                    </w:r>
                  </w:p>
                </w:tc>
                <w:tc>
                  <w:tcPr>
                    <w:tcW w:w="1418" w:type="dxa"/>
                    <w:shd w:val="clear" w:color="auto" w:fill="FFFFFF" w:themeFill="background1"/>
                    <w:vAlign w:val="center"/>
                  </w:tcPr>
                  <w:p>
                    <w:pPr>
                      <w:jc w:val="center"/>
                      <w:rPr>
                        <w:sz w:val="20"/>
                      </w:rPr>
                    </w:pPr>
                    <w:r>
                      <w:rPr>
                        <w:sz w:val="20"/>
                      </w:rPr>
                      <w:t>Klimato kaitos programa (toliau – KKP)</w:t>
                    </w:r>
                  </w:p>
                </w:tc>
              </w:tr>
              <w:tr>
                <w:trPr>
                  <w:trHeight w:val="330"/>
                  <w:jc w:val="center"/>
                </w:trPr>
                <w:tc>
                  <w:tcPr>
                    <w:tcW w:w="851" w:type="dxa"/>
                    <w:shd w:val="clear" w:color="auto" w:fill="FFFFFF" w:themeFill="background1"/>
                    <w:vAlign w:val="center"/>
                  </w:tcPr>
                  <w:p>
                    <w:pPr>
                      <w:jc w:val="center"/>
                      <w:rPr>
                        <w:sz w:val="20"/>
                      </w:rPr>
                    </w:pPr>
                    <w:r>
                      <w:rPr>
                        <w:sz w:val="20"/>
                      </w:rPr>
                      <w:t>02-001-06-04-02-01</w:t>
                    </w:r>
                  </w:p>
                </w:tc>
                <w:tc>
                  <w:tcPr>
                    <w:tcW w:w="1417" w:type="dxa"/>
                    <w:shd w:val="clear" w:color="auto" w:fill="FFFFFF" w:themeFill="background1"/>
                    <w:vAlign w:val="center"/>
                  </w:tcPr>
                  <w:p>
                    <w:pPr>
                      <w:jc w:val="center"/>
                      <w:rPr>
                        <w:sz w:val="20"/>
                      </w:rPr>
                    </w:pPr>
                    <w:r>
                      <w:rPr>
                        <w:iCs/>
                        <w:sz w:val="20"/>
                      </w:rPr>
                      <w:t>rezultato</w:t>
                    </w:r>
                  </w:p>
                </w:tc>
                <w:tc>
                  <w:tcPr>
                    <w:tcW w:w="2806" w:type="dxa"/>
                    <w:shd w:val="clear" w:color="auto" w:fill="FFFFFF" w:themeFill="background1"/>
                    <w:vAlign w:val="center"/>
                  </w:tcPr>
                  <w:p>
                    <w:pPr>
                      <w:rPr>
                        <w:sz w:val="20"/>
                      </w:rPr>
                    </w:pPr>
                    <w:r>
                      <w:rPr>
                        <w:sz w:val="20"/>
                      </w:rPr>
                      <w:t>Suminis ŠESD sumažinimo efektas</w:t>
                    </w:r>
                  </w:p>
                </w:tc>
                <w:tc>
                  <w:tcPr>
                    <w:tcW w:w="1276" w:type="dxa"/>
                    <w:shd w:val="clear" w:color="auto" w:fill="FFFFFF" w:themeFill="background1"/>
                    <w:vAlign w:val="center"/>
                  </w:tcPr>
                  <w:p>
                    <w:pPr>
                      <w:ind w:firstLine="53"/>
                      <w:jc w:val="center"/>
                      <w:rPr>
                        <w:sz w:val="20"/>
                      </w:rPr>
                    </w:pPr>
                    <w:r>
                      <w:rPr>
                        <w:sz w:val="20"/>
                      </w:rPr>
                      <w:t>tūkst. tonų CO</w:t>
                    </w:r>
                    <w:r>
                      <w:rPr>
                        <w:sz w:val="20"/>
                        <w:vertAlign w:val="subscript"/>
                      </w:rPr>
                      <w:t>2</w:t>
                    </w:r>
                    <w:r>
                      <w:rPr>
                        <w:sz w:val="20"/>
                      </w:rPr>
                      <w:t xml:space="preserve"> ekvivalentu  </w:t>
                    </w:r>
                  </w:p>
                </w:tc>
                <w:tc>
                  <w:tcPr>
                    <w:tcW w:w="1417" w:type="dxa"/>
                    <w:shd w:val="clear" w:color="auto" w:fill="FFFFFF" w:themeFill="background1"/>
                    <w:vAlign w:val="center"/>
                  </w:tcPr>
                  <w:p>
                    <w:pPr>
                      <w:jc w:val="center"/>
                      <w:rPr>
                        <w:sz w:val="20"/>
                      </w:rPr>
                    </w:pPr>
                    <w:r>
                      <w:rPr>
                        <w:sz w:val="20"/>
                      </w:rPr>
                      <w:t xml:space="preserve">0 </w:t>
                    </w:r>
                  </w:p>
                  <w:p>
                    <w:pPr>
                      <w:jc w:val="center"/>
                      <w:rPr>
                        <w:sz w:val="20"/>
                      </w:rPr>
                    </w:pPr>
                    <w:r>
                      <w:rPr>
                        <w:sz w:val="20"/>
                      </w:rPr>
                      <w:t>(2021 m.)</w:t>
                    </w:r>
                  </w:p>
                </w:tc>
                <w:tc>
                  <w:tcPr>
                    <w:tcW w:w="992" w:type="dxa"/>
                    <w:shd w:val="clear" w:color="auto" w:fill="FFFFFF" w:themeFill="background1"/>
                    <w:vAlign w:val="center"/>
                  </w:tcPr>
                  <w:p>
                    <w:pPr>
                      <w:jc w:val="center"/>
                      <w:rPr>
                        <w:sz w:val="20"/>
                      </w:rPr>
                    </w:pPr>
                    <w:r>
                      <w:rPr>
                        <w:sz w:val="20"/>
                      </w:rPr>
                      <w:t>0</w:t>
                    </w:r>
                  </w:p>
                  <w:p>
                    <w:pPr>
                      <w:jc w:val="center"/>
                      <w:rPr>
                        <w:sz w:val="20"/>
                      </w:rPr>
                    </w:pPr>
                    <w:r>
                      <w:rPr>
                        <w:sz w:val="20"/>
                      </w:rPr>
                      <w:t>(2022 m.)</w:t>
                    </w:r>
                  </w:p>
                </w:tc>
                <w:tc>
                  <w:tcPr>
                    <w:tcW w:w="1134" w:type="dxa"/>
                    <w:shd w:val="clear" w:color="auto" w:fill="FFFFFF" w:themeFill="background1"/>
                    <w:vAlign w:val="center"/>
                  </w:tcPr>
                  <w:p>
                    <w:pPr>
                      <w:jc w:val="center"/>
                      <w:rPr>
                        <w:sz w:val="20"/>
                      </w:rPr>
                    </w:pPr>
                    <w:r>
                      <w:rPr>
                        <w:sz w:val="20"/>
                      </w:rPr>
                      <w:t>177,78</w:t>
                    </w:r>
                  </w:p>
                  <w:p>
                    <w:pPr>
                      <w:jc w:val="center"/>
                      <w:rPr>
                        <w:sz w:val="20"/>
                      </w:rPr>
                    </w:pPr>
                    <w:r>
                      <w:rPr>
                        <w:sz w:val="20"/>
                      </w:rPr>
                      <w:t>(2025 m.)</w:t>
                    </w:r>
                  </w:p>
                  <w:p>
                    <w:pPr>
                      <w:jc w:val="center"/>
                      <w:rPr>
                        <w:sz w:val="20"/>
                      </w:rPr>
                    </w:pPr>
                  </w:p>
                </w:tc>
                <w:tc>
                  <w:tcPr>
                    <w:tcW w:w="1418" w:type="dxa"/>
                    <w:shd w:val="clear" w:color="auto" w:fill="FFFFFF" w:themeFill="background1"/>
                    <w:vAlign w:val="center"/>
                  </w:tcPr>
                  <w:p>
                    <w:pPr>
                      <w:jc w:val="center"/>
                      <w:rPr>
                        <w:sz w:val="20"/>
                      </w:rPr>
                    </w:pPr>
                    <w:r>
                      <w:rPr>
                        <w:sz w:val="20"/>
                      </w:rPr>
                      <w:t>Valstybės biudžetas (toliau – VB)</w:t>
                    </w:r>
                  </w:p>
                </w:tc>
              </w:tr>
            </w:tbl>
            <w:p>
              <w:pPr>
                <w:rPr>
                  <w:b/>
                  <w:sz w:val="18"/>
                  <w:szCs w:val="18"/>
                </w:rPr>
              </w:pPr>
            </w:p>
            <w:sdt>
              <w:sdtPr>
                <w:alias w:val="poskyris"/>
                <w:tag w:val="part_791359a751aa48fca7d628ab21ef3d73"/>
                <w:lock w:val="sdtLocked"/>
                <w:richText/>
              </w:sdtPr>
              <w:sdtContent>
                <w:p>
                  <w:pPr>
                    <w:rPr>
                      <w:b/>
                      <w:sz w:val="18"/>
                      <w:szCs w:val="18"/>
                    </w:rPr>
                  </w:pPr>
                  <w:sdt>
                    <w:sdtPr>
                      <w:alias w:val="Pavadinimas"/>
                      <w:tag w:val="title_791359a751aa48fca7d628ab21ef3d73"/>
                      <w:lock w:val="sdtLocked"/>
                      <w:richText/>
                    </w:sdtPr>
                    <w:sdtContent>
                      <w:r>
                        <w:rPr>
                          <w:b/>
                          <w:sz w:val="18"/>
                          <w:szCs w:val="18"/>
                        </w:rPr>
                        <w:t>Paaiškinimai:</w:t>
                      </w:r>
                    </w:sdtContent>
                  </w:sdt>
                </w:p>
                <w:sdt>
                  <w:sdtPr>
                    <w:alias w:val="1 p."/>
                    <w:tag w:val="part_91447fa1d03e4f708fc10f518ebb6a43"/>
                    <w:lock w:val="sdtLocked"/>
                    <w:richText/>
                  </w:sdtPr>
                  <w:sdtContent>
                    <w:p>
                      <w:pPr>
                        <w:ind w:firstLine="993"/>
                        <w:jc w:val="both"/>
                        <w:rPr>
                          <w:sz w:val="18"/>
                          <w:szCs w:val="18"/>
                        </w:rPr>
                      </w:pPr>
                      <w:sdt>
                        <w:sdtPr>
                          <w:alias w:val="Numeris"/>
                          <w:tag w:val="nr_91447fa1d03e4f708fc10f518ebb6a43"/>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įgyvendinimo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10c15ed7c20e4553b24720e59cdf6b10"/>
                    <w:lock w:val="sdtLocked"/>
                    <w:richText/>
                  </w:sdtPr>
                  <w:sdtContent>
                    <w:p>
                      <w:pPr>
                        <w:ind w:firstLine="993"/>
                        <w:jc w:val="both"/>
                        <w:rPr>
                          <w:sz w:val="18"/>
                          <w:szCs w:val="18"/>
                        </w:rPr>
                      </w:pPr>
                      <w:sdt>
                        <w:sdtPr>
                          <w:alias w:val="Numeris"/>
                          <w:tag w:val="nr_10c15ed7c20e4553b24720e59cdf6b10"/>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9 priede nustatyta tvarka.</w:t>
                      </w:r>
                    </w:p>
                  </w:sdtContent>
                </w:sdt>
                <w:sdt>
                  <w:sdtPr>
                    <w:alias w:val="3 p."/>
                    <w:tag w:val="part_d4fa2a5faf214dfdb76706a7d2fc62e9"/>
                    <w:lock w:val="sdtLocked"/>
                    <w:richText/>
                  </w:sdtPr>
                  <w:sdtContent>
                    <w:p>
                      <w:pPr>
                        <w:ind w:firstLine="993"/>
                        <w:jc w:val="both"/>
                        <w:rPr>
                          <w:sz w:val="18"/>
                          <w:szCs w:val="18"/>
                        </w:rPr>
                      </w:pPr>
                      <w:sdt>
                        <w:sdtPr>
                          <w:alias w:val="Numeris"/>
                          <w:tag w:val="nr_d4fa2a5faf214dfdb76706a7d2fc62e9"/>
                          <w:lock w:val="sdtLocked"/>
                          <w:richText/>
                        </w:sdtPr>
                        <w:sdtContent>
                          <w:r>
                            <w:rPr>
                              <w:sz w:val="18"/>
                              <w:szCs w:val="18"/>
                            </w:rPr>
                            <w:t>3</w:t>
                          </w:r>
                        </w:sdtContent>
                      </w:sdt>
                      <w:r>
                        <w:rPr>
                          <w:sz w:val="18"/>
                          <w:szCs w:val="18"/>
                        </w:rPr>
                        <w:t xml:space="preserve">. 3 skiltyje rezultato rodikliai nurodomi tokie patys, kokie nurodyti plėtros programoje.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83c5bc8033604e839193f968cfa39cca"/>
                    <w:lock w:val="sdtLocked"/>
                    <w:richText/>
                  </w:sdtPr>
                  <w:sdtContent>
                    <w:p>
                      <w:pPr>
                        <w:ind w:firstLine="993"/>
                        <w:jc w:val="both"/>
                        <w:rPr>
                          <w:sz w:val="18"/>
                          <w:szCs w:val="18"/>
                        </w:rPr>
                      </w:pPr>
                      <w:sdt>
                        <w:sdtPr>
                          <w:alias w:val="Numeris"/>
                          <w:tag w:val="nr_83c5bc8033604e839193f968cfa39cca"/>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galutinė siektina rodiklio reikšme skliaustuose nurodomi kiti teisingi tarpinės ir (ar) galutinės siektinos rodiklio reikšmės pasiekimo metai.  </w:t>
                      </w:r>
                    </w:p>
                  </w:sdtContent>
                </w:sdt>
                <w:sdt>
                  <w:sdtPr>
                    <w:alias w:val="5 p."/>
                    <w:tag w:val="part_0df8d60d0efa4b4bb0a9b2503392d5ee"/>
                    <w:lock w:val="sdtLocked"/>
                    <w:richText/>
                  </w:sdtPr>
                  <w:sdtContent>
                    <w:p>
                      <w:pPr>
                        <w:ind w:firstLine="993"/>
                        <w:jc w:val="both"/>
                        <w:rPr>
                          <w:sz w:val="22"/>
                          <w:szCs w:val="22"/>
                        </w:rPr>
                      </w:pPr>
                      <w:sdt>
                        <w:sdtPr>
                          <w:alias w:val="Numeris"/>
                          <w:tag w:val="nr_0df8d60d0efa4b4bb0a9b2503392d5ee"/>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jc w:val="both"/>
                        <w:rPr>
                          <w:b/>
                          <w:sz w:val="22"/>
                          <w:szCs w:val="22"/>
                        </w:rPr>
                      </w:pPr>
                      <w:r>
                        <w:rPr>
                          <w:b/>
                          <w:sz w:val="22"/>
                          <w:szCs w:val="22"/>
                        </w:rPr>
                        <w:br w:type="page"/>
                      </w:r>
                    </w:p>
                    <w:p>
                      <w:pPr>
                        <w:rPr>
                          <w:sz w:val="10"/>
                          <w:szCs w:val="10"/>
                        </w:rPr>
                      </w:pPr>
                    </w:p>
                  </w:sdtContent>
                </w:sdt>
              </w:sdtContent>
            </w:sdt>
          </w:sdtContent>
        </w:sdt>
        <w:sdt>
          <w:sdtPr>
            <w:alias w:val="skyrius"/>
            <w:tag w:val="part_2693f54d74754923ab0996f1c360d7d1"/>
            <w:lock w:val="sdtLocked"/>
            <w:richText/>
          </w:sdtPr>
          <w:sdtContent>
            <w:p>
              <w:pPr>
                <w:jc w:val="center"/>
                <w:rPr>
                  <w:b/>
                  <w:sz w:val="22"/>
                  <w:szCs w:val="22"/>
                </w:rPr>
              </w:pPr>
              <w:sdt>
                <w:sdtPr>
                  <w:alias w:val="Numeris"/>
                  <w:tag w:val="nr_2693f54d74754923ab0996f1c360d7d1"/>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2693f54d74754923ab0996f1c360d7d1"/>
                  <w:lock w:val="sdtLocked"/>
                  <w:richText/>
                </w:sdtPr>
                <w:sdtContent>
                  <w:r>
                    <w:rPr>
                      <w:b/>
                      <w:sz w:val="22"/>
                      <w:szCs w:val="22"/>
                    </w:rPr>
                    <w:t>PLĖTROS PROGRAMOS PAŽANGOS PRIEMONĖS FINANSAVIMO ŠALTINIAI</w:t>
                  </w:r>
                </w:sdtContent>
              </w:sdt>
            </w:p>
            <w:p>
              <w:pPr>
                <w:jc w:val="center"/>
                <w:rPr>
                  <w:b/>
                  <w:sz w:val="22"/>
                  <w:szCs w:val="22"/>
                </w:rPr>
              </w:pPr>
            </w:p>
            <w:tbl>
              <w:tblPr>
                <w:tblW w:w="10490" w:type="dxa"/>
                <w:jc w:val="center"/>
                <w:tblLayout w:type="fixed"/>
                <w:tblCellMar>
                  <w:left w:w="30" w:type="dxa"/>
                  <w:right w:w="30" w:type="dxa"/>
                </w:tblCellMar>
                <w:tblLook w:val="04A0" w:firstRow="1" w:lastRow="0" w:firstColumn="1" w:lastColumn="0" w:noHBand="0" w:noVBand="1"/>
              </w:tblPr>
              <w:tblGrid>
                <w:gridCol w:w="6781"/>
                <w:gridCol w:w="3674"/>
                <w:gridCol w:w="35"/>
              </w:tblGrid>
              <w:tr>
                <w:trPr>
                  <w:gridAfter w:val="1"/>
                  <w:wAfter w:w="35" w:type="dxa"/>
                  <w:cantSplit/>
                  <w:trHeight w:val="272"/>
                  <w:jc w:val="center"/>
                </w:trPr>
                <w:tc>
                  <w:tcPr>
                    <w:tcW w:w="680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18"/>
                        <w:szCs w:val="18"/>
                      </w:rPr>
                    </w:pPr>
                    <w:r>
                      <w:rPr>
                        <w:b/>
                        <w:sz w:val="18"/>
                        <w:szCs w:val="18"/>
                      </w:rPr>
                      <w:t>Finansavimo apimtis ir šaltiniai</w:t>
                    </w:r>
                  </w:p>
                </w:tc>
                <w:tc>
                  <w:tcPr>
                    <w:tcW w:w="368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ind w:left="15" w:hanging="15"/>
                      <w:jc w:val="center"/>
                      <w:rPr>
                        <w:b/>
                        <w:sz w:val="18"/>
                        <w:szCs w:val="18"/>
                      </w:rPr>
                    </w:pPr>
                    <w:r>
                      <w:rPr>
                        <w:b/>
                        <w:sz w:val="18"/>
                        <w:szCs w:val="18"/>
                      </w:rPr>
                      <w:t>Lėšų poreikis (tūkst. eurų)</w:t>
                    </w:r>
                  </w:p>
                </w:tc>
              </w:tr>
              <w:tr>
                <w:trPr>
                  <w:gridAfter w:val="1"/>
                  <w:wAfter w:w="35" w:type="dxa"/>
                  <w:cantSplit/>
                  <w:trHeight w:val="272"/>
                  <w:jc w:val="center"/>
                </w:trPr>
                <w:tc>
                  <w:tcPr>
                    <w:tcW w:w="680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16"/>
                        <w:szCs w:val="16"/>
                      </w:rPr>
                    </w:pPr>
                    <w:r>
                      <w:rPr>
                        <w:b/>
                        <w:sz w:val="16"/>
                        <w:szCs w:val="16"/>
                      </w:rPr>
                      <w:t>1</w:t>
                    </w:r>
                  </w:p>
                </w:tc>
                <w:tc>
                  <w:tcPr>
                    <w:tcW w:w="3686"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16"/>
                        <w:szCs w:val="16"/>
                      </w:rPr>
                    </w:pPr>
                    <w:r>
                      <w:rPr>
                        <w:b/>
                        <w:sz w:val="16"/>
                        <w:szCs w:val="16"/>
                      </w:rPr>
                      <w:t>2</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3686" w:type="dxa"/>
                    <w:tcBorders>
                      <w:top w:val="single" w:sz="4" w:space="0" w:color="auto"/>
                      <w:left w:val="single" w:sz="4" w:space="0" w:color="auto"/>
                      <w:bottom w:val="single" w:sz="4" w:space="0" w:color="auto"/>
                      <w:right w:val="single" w:sz="4" w:space="0" w:color="auto"/>
                    </w:tcBorders>
                  </w:tcPr>
                  <w:p>
                    <w:pPr>
                      <w:jc w:val="right"/>
                      <w:rPr>
                        <w:b/>
                        <w:sz w:val="22"/>
                        <w:szCs w:val="22"/>
                      </w:rPr>
                    </w:pPr>
                    <w:r>
                      <w:rPr>
                        <w:b/>
                        <w:sz w:val="22"/>
                        <w:szCs w:val="22"/>
                      </w:rPr>
                      <w:t>80 000</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ind w:firstLine="62"/>
                      <w:rPr>
                        <w:sz w:val="18"/>
                        <w:szCs w:val="18"/>
                      </w:rPr>
                    </w:pPr>
                    <w:r>
                      <w:rPr>
                        <w:sz w:val="18"/>
                        <w:szCs w:val="18"/>
                      </w:rPr>
                      <w:t xml:space="preserve">1.1.1.1.1. Valstybės biudžeto lėšos </w:t>
                    </w:r>
                    <w:r>
                      <w:rPr>
                        <w:b/>
                        <w:bCs/>
                        <w:sz w:val="18"/>
                        <w:szCs w:val="18"/>
                      </w:rPr>
                      <w:t>AR</w:t>
                    </w:r>
                    <w:r>
                      <w:rPr>
                        <w:sz w:val="18"/>
                        <w:szCs w:val="18"/>
                      </w:rPr>
                      <w:t xml:space="preserve"> 1.1.1.1.5. Valstybės biudžeto lėšos, kai programos sąmata didinama iš valstybės vardu pasiskolintų lėšų, kurios naudojamos viršijant Lietuvos Respublikos Seimo patvirtintas bendras asignavimų sumas </w:t>
                    </w:r>
                    <w:r>
                      <w:rPr>
                        <w:b/>
                        <w:bCs/>
                        <w:sz w:val="18"/>
                        <w:szCs w:val="18"/>
                      </w:rPr>
                      <w:t>AR</w:t>
                    </w:r>
                    <w:r>
                      <w:rPr>
                        <w:sz w:val="18"/>
                        <w:szCs w:val="18"/>
                      </w:rPr>
                      <w:t xml:space="preserve"> 1.1.1.1.11. Valstybės biudžeto lėšos, skirtos pagalbos priemonėms dėl Rusijos Federacijos karinių veiksmų Ukrainoje? (pagal paramos gavėjų tipą, tikėtina bus šis paskutinis šaltinis)</w:t>
                    </w:r>
                  </w:p>
                </w:tc>
                <w:tc>
                  <w:tcPr>
                    <w:tcW w:w="3686" w:type="dxa"/>
                    <w:tcBorders>
                      <w:top w:val="single" w:sz="4" w:space="0" w:color="auto"/>
                      <w:left w:val="single" w:sz="4" w:space="0" w:color="auto"/>
                      <w:bottom w:val="single" w:sz="4" w:space="0" w:color="auto"/>
                      <w:right w:val="single" w:sz="4" w:space="0" w:color="auto"/>
                    </w:tcBorders>
                  </w:tcPr>
                  <w:p>
                    <w:pPr>
                      <w:jc w:val="right"/>
                      <w:rPr>
                        <w:sz w:val="22"/>
                        <w:szCs w:val="22"/>
                      </w:rPr>
                    </w:pPr>
                    <w:r>
                      <w:rPr>
                        <w:sz w:val="22"/>
                        <w:szCs w:val="22"/>
                      </w:rPr>
                      <w:t>80 000</w:t>
                    </w:r>
                  </w:p>
                  <w:p>
                    <w:pPr>
                      <w:ind w:firstLine="57"/>
                      <w:jc w:val="right"/>
                      <w:rPr>
                        <w:sz w:val="22"/>
                        <w:szCs w:val="22"/>
                      </w:rPr>
                    </w:pPr>
                    <w:r>
                      <w:rPr>
                        <w:sz w:val="22"/>
                        <w:szCs w:val="22"/>
                      </w:rPr>
                      <w:t>(pastaba)</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3686" w:type="dxa"/>
                    <w:tcBorders>
                      <w:top w:val="single" w:sz="4" w:space="0" w:color="auto"/>
                      <w:left w:val="single" w:sz="4" w:space="0" w:color="auto"/>
                      <w:bottom w:val="single" w:sz="4" w:space="0" w:color="auto"/>
                      <w:right w:val="single" w:sz="4" w:space="0" w:color="auto"/>
                    </w:tcBorders>
                  </w:tcPr>
                  <w:p>
                    <w:pPr>
                      <w:jc w:val="right"/>
                      <w:rPr>
                        <w:sz w:val="22"/>
                        <w:szCs w:val="22"/>
                      </w:rPr>
                    </w:pPr>
                    <w:r>
                      <w:rPr>
                        <w:sz w:val="22"/>
                        <w:szCs w:val="22"/>
                      </w:rPr>
                      <w:t>–</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3686" w:type="dxa"/>
                    <w:tcBorders>
                      <w:top w:val="single" w:sz="4" w:space="0" w:color="auto"/>
                      <w:left w:val="single" w:sz="4" w:space="0" w:color="auto"/>
                      <w:bottom w:val="single" w:sz="4" w:space="0" w:color="auto"/>
                      <w:right w:val="single" w:sz="4" w:space="0" w:color="auto"/>
                    </w:tcBorders>
                  </w:tcPr>
                  <w:p>
                    <w:pPr>
                      <w:jc w:val="right"/>
                      <w:rPr>
                        <w:sz w:val="22"/>
                        <w:szCs w:val="22"/>
                      </w:rPr>
                    </w:pPr>
                    <w:r>
                      <w:rPr>
                        <w:sz w:val="22"/>
                        <w:szCs w:val="22"/>
                      </w:rPr>
                      <w:t>–</w:t>
                    </w:r>
                  </w:p>
                </w:tc>
              </w:tr>
              <w:tr>
                <w:trPr>
                  <w:gridAfter w:val="1"/>
                  <w:wAfter w:w="35" w:type="dxa"/>
                  <w:cantSplit/>
                  <w:trHeight w:val="228"/>
                  <w:jc w:val="center"/>
                </w:trPr>
                <w:tc>
                  <w:tcPr>
                    <w:tcW w:w="6804"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18"/>
                        <w:szCs w:val="18"/>
                      </w:rPr>
                    </w:pPr>
                    <w:r>
                      <w:rPr>
                        <w:b/>
                        <w:sz w:val="18"/>
                        <w:szCs w:val="18"/>
                      </w:rPr>
                      <w:t>1.4. Biudžetinių įstaigų pajamų įmokos ir kitos pajamos</w:t>
                    </w:r>
                    <w:r>
                      <w:rPr>
                        <w:b/>
                        <w:sz w:val="20"/>
                      </w:rPr>
                      <w:t xml:space="preserve"> </w:t>
                    </w:r>
                  </w:p>
                </w:tc>
                <w:tc>
                  <w:tcPr>
                    <w:tcW w:w="3686" w:type="dxa"/>
                    <w:tcBorders>
                      <w:top w:val="single" w:sz="4" w:space="0" w:color="auto"/>
                      <w:left w:val="single" w:sz="4" w:space="0" w:color="auto"/>
                      <w:bottom w:val="single" w:sz="4" w:space="0" w:color="auto"/>
                      <w:right w:val="single" w:sz="4" w:space="0" w:color="auto"/>
                    </w:tcBorders>
                  </w:tcPr>
                  <w:p>
                    <w:pPr>
                      <w:jc w:val="right"/>
                      <w:rPr>
                        <w:b/>
                        <w:sz w:val="22"/>
                        <w:szCs w:val="22"/>
                      </w:rPr>
                    </w:pPr>
                    <w:r>
                      <w:rPr>
                        <w:b/>
                        <w:sz w:val="22"/>
                        <w:szCs w:val="22"/>
                      </w:rPr>
                      <w:t>162 500</w:t>
                    </w:r>
                  </w:p>
                </w:tc>
              </w:tr>
              <w:tr>
                <w:trPr>
                  <w:cantSplit/>
                  <w:trHeight w:val="228"/>
                  <w:jc w:val="center"/>
                </w:trPr>
                <w:tc>
                  <w:tcPr>
                    <w:tcW w:w="6804"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sz w:val="18"/>
                        <w:szCs w:val="18"/>
                      </w:rPr>
                    </w:pPr>
                    <w:r>
                      <w:rPr>
                        <w:sz w:val="18"/>
                        <w:szCs w:val="18"/>
                      </w:rPr>
                      <w:t>1.4.3.1.2. Klimato kaitos programos lėšos</w:t>
                    </w:r>
                  </w:p>
                </w:tc>
                <w:tc>
                  <w:tcPr>
                    <w:tcW w:w="3686" w:type="dxa"/>
                    <w:gridSpan w:val="2"/>
                    <w:tcBorders>
                      <w:top w:val="single" w:sz="4" w:space="0" w:color="auto"/>
                      <w:left w:val="single" w:sz="4" w:space="0" w:color="auto"/>
                      <w:bottom w:val="single" w:sz="4" w:space="0" w:color="auto"/>
                      <w:right w:val="single" w:sz="4" w:space="0" w:color="auto"/>
                    </w:tcBorders>
                  </w:tcPr>
                  <w:p>
                    <w:pPr>
                      <w:jc w:val="right"/>
                      <w:rPr>
                        <w:sz w:val="22"/>
                        <w:szCs w:val="22"/>
                      </w:rPr>
                    </w:pPr>
                    <w:r>
                      <w:rPr>
                        <w:sz w:val="22"/>
                        <w:szCs w:val="22"/>
                      </w:rPr>
                      <w:t>162 500</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3686" w:type="dxa"/>
                    <w:tcBorders>
                      <w:top w:val="single" w:sz="4" w:space="0" w:color="auto"/>
                      <w:left w:val="single" w:sz="4" w:space="0" w:color="auto"/>
                      <w:bottom w:val="single" w:sz="4" w:space="0" w:color="auto"/>
                      <w:right w:val="single" w:sz="4" w:space="0" w:color="auto"/>
                    </w:tcBorders>
                  </w:tcPr>
                  <w:p>
                    <w:pPr>
                      <w:jc w:val="right"/>
                      <w:rPr>
                        <w:b/>
                        <w:sz w:val="22"/>
                        <w:szCs w:val="22"/>
                      </w:rPr>
                    </w:pPr>
                    <w:r>
                      <w:rPr>
                        <w:b/>
                        <w:sz w:val="22"/>
                        <w:szCs w:val="22"/>
                      </w:rPr>
                      <w:t>448</w:t>
                    </w:r>
                    <w:r>
                      <w:rPr>
                        <w:sz w:val="22"/>
                        <w:szCs w:val="22"/>
                      </w:rPr>
                      <w:t> </w:t>
                    </w:r>
                    <w:r>
                      <w:rPr>
                        <w:b/>
                        <w:sz w:val="22"/>
                        <w:szCs w:val="22"/>
                      </w:rPr>
                      <w:t>520</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3686" w:type="dxa"/>
                    <w:tcBorders>
                      <w:top w:val="single" w:sz="4" w:space="0" w:color="auto"/>
                      <w:left w:val="single" w:sz="4" w:space="0" w:color="auto"/>
                      <w:bottom w:val="single" w:sz="4" w:space="0" w:color="auto"/>
                      <w:right w:val="single" w:sz="4" w:space="0" w:color="auto"/>
                    </w:tcBorders>
                  </w:tcPr>
                  <w:p>
                    <w:pPr>
                      <w:jc w:val="right"/>
                      <w:rPr>
                        <w:sz w:val="22"/>
                        <w:szCs w:val="22"/>
                      </w:rPr>
                    </w:pPr>
                    <w:r>
                      <w:rPr>
                        <w:sz w:val="22"/>
                        <w:szCs w:val="22"/>
                      </w:rPr>
                      <w:t>–</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3686" w:type="dxa"/>
                    <w:tcBorders>
                      <w:top w:val="single" w:sz="4" w:space="0" w:color="auto"/>
                      <w:left w:val="single" w:sz="4" w:space="0" w:color="auto"/>
                      <w:bottom w:val="single" w:sz="4" w:space="0" w:color="auto"/>
                      <w:right w:val="single" w:sz="4" w:space="0" w:color="auto"/>
                    </w:tcBorders>
                  </w:tcPr>
                  <w:p>
                    <w:pPr>
                      <w:jc w:val="right"/>
                      <w:rPr>
                        <w:sz w:val="22"/>
                        <w:szCs w:val="22"/>
                      </w:rPr>
                    </w:pPr>
                    <w:r>
                      <w:rPr>
                        <w:sz w:val="22"/>
                        <w:szCs w:val="22"/>
                      </w:rPr>
                      <w:t>448 520</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3686" w:type="dxa"/>
                    <w:tcBorders>
                      <w:top w:val="single" w:sz="4" w:space="0" w:color="auto"/>
                      <w:left w:val="single" w:sz="4" w:space="0" w:color="auto"/>
                      <w:bottom w:val="single" w:sz="4" w:space="0" w:color="auto"/>
                      <w:right w:val="single" w:sz="4" w:space="0" w:color="auto"/>
                    </w:tcBorders>
                  </w:tcPr>
                  <w:p>
                    <w:pPr>
                      <w:ind w:firstLine="57"/>
                      <w:jc w:val="right"/>
                      <w:rPr>
                        <w:sz w:val="22"/>
                        <w:szCs w:val="22"/>
                      </w:rPr>
                    </w:pPr>
                    <w:r>
                      <w:rPr>
                        <w:sz w:val="22"/>
                        <w:szCs w:val="22"/>
                      </w:rPr>
                      <w:t>–</w:t>
                    </w:r>
                  </w:p>
                </w:tc>
              </w:tr>
              <w:tr>
                <w:trPr>
                  <w:gridAfter w:val="1"/>
                  <w:wAfter w:w="35" w:type="dxa"/>
                  <w:cantSplit/>
                  <w:trHeight w:val="16"/>
                  <w:jc w:val="center"/>
                </w:trPr>
                <w:tc>
                  <w:tcPr>
                    <w:tcW w:w="680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18"/>
                        <w:szCs w:val="18"/>
                      </w:rPr>
                    </w:pPr>
                    <w:r>
                      <w:rPr>
                        <w:b/>
                        <w:sz w:val="18"/>
                        <w:szCs w:val="18"/>
                      </w:rPr>
                      <w:t>IŠ VISO:</w:t>
                    </w:r>
                  </w:p>
                </w:tc>
                <w:tc>
                  <w:tcPr>
                    <w:tcW w:w="3686"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right"/>
                      <w:rPr>
                        <w:b/>
                        <w:bCs/>
                        <w:sz w:val="22"/>
                        <w:szCs w:val="22"/>
                      </w:rPr>
                    </w:pPr>
                    <w:r>
                      <w:rPr>
                        <w:b/>
                        <w:bCs/>
                        <w:sz w:val="22"/>
                        <w:szCs w:val="22"/>
                      </w:rPr>
                      <w:t xml:space="preserve">691 020 </w:t>
                    </w:r>
                  </w:p>
                </w:tc>
              </w:tr>
            </w:tbl>
            <w:p>
              <w:pPr>
                <w:rPr>
                  <w:sz w:val="18"/>
                  <w:szCs w:val="18"/>
                </w:rPr>
              </w:pPr>
              <w:r>
                <w:rPr>
                  <w:b/>
                  <w:bCs/>
                  <w:sz w:val="18"/>
                  <w:szCs w:val="18"/>
                </w:rPr>
                <w:t>Pastaba</w:t>
              </w:r>
              <w:r>
                <w:rPr>
                  <w:sz w:val="18"/>
                  <w:szCs w:val="18"/>
                </w:rPr>
                <w:t>. Į finansines projekcijas neįtrauktos Lietuvos Respublikos 2022 metų valstybės biudžeto ir savivaldybių biudžetų finansinių rodiklių patvirtinimo įstatymo pakeitimo projekte AM planuojamos pažangos lėšos.</w:t>
              </w:r>
            </w:p>
            <w:sdt>
              <w:sdtPr>
                <w:alias w:val="poskyris"/>
                <w:tag w:val="part_06bb2010b5294c0ba52601a2ebaf427a"/>
                <w:lock w:val="sdtLocked"/>
                <w:richText/>
              </w:sdtPr>
              <w:sdtContent>
                <w:p>
                  <w:pPr>
                    <w:rPr>
                      <w:b/>
                      <w:sz w:val="18"/>
                      <w:szCs w:val="18"/>
                    </w:rPr>
                  </w:pPr>
                  <w:sdt>
                    <w:sdtPr>
                      <w:alias w:val="Pavadinimas"/>
                      <w:tag w:val="title_06bb2010b5294c0ba52601a2ebaf427a"/>
                      <w:lock w:val="sdtLocked"/>
                      <w:richText/>
                    </w:sdtPr>
                    <w:sdtContent>
                      <w:r>
                        <w:rPr>
                          <w:b/>
                          <w:sz w:val="18"/>
                          <w:szCs w:val="18"/>
                        </w:rPr>
                        <w:t>Paaiškinimai:</w:t>
                      </w:r>
                    </w:sdtContent>
                  </w:sdt>
                </w:p>
                <w:sdt>
                  <w:sdtPr>
                    <w:alias w:val="1 p."/>
                    <w:tag w:val="part_5689a0a6e5a24661884611613f17fc29"/>
                    <w:lock w:val="sdtLocked"/>
                    <w:richText/>
                  </w:sdtPr>
                  <w:sdtContent>
                    <w:p>
                      <w:pPr>
                        <w:ind w:firstLine="993"/>
                        <w:jc w:val="both"/>
                        <w:rPr>
                          <w:sz w:val="18"/>
                          <w:szCs w:val="18"/>
                        </w:rPr>
                      </w:pPr>
                      <w:sdt>
                        <w:sdtPr>
                          <w:alias w:val="Numeris"/>
                          <w:tag w:val="nr_5689a0a6e5a24661884611613f17fc29"/>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ab1f389584e3fb719fd1eda4017bb"/>
                    <w:lock w:val="sdtLocked"/>
                    <w:richText/>
                  </w:sdtPr>
                  <w:sdtContent>
                    <w:p>
                      <w:pPr>
                        <w:ind w:firstLine="993"/>
                        <w:jc w:val="both"/>
                        <w:rPr>
                          <w:sz w:val="18"/>
                          <w:szCs w:val="18"/>
                        </w:rPr>
                      </w:pPr>
                      <w:sdt>
                        <w:sdtPr>
                          <w:alias w:val="Numeris"/>
                          <w:tag w:val="nr_86dab1f389584e3fb719fd1eda4017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0dc1683f57ed4d7094f6de182a693630"/>
                    <w:lock w:val="sdtLocked"/>
                    <w:richText/>
                  </w:sdtPr>
                  <w:sdtContent>
                    <w:p>
                      <w:pPr>
                        <w:ind w:firstLine="993"/>
                        <w:jc w:val="both"/>
                        <w:rPr>
                          <w:sz w:val="18"/>
                          <w:szCs w:val="18"/>
                        </w:rPr>
                      </w:pPr>
                      <w:sdt>
                        <w:sdtPr>
                          <w:alias w:val="Numeris"/>
                          <w:tag w:val="nr_0dc1683f57ed4d7094f6de182a69363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
                      <w:r>
                        <w:br w:type="page"/>
                      </w:r>
                    </w:p>
                  </w:sdtContent>
                </w:sdt>
              </w:sdtContent>
            </w:sdt>
          </w:sdtContent>
        </w:sdt>
        <w:sdt>
          <w:sdtPr>
            <w:alias w:val="skyrius"/>
            <w:tag w:val="part_35a27e6915984015a127639259a43d34"/>
            <w:lock w:val="sdtLocked"/>
            <w:richText/>
          </w:sdtPr>
          <w:sdtContent>
            <w:p>
              <w:pPr>
                <w:jc w:val="center"/>
                <w:rPr>
                  <w:b/>
                  <w:bCs/>
                </w:rPr>
              </w:pPr>
              <w:sdt>
                <w:sdtPr>
                  <w:alias w:val="Numeris"/>
                  <w:tag w:val="nr_35a27e6915984015a127639259a43d34"/>
                  <w:lock w:val="sdtLocked"/>
                  <w:richText/>
                </w:sdtPr>
                <w:sdtContent>
                  <w:r>
                    <w:rPr>
                      <w:b/>
                      <w:bCs/>
                    </w:rPr>
                    <w:t>III</w:t>
                  </w:r>
                </w:sdtContent>
              </w:sdt>
              <w:r>
                <w:rPr>
                  <w:b/>
                  <w:bCs/>
                </w:rPr>
                <w:t xml:space="preserve"> SKYRIUS</w:t>
              </w:r>
            </w:p>
            <w:p>
              <w:pPr>
                <w:jc w:val="center"/>
                <w:rPr>
                  <w:b/>
                  <w:bCs/>
                </w:rPr>
              </w:pPr>
              <w:sdt>
                <w:sdtPr>
                  <w:alias w:val="Pavadinimas"/>
                  <w:tag w:val="title_35a27e6915984015a127639259a43d34"/>
                  <w:lock w:val="sdtLocked"/>
                  <w:richText/>
                </w:sdtPr>
                <w:sdtContent>
                  <w:r>
                    <w:rPr>
                      <w:b/>
                      <w:bCs/>
                    </w:rPr>
                    <w:t>PLĖTROS PROGRAMOS PAŽANGOS PRIEMONĖS VEIKLŲ SUVESTINĖ</w:t>
                  </w:r>
                </w:sdtContent>
              </w:sdt>
            </w:p>
            <w:p>
              <w:pPr>
                <w:jc w:val="center"/>
                <w:rPr>
                  <w:b/>
                  <w:bCs/>
                </w:rPr>
              </w:pPr>
            </w:p>
            <w:tbl>
              <w:tblPr>
                <w:tblW w:w="1600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20"/>
                <w:gridCol w:w="901"/>
                <w:gridCol w:w="1829"/>
                <w:gridCol w:w="850"/>
                <w:gridCol w:w="1005"/>
                <w:gridCol w:w="1019"/>
                <w:gridCol w:w="850"/>
                <w:gridCol w:w="720"/>
                <w:gridCol w:w="825"/>
                <w:gridCol w:w="1109"/>
                <w:gridCol w:w="1276"/>
                <w:gridCol w:w="981"/>
                <w:gridCol w:w="825"/>
                <w:gridCol w:w="993"/>
                <w:gridCol w:w="898"/>
              </w:tblGrid>
              <w:tr>
                <w:trPr>
                  <w:trHeight w:val="1425"/>
                  <w:tblHeader/>
                </w:trPr>
                <w:tc>
                  <w:tcPr>
                    <w:tcW w:w="1920" w:type="dxa"/>
                    <w:shd w:val="clear" w:color="auto" w:fill="DBE5F1" w:themeFill="accent1" w:themeFillTint="33"/>
                    <w:vAlign w:val="center"/>
                  </w:tcPr>
                  <w:p>
                    <w:pPr>
                      <w:ind w:left="-57" w:right="-57"/>
                      <w:jc w:val="center"/>
                      <w:rPr>
                        <w:b/>
                        <w:sz w:val="16"/>
                        <w:szCs w:val="16"/>
                      </w:rPr>
                    </w:pPr>
                    <w:r>
                      <w:rPr>
                        <w:b/>
                        <w:sz w:val="16"/>
                        <w:szCs w:val="16"/>
                      </w:rPr>
                      <w:t>Veikla</w:t>
                    </w:r>
                  </w:p>
                </w:tc>
                <w:tc>
                  <w:tcPr>
                    <w:tcW w:w="901" w:type="dxa"/>
                    <w:shd w:val="clear" w:color="auto" w:fill="DBE5F1" w:themeFill="accent1" w:themeFillTint="33"/>
                    <w:vAlign w:val="center"/>
                  </w:tcPr>
                  <w:p>
                    <w:pPr>
                      <w:ind w:left="-57" w:right="-57"/>
                      <w:jc w:val="center"/>
                      <w:rPr>
                        <w:b/>
                        <w:bCs/>
                        <w:sz w:val="16"/>
                        <w:szCs w:val="16"/>
                      </w:rPr>
                    </w:pPr>
                    <w:r>
                      <w:rPr>
                        <w:b/>
                        <w:bCs/>
                        <w:sz w:val="16"/>
                        <w:szCs w:val="16"/>
                      </w:rPr>
                      <w:t>Veiklos (poveiklės, projekto) tipas</w:t>
                    </w:r>
                  </w:p>
                </w:tc>
                <w:tc>
                  <w:tcPr>
                    <w:tcW w:w="1829" w:type="dxa"/>
                    <w:shd w:val="clear" w:color="auto" w:fill="DBE5F1" w:themeFill="accent1" w:themeFillTint="33"/>
                    <w:vAlign w:val="center"/>
                  </w:tcPr>
                  <w:p>
                    <w:pPr>
                      <w:ind w:left="-57" w:right="-57"/>
                      <w:jc w:val="center"/>
                      <w:rPr>
                        <w:b/>
                        <w:sz w:val="16"/>
                        <w:szCs w:val="16"/>
                      </w:rPr>
                    </w:pPr>
                    <w:r>
                      <w:rPr>
                        <w:b/>
                        <w:sz w:val="16"/>
                        <w:szCs w:val="16"/>
                      </w:rPr>
                      <w:t>Galimi pareiškėjai</w:t>
                    </w:r>
                  </w:p>
                </w:tc>
                <w:tc>
                  <w:tcPr>
                    <w:tcW w:w="850" w:type="dxa"/>
                    <w:shd w:val="clear" w:color="auto" w:fill="DBE5F1" w:themeFill="accent1" w:themeFillTint="33"/>
                    <w:vAlign w:val="center"/>
                  </w:tcPr>
                  <w:p>
                    <w:pPr>
                      <w:ind w:left="-57" w:right="-57"/>
                      <w:jc w:val="center"/>
                      <w:rPr>
                        <w:b/>
                        <w:sz w:val="16"/>
                        <w:szCs w:val="16"/>
                      </w:rPr>
                    </w:pPr>
                    <w:r>
                      <w:rPr>
                        <w:b/>
                        <w:sz w:val="16"/>
                        <w:szCs w:val="16"/>
                      </w:rPr>
                      <w:t>Projektų</w:t>
                    </w:r>
                  </w:p>
                  <w:p>
                    <w:pPr>
                      <w:ind w:left="-57" w:right="-57"/>
                      <w:jc w:val="center"/>
                      <w:rPr>
                        <w:b/>
                        <w:sz w:val="16"/>
                        <w:szCs w:val="16"/>
                      </w:rPr>
                    </w:pPr>
                    <w:r>
                      <w:rPr>
                        <w:b/>
                        <w:sz w:val="16"/>
                        <w:szCs w:val="16"/>
                      </w:rPr>
                      <w:t>atrankos būdas</w:t>
                    </w:r>
                  </w:p>
                </w:tc>
                <w:tc>
                  <w:tcPr>
                    <w:tcW w:w="1005" w:type="dxa"/>
                    <w:shd w:val="clear" w:color="auto" w:fill="DBE5F1" w:themeFill="accent1" w:themeFillTint="33"/>
                    <w:vAlign w:val="center"/>
                  </w:tcPr>
                  <w:p>
                    <w:pPr>
                      <w:ind w:left="-57" w:right="-57"/>
                      <w:jc w:val="center"/>
                      <w:rPr>
                        <w:b/>
                        <w:sz w:val="16"/>
                        <w:szCs w:val="16"/>
                      </w:rPr>
                    </w:pPr>
                    <w:r>
                      <w:rPr>
                        <w:b/>
                        <w:sz w:val="16"/>
                        <w:szCs w:val="16"/>
                      </w:rPr>
                      <w:t>Valstybei svarbus ar (ir) Ministro Pirmininko strateginių projektų portfelio projektas</w:t>
                    </w:r>
                  </w:p>
                  <w:p>
                    <w:pPr>
                      <w:ind w:left="-57" w:right="-57"/>
                      <w:jc w:val="center"/>
                      <w:rPr>
                        <w:b/>
                        <w:sz w:val="16"/>
                        <w:szCs w:val="16"/>
                      </w:rPr>
                    </w:pPr>
                    <w:r>
                      <w:rPr>
                        <w:b/>
                        <w:sz w:val="16"/>
                        <w:szCs w:val="16"/>
                      </w:rPr>
                      <w:t>(įrašomas požymis: VS, MPP)</w:t>
                    </w:r>
                  </w:p>
                </w:tc>
                <w:tc>
                  <w:tcPr>
                    <w:tcW w:w="1019" w:type="dxa"/>
                    <w:shd w:val="clear" w:color="auto" w:fill="DBE5F1" w:themeFill="accent1" w:themeFillTint="33"/>
                    <w:vAlign w:val="center"/>
                  </w:tcPr>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850" w:type="dxa"/>
                    <w:shd w:val="clear" w:color="auto" w:fill="DBE5F1" w:themeFill="accent1" w:themeFillTint="33"/>
                    <w:vAlign w:val="center"/>
                  </w:tcPr>
                  <w:p>
                    <w:pPr>
                      <w:ind w:left="-57" w:right="-57"/>
                      <w:jc w:val="center"/>
                      <w:rPr>
                        <w:b/>
                        <w:sz w:val="16"/>
                        <w:szCs w:val="16"/>
                      </w:rPr>
                    </w:pPr>
                    <w:r>
                      <w:rPr>
                        <w:b/>
                        <w:sz w:val="16"/>
                        <w:szCs w:val="16"/>
                      </w:rPr>
                      <w:t>Valstybės pagalba (Taip / Ne)</w:t>
                    </w:r>
                  </w:p>
                </w:tc>
                <w:tc>
                  <w:tcPr>
                    <w:tcW w:w="720" w:type="dxa"/>
                    <w:shd w:val="clear" w:color="auto" w:fill="DBE5F1" w:themeFill="accent1" w:themeFillTint="33"/>
                    <w:vAlign w:val="center"/>
                  </w:tcPr>
                  <w:p>
                    <w:pPr>
                      <w:ind w:left="-57" w:right="-57"/>
                      <w:jc w:val="center"/>
                      <w:rPr>
                        <w:b/>
                        <w:sz w:val="16"/>
                        <w:szCs w:val="16"/>
                      </w:rPr>
                    </w:pPr>
                    <w:r>
                      <w:rPr>
                        <w:b/>
                        <w:sz w:val="16"/>
                        <w:szCs w:val="16"/>
                      </w:rPr>
                      <w:t>Finansavimo forma</w:t>
                    </w:r>
                  </w:p>
                </w:tc>
                <w:tc>
                  <w:tcPr>
                    <w:tcW w:w="825" w:type="dxa"/>
                    <w:shd w:val="clear" w:color="auto" w:fill="DBE5F1" w:themeFill="accent1" w:themeFillTint="33"/>
                    <w:vAlign w:val="center"/>
                  </w:tcPr>
                  <w:p>
                    <w:pPr>
                      <w:ind w:left="-57" w:right="-57"/>
                      <w:jc w:val="center"/>
                      <w:rPr>
                        <w:b/>
                        <w:sz w:val="16"/>
                        <w:szCs w:val="16"/>
                        <w:lang w:val="en-US"/>
                      </w:rPr>
                    </w:pPr>
                    <w:r>
                      <w:rPr>
                        <w:b/>
                        <w:sz w:val="16"/>
                        <w:szCs w:val="16"/>
                      </w:rPr>
                      <w:t>Finansa-vimo suma</w:t>
                    </w:r>
                    <w:r>
                      <w:rPr>
                        <w:b/>
                        <w:bCs/>
                        <w:sz w:val="16"/>
                        <w:szCs w:val="16"/>
                      </w:rPr>
                      <w:t xml:space="preserve"> </w:t>
                    </w:r>
                    <w:r>
                      <w:rPr>
                        <w:b/>
                        <w:sz w:val="16"/>
                        <w:szCs w:val="16"/>
                      </w:rPr>
                      <w:t>(tūkst. eurų)</w:t>
                    </w:r>
                  </w:p>
                </w:tc>
                <w:tc>
                  <w:tcPr>
                    <w:tcW w:w="1109" w:type="dxa"/>
                    <w:shd w:val="clear" w:color="auto" w:fill="DBE5F1" w:themeFill="accent1" w:themeFillTint="33"/>
                    <w:vAlign w:val="center"/>
                  </w:tcPr>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p>
                </w:tc>
                <w:tc>
                  <w:tcPr>
                    <w:tcW w:w="1276" w:type="dxa"/>
                    <w:shd w:val="clear" w:color="auto" w:fill="DBE5F1" w:themeFill="accent1" w:themeFillTint="33"/>
                    <w:vAlign w:val="center"/>
                  </w:tcPr>
                  <w:p>
                    <w:pPr>
                      <w:ind w:left="-57" w:right="-57"/>
                      <w:jc w:val="center"/>
                      <w:rPr>
                        <w:b/>
                        <w:sz w:val="16"/>
                        <w:szCs w:val="16"/>
                      </w:rPr>
                    </w:pPr>
                    <w:r>
                      <w:rPr>
                        <w:b/>
                        <w:sz w:val="16"/>
                        <w:szCs w:val="16"/>
                      </w:rPr>
                      <w:t>Rodiklio pavadinimas ir tipas</w:t>
                    </w:r>
                  </w:p>
                </w:tc>
                <w:tc>
                  <w:tcPr>
                    <w:tcW w:w="981" w:type="dxa"/>
                    <w:shd w:val="clear" w:color="auto" w:fill="DBE5F1" w:themeFill="accent1" w:themeFillTint="33"/>
                    <w:vAlign w:val="center"/>
                  </w:tcPr>
                  <w:p>
                    <w:pPr>
                      <w:ind w:left="-57" w:right="-57"/>
                      <w:jc w:val="center"/>
                      <w:rPr>
                        <w:b/>
                        <w:bCs/>
                        <w:sz w:val="16"/>
                        <w:szCs w:val="16"/>
                      </w:rPr>
                    </w:pPr>
                    <w:r>
                      <w:rPr>
                        <w:b/>
                        <w:bCs/>
                        <w:sz w:val="16"/>
                        <w:szCs w:val="16"/>
                      </w:rPr>
                      <w:t xml:space="preserve">Siektina galutinė rodiklio reikšmė </w:t>
                    </w:r>
                  </w:p>
                </w:tc>
                <w:tc>
                  <w:tcPr>
                    <w:tcW w:w="825" w:type="dxa"/>
                    <w:shd w:val="clear" w:color="auto" w:fill="DBE5F1" w:themeFill="accent1" w:themeFillTint="33"/>
                    <w:vAlign w:val="center"/>
                  </w:tcPr>
                  <w:p>
                    <w:pPr>
                      <w:ind w:left="-57" w:right="-57"/>
                      <w:jc w:val="center"/>
                      <w:rPr>
                        <w:b/>
                        <w:bCs/>
                        <w:sz w:val="16"/>
                        <w:szCs w:val="16"/>
                      </w:rPr>
                    </w:pPr>
                    <w:r>
                      <w:rPr>
                        <w:b/>
                        <w:bCs/>
                        <w:sz w:val="16"/>
                        <w:szCs w:val="16"/>
                      </w:rPr>
                      <w:t>Įgyvendinimo pradžia (metai, ketv.)</w:t>
                    </w:r>
                  </w:p>
                </w:tc>
                <w:tc>
                  <w:tcPr>
                    <w:tcW w:w="993" w:type="dxa"/>
                    <w:shd w:val="clear" w:color="auto" w:fill="DBE5F1" w:themeFill="accent1" w:themeFillTint="33"/>
                    <w:vAlign w:val="center"/>
                  </w:tcPr>
                  <w:p>
                    <w:pPr>
                      <w:ind w:left="-57" w:right="-57"/>
                      <w:jc w:val="center"/>
                      <w:rPr>
                        <w:b/>
                        <w:bCs/>
                        <w:strike/>
                        <w:sz w:val="16"/>
                        <w:szCs w:val="16"/>
                      </w:rPr>
                    </w:pPr>
                    <w:r>
                      <w:rPr>
                        <w:b/>
                        <w:bCs/>
                        <w:sz w:val="16"/>
                        <w:szCs w:val="16"/>
                      </w:rPr>
                      <w:t>Adminis-truojančioji institucija</w:t>
                    </w:r>
                  </w:p>
                </w:tc>
                <w:tc>
                  <w:tcPr>
                    <w:tcW w:w="898" w:type="dxa"/>
                    <w:shd w:val="clear" w:color="auto" w:fill="DBE5F1" w:themeFill="accent1" w:themeFillTint="33"/>
                    <w:vAlign w:val="center"/>
                  </w:tcPr>
                  <w:p>
                    <w:pPr>
                      <w:ind w:left="-57" w:right="-57"/>
                      <w:jc w:val="center"/>
                      <w:rPr>
                        <w:b/>
                        <w:bCs/>
                        <w:sz w:val="16"/>
                        <w:szCs w:val="16"/>
                      </w:rPr>
                    </w:pPr>
                    <w:r>
                      <w:rPr>
                        <w:b/>
                        <w:bCs/>
                        <w:sz w:val="16"/>
                        <w:szCs w:val="16"/>
                      </w:rPr>
                      <w:t>Dalyvau-janti institucija</w:t>
                    </w:r>
                  </w:p>
                </w:tc>
              </w:tr>
              <w:tr>
                <w:trPr>
                  <w:trHeight w:val="279"/>
                  <w:tblHeader/>
                </w:trPr>
                <w:tc>
                  <w:tcPr>
                    <w:tcW w:w="1920" w:type="dxa"/>
                    <w:shd w:val="clear" w:color="auto" w:fill="DBE5F1" w:themeFill="accent1" w:themeFillTint="33"/>
                    <w:vAlign w:val="center"/>
                  </w:tcPr>
                  <w:p>
                    <w:pPr>
                      <w:ind w:left="-57" w:right="-57"/>
                      <w:jc w:val="center"/>
                      <w:rPr>
                        <w:b/>
                        <w:sz w:val="16"/>
                        <w:szCs w:val="16"/>
                      </w:rPr>
                    </w:pPr>
                    <w:r>
                      <w:rPr>
                        <w:b/>
                        <w:sz w:val="16"/>
                        <w:szCs w:val="16"/>
                      </w:rPr>
                      <w:t>1</w:t>
                    </w:r>
                  </w:p>
                </w:tc>
                <w:tc>
                  <w:tcPr>
                    <w:tcW w:w="901" w:type="dxa"/>
                    <w:shd w:val="clear" w:color="auto" w:fill="DBE5F1" w:themeFill="accent1" w:themeFillTint="33"/>
                    <w:vAlign w:val="center"/>
                  </w:tcPr>
                  <w:p>
                    <w:pPr>
                      <w:ind w:left="-57" w:right="-57"/>
                      <w:jc w:val="center"/>
                      <w:rPr>
                        <w:b/>
                        <w:sz w:val="16"/>
                        <w:szCs w:val="16"/>
                      </w:rPr>
                    </w:pPr>
                    <w:r>
                      <w:rPr>
                        <w:b/>
                        <w:sz w:val="16"/>
                        <w:szCs w:val="16"/>
                      </w:rPr>
                      <w:t>2</w:t>
                    </w:r>
                  </w:p>
                </w:tc>
                <w:tc>
                  <w:tcPr>
                    <w:tcW w:w="1829" w:type="dxa"/>
                    <w:shd w:val="clear" w:color="auto" w:fill="DBE5F1" w:themeFill="accent1" w:themeFillTint="33"/>
                    <w:vAlign w:val="center"/>
                  </w:tcPr>
                  <w:p>
                    <w:pPr>
                      <w:ind w:left="-57" w:right="-57"/>
                      <w:jc w:val="center"/>
                      <w:rPr>
                        <w:b/>
                        <w:sz w:val="16"/>
                        <w:szCs w:val="16"/>
                      </w:rPr>
                    </w:pPr>
                    <w:r>
                      <w:rPr>
                        <w:b/>
                        <w:sz w:val="16"/>
                        <w:szCs w:val="16"/>
                      </w:rPr>
                      <w:t>3</w:t>
                    </w:r>
                  </w:p>
                </w:tc>
                <w:tc>
                  <w:tcPr>
                    <w:tcW w:w="850" w:type="dxa"/>
                    <w:shd w:val="clear" w:color="auto" w:fill="DBE5F1" w:themeFill="accent1" w:themeFillTint="33"/>
                    <w:vAlign w:val="center"/>
                  </w:tcPr>
                  <w:p>
                    <w:pPr>
                      <w:ind w:left="-57" w:right="-57"/>
                      <w:jc w:val="center"/>
                      <w:rPr>
                        <w:b/>
                        <w:sz w:val="16"/>
                        <w:szCs w:val="16"/>
                      </w:rPr>
                    </w:pPr>
                    <w:r>
                      <w:rPr>
                        <w:b/>
                        <w:sz w:val="16"/>
                        <w:szCs w:val="16"/>
                      </w:rPr>
                      <w:t>4</w:t>
                    </w:r>
                  </w:p>
                </w:tc>
                <w:tc>
                  <w:tcPr>
                    <w:tcW w:w="1005" w:type="dxa"/>
                    <w:shd w:val="clear" w:color="auto" w:fill="DBE5F1" w:themeFill="accent1" w:themeFillTint="33"/>
                    <w:vAlign w:val="center"/>
                  </w:tcPr>
                  <w:p>
                    <w:pPr>
                      <w:ind w:left="-57" w:right="-57"/>
                      <w:jc w:val="center"/>
                      <w:rPr>
                        <w:b/>
                        <w:sz w:val="16"/>
                        <w:szCs w:val="16"/>
                      </w:rPr>
                    </w:pPr>
                    <w:r>
                      <w:rPr>
                        <w:b/>
                        <w:sz w:val="16"/>
                        <w:szCs w:val="16"/>
                      </w:rPr>
                      <w:t>5</w:t>
                    </w:r>
                  </w:p>
                </w:tc>
                <w:tc>
                  <w:tcPr>
                    <w:tcW w:w="1019" w:type="dxa"/>
                    <w:shd w:val="clear" w:color="auto" w:fill="DBE5F1" w:themeFill="accent1" w:themeFillTint="33"/>
                    <w:vAlign w:val="center"/>
                  </w:tcPr>
                  <w:p>
                    <w:pPr>
                      <w:ind w:left="-57" w:right="-57"/>
                      <w:jc w:val="center"/>
                      <w:rPr>
                        <w:b/>
                        <w:sz w:val="16"/>
                        <w:szCs w:val="16"/>
                      </w:rPr>
                    </w:pPr>
                    <w:r>
                      <w:rPr>
                        <w:b/>
                        <w:sz w:val="16"/>
                        <w:szCs w:val="16"/>
                      </w:rPr>
                      <w:t>6</w:t>
                    </w:r>
                  </w:p>
                </w:tc>
                <w:tc>
                  <w:tcPr>
                    <w:tcW w:w="850" w:type="dxa"/>
                    <w:shd w:val="clear" w:color="auto" w:fill="DBE5F1" w:themeFill="accent1" w:themeFillTint="33"/>
                    <w:vAlign w:val="center"/>
                  </w:tcPr>
                  <w:p>
                    <w:pPr>
                      <w:ind w:left="-57" w:right="-57"/>
                      <w:jc w:val="center"/>
                      <w:rPr>
                        <w:b/>
                        <w:sz w:val="16"/>
                        <w:szCs w:val="16"/>
                      </w:rPr>
                    </w:pPr>
                    <w:r>
                      <w:rPr>
                        <w:b/>
                        <w:sz w:val="16"/>
                        <w:szCs w:val="16"/>
                      </w:rPr>
                      <w:t>7</w:t>
                    </w:r>
                  </w:p>
                </w:tc>
                <w:tc>
                  <w:tcPr>
                    <w:tcW w:w="720" w:type="dxa"/>
                    <w:shd w:val="clear" w:color="auto" w:fill="DBE5F1" w:themeFill="accent1" w:themeFillTint="33"/>
                    <w:vAlign w:val="center"/>
                  </w:tcPr>
                  <w:p>
                    <w:pPr>
                      <w:ind w:left="-57" w:right="-57"/>
                      <w:jc w:val="center"/>
                      <w:rPr>
                        <w:b/>
                        <w:sz w:val="16"/>
                        <w:szCs w:val="16"/>
                      </w:rPr>
                    </w:pPr>
                    <w:r>
                      <w:rPr>
                        <w:b/>
                        <w:sz w:val="16"/>
                        <w:szCs w:val="16"/>
                      </w:rPr>
                      <w:t>8</w:t>
                    </w:r>
                  </w:p>
                </w:tc>
                <w:tc>
                  <w:tcPr>
                    <w:tcW w:w="825" w:type="dxa"/>
                    <w:shd w:val="clear" w:color="auto" w:fill="DBE5F1" w:themeFill="accent1" w:themeFillTint="33"/>
                    <w:vAlign w:val="center"/>
                  </w:tcPr>
                  <w:p>
                    <w:pPr>
                      <w:ind w:left="-57" w:right="-57"/>
                      <w:jc w:val="center"/>
                      <w:rPr>
                        <w:b/>
                        <w:sz w:val="16"/>
                        <w:szCs w:val="16"/>
                      </w:rPr>
                    </w:pPr>
                    <w:r>
                      <w:rPr>
                        <w:b/>
                        <w:sz w:val="16"/>
                        <w:szCs w:val="16"/>
                      </w:rPr>
                      <w:t>9</w:t>
                    </w:r>
                  </w:p>
                </w:tc>
                <w:tc>
                  <w:tcPr>
                    <w:tcW w:w="1109" w:type="dxa"/>
                    <w:shd w:val="clear" w:color="auto" w:fill="DBE5F1" w:themeFill="accent1" w:themeFillTint="33"/>
                    <w:vAlign w:val="center"/>
                  </w:tcPr>
                  <w:p>
                    <w:pPr>
                      <w:ind w:left="-57" w:right="-57"/>
                      <w:jc w:val="center"/>
                      <w:rPr>
                        <w:b/>
                        <w:sz w:val="16"/>
                        <w:szCs w:val="16"/>
                      </w:rPr>
                    </w:pPr>
                    <w:r>
                      <w:rPr>
                        <w:b/>
                        <w:sz w:val="16"/>
                        <w:szCs w:val="16"/>
                      </w:rPr>
                      <w:t>10</w:t>
                    </w:r>
                  </w:p>
                </w:tc>
                <w:tc>
                  <w:tcPr>
                    <w:tcW w:w="1276" w:type="dxa"/>
                    <w:shd w:val="clear" w:color="auto" w:fill="DBE5F1" w:themeFill="accent1" w:themeFillTint="33"/>
                    <w:vAlign w:val="center"/>
                  </w:tcPr>
                  <w:p>
                    <w:pPr>
                      <w:ind w:left="-57" w:right="-57"/>
                      <w:jc w:val="center"/>
                      <w:rPr>
                        <w:b/>
                        <w:sz w:val="16"/>
                        <w:szCs w:val="16"/>
                      </w:rPr>
                    </w:pPr>
                    <w:r>
                      <w:rPr>
                        <w:b/>
                        <w:sz w:val="16"/>
                        <w:szCs w:val="16"/>
                      </w:rPr>
                      <w:t>11</w:t>
                    </w:r>
                  </w:p>
                </w:tc>
                <w:tc>
                  <w:tcPr>
                    <w:tcW w:w="981" w:type="dxa"/>
                    <w:shd w:val="clear" w:color="auto" w:fill="DBE5F1" w:themeFill="accent1" w:themeFillTint="33"/>
                    <w:vAlign w:val="center"/>
                  </w:tcPr>
                  <w:p>
                    <w:pPr>
                      <w:ind w:left="-57" w:right="-57"/>
                      <w:jc w:val="center"/>
                      <w:rPr>
                        <w:b/>
                        <w:sz w:val="16"/>
                        <w:szCs w:val="16"/>
                      </w:rPr>
                    </w:pPr>
                    <w:r>
                      <w:rPr>
                        <w:b/>
                        <w:sz w:val="16"/>
                        <w:szCs w:val="16"/>
                      </w:rPr>
                      <w:t>12</w:t>
                    </w:r>
                  </w:p>
                </w:tc>
                <w:tc>
                  <w:tcPr>
                    <w:tcW w:w="825" w:type="dxa"/>
                    <w:shd w:val="clear" w:color="auto" w:fill="DBE5F1" w:themeFill="accent1" w:themeFillTint="33"/>
                    <w:vAlign w:val="center"/>
                  </w:tcPr>
                  <w:p>
                    <w:pPr>
                      <w:ind w:left="-57" w:right="-57"/>
                      <w:jc w:val="center"/>
                      <w:rPr>
                        <w:b/>
                        <w:sz w:val="16"/>
                        <w:szCs w:val="16"/>
                      </w:rPr>
                    </w:pPr>
                    <w:r>
                      <w:rPr>
                        <w:b/>
                        <w:sz w:val="16"/>
                        <w:szCs w:val="16"/>
                      </w:rPr>
                      <w:t>13</w:t>
                    </w:r>
                  </w:p>
                </w:tc>
                <w:tc>
                  <w:tcPr>
                    <w:tcW w:w="993" w:type="dxa"/>
                    <w:shd w:val="clear" w:color="auto" w:fill="DBE5F1" w:themeFill="accent1" w:themeFillTint="33"/>
                    <w:vAlign w:val="center"/>
                  </w:tcPr>
                  <w:p>
                    <w:pPr>
                      <w:ind w:left="-57" w:right="-57"/>
                      <w:jc w:val="center"/>
                      <w:rPr>
                        <w:b/>
                        <w:sz w:val="16"/>
                        <w:szCs w:val="16"/>
                      </w:rPr>
                    </w:pPr>
                    <w:r>
                      <w:rPr>
                        <w:b/>
                        <w:sz w:val="16"/>
                        <w:szCs w:val="16"/>
                      </w:rPr>
                      <w:t>14</w:t>
                    </w:r>
                  </w:p>
                </w:tc>
                <w:tc>
                  <w:tcPr>
                    <w:tcW w:w="898" w:type="dxa"/>
                    <w:shd w:val="clear" w:color="auto" w:fill="DBE5F1" w:themeFill="accent1" w:themeFillTint="33"/>
                    <w:vAlign w:val="center"/>
                  </w:tcPr>
                  <w:p>
                    <w:pPr>
                      <w:ind w:left="-57" w:right="-57"/>
                      <w:jc w:val="center"/>
                      <w:rPr>
                        <w:b/>
                        <w:sz w:val="16"/>
                        <w:szCs w:val="16"/>
                      </w:rPr>
                    </w:pPr>
                    <w:r>
                      <w:rPr>
                        <w:b/>
                        <w:sz w:val="16"/>
                        <w:szCs w:val="16"/>
                      </w:rPr>
                      <w:t>15</w:t>
                    </w:r>
                  </w:p>
                </w:tc>
              </w:tr>
              <w:tr>
                <w:trPr>
                  <w:trHeight w:val="458"/>
                </w:trPr>
                <w:tc>
                  <w:tcPr>
                    <w:tcW w:w="1920" w:type="dxa"/>
                  </w:tcPr>
                  <w:p>
                    <w:pPr>
                      <w:ind w:left="-57" w:right="-57"/>
                      <w:rPr>
                        <w:b/>
                        <w:sz w:val="18"/>
                        <w:szCs w:val="18"/>
                      </w:rPr>
                    </w:pPr>
                    <w:r>
                      <w:rPr>
                        <w:b/>
                        <w:sz w:val="18"/>
                        <w:szCs w:val="18"/>
                      </w:rPr>
                      <w:t xml:space="preserve">1. </w:t>
                    </w:r>
                    <w:r>
                      <w:rPr>
                        <w:b/>
                        <w:sz w:val="18"/>
                        <w:szCs w:val="18"/>
                        <w:lang w:eastAsia="lt-LT"/>
                      </w:rPr>
                      <w:t>Pastatų atnaujinimas (modernizavimas)</w:t>
                    </w:r>
                  </w:p>
                </w:tc>
                <w:tc>
                  <w:tcPr>
                    <w:tcW w:w="901" w:type="dxa"/>
                  </w:tcPr>
                  <w:p>
                    <w:pPr>
                      <w:ind w:left="-57" w:right="-57"/>
                      <w:jc w:val="center"/>
                      <w:rPr>
                        <w:b/>
                        <w:bCs/>
                        <w:sz w:val="18"/>
                        <w:szCs w:val="18"/>
                      </w:rPr>
                    </w:pPr>
                    <w:r>
                      <w:rPr>
                        <w:b/>
                        <w:bCs/>
                        <w:sz w:val="18"/>
                        <w:szCs w:val="18"/>
                      </w:rPr>
                      <w:t>I</w:t>
                    </w:r>
                  </w:p>
                </w:tc>
                <w:tc>
                  <w:tcPr>
                    <w:tcW w:w="1829" w:type="dxa"/>
                  </w:tcPr>
                  <w:p>
                    <w:pPr>
                      <w:ind w:left="-57" w:right="-57"/>
                      <w:jc w:val="center"/>
                      <w:rPr>
                        <w:b/>
                        <w:bCs/>
                        <w:sz w:val="18"/>
                        <w:szCs w:val="18"/>
                      </w:rPr>
                    </w:pPr>
                    <w:r>
                      <w:rPr>
                        <w:b/>
                        <w:bCs/>
                        <w:sz w:val="18"/>
                        <w:szCs w:val="18"/>
                      </w:rPr>
                      <w:t>-</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bCs/>
                        <w:sz w:val="18"/>
                        <w:szCs w:val="18"/>
                      </w:rPr>
                    </w:pPr>
                    <w:r>
                      <w:rPr>
                        <w:b/>
                        <w:bCs/>
                        <w:sz w:val="18"/>
                        <w:szCs w:val="18"/>
                      </w:rPr>
                      <w:t>Taip</w:t>
                    </w:r>
                  </w:p>
                </w:tc>
                <w:tc>
                  <w:tcPr>
                    <w:tcW w:w="850" w:type="dxa"/>
                  </w:tcPr>
                  <w:p>
                    <w:pPr>
                      <w:ind w:left="-57" w:right="-57"/>
                      <w:jc w:val="center"/>
                      <w:rPr>
                        <w:b/>
                        <w:bCs/>
                        <w:sz w:val="18"/>
                        <w:szCs w:val="18"/>
                      </w:rPr>
                    </w:pPr>
                    <w:r>
                      <w:rPr>
                        <w:b/>
                        <w:bCs/>
                        <w:sz w:val="18"/>
                        <w:szCs w:val="18"/>
                      </w:rPr>
                      <w:t>-</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16 000</w:t>
                    </w:r>
                  </w:p>
                </w:tc>
                <w:tc>
                  <w:tcPr>
                    <w:tcW w:w="1109" w:type="dxa"/>
                  </w:tcPr>
                  <w:p>
                    <w:pPr>
                      <w:ind w:left="-57" w:right="-57"/>
                      <w:jc w:val="center"/>
                      <w:rPr>
                        <w:b/>
                        <w:bCs/>
                        <w:sz w:val="18"/>
                        <w:szCs w:val="18"/>
                      </w:rPr>
                    </w:pPr>
                    <w:r>
                      <w:rPr>
                        <w:b/>
                        <w:bCs/>
                        <w:sz w:val="18"/>
                        <w:szCs w:val="18"/>
                      </w:rPr>
                      <w:t>KKP</w:t>
                    </w:r>
                  </w:p>
                </w:tc>
                <w:tc>
                  <w:tcPr>
                    <w:tcW w:w="1276" w:type="dxa"/>
                  </w:tcPr>
                  <w:p>
                    <w:pPr>
                      <w:ind w:left="-57" w:right="-57"/>
                      <w:rPr>
                        <w:b/>
                        <w:bCs/>
                        <w:sz w:val="18"/>
                        <w:szCs w:val="18"/>
                      </w:rPr>
                    </w:pPr>
                    <w:r>
                      <w:rPr>
                        <w:b/>
                        <w:bCs/>
                        <w:sz w:val="18"/>
                        <w:szCs w:val="18"/>
                      </w:rPr>
                      <w:t>Suminis ŠESD sumažinimo efektas, tūkst. tonų CO</w:t>
                    </w:r>
                    <w:r>
                      <w:rPr>
                        <w:b/>
                        <w:bCs/>
                        <w:sz w:val="18"/>
                        <w:szCs w:val="18"/>
                        <w:vertAlign w:val="subscript"/>
                      </w:rPr>
                      <w:t>2</w:t>
                    </w:r>
                    <w:r>
                      <w:rPr>
                        <w:b/>
                        <w:bCs/>
                        <w:sz w:val="18"/>
                        <w:szCs w:val="18"/>
                      </w:rPr>
                      <w:t xml:space="preserve"> ekvivalentu (R)</w:t>
                    </w:r>
                  </w:p>
                </w:tc>
                <w:tc>
                  <w:tcPr>
                    <w:tcW w:w="981" w:type="dxa"/>
                  </w:tcPr>
                  <w:p>
                    <w:pPr>
                      <w:ind w:left="-57" w:right="-57"/>
                      <w:jc w:val="right"/>
                      <w:rPr>
                        <w:b/>
                        <w:sz w:val="18"/>
                        <w:szCs w:val="18"/>
                      </w:rPr>
                    </w:pPr>
                    <w:r>
                      <w:rPr>
                        <w:b/>
                        <w:bCs/>
                        <w:sz w:val="18"/>
                        <w:szCs w:val="18"/>
                        <w:lang w:val="en-US"/>
                      </w:rPr>
                      <w:t>12,19</w:t>
                    </w:r>
                  </w:p>
                </w:tc>
                <w:tc>
                  <w:tcPr>
                    <w:tcW w:w="825" w:type="dxa"/>
                  </w:tcPr>
                  <w:p>
                    <w:pPr>
                      <w:ind w:left="-57" w:right="-57"/>
                      <w:jc w:val="center"/>
                      <w:rPr>
                        <w:b/>
                        <w:bCs/>
                        <w:sz w:val="18"/>
                        <w:szCs w:val="18"/>
                        <w:lang w:val="en-US"/>
                      </w:rPr>
                    </w:pPr>
                    <w:r>
                      <w:rPr>
                        <w:b/>
                        <w:bCs/>
                        <w:sz w:val="18"/>
                        <w:szCs w:val="18"/>
                      </w:rPr>
                      <w:t>2022 m. III ketv.</w:t>
                    </w:r>
                  </w:p>
                </w:tc>
                <w:tc>
                  <w:tcPr>
                    <w:tcW w:w="993" w:type="dxa"/>
                  </w:tcPr>
                  <w:p>
                    <w:pPr>
                      <w:ind w:left="-57" w:right="-57"/>
                      <w:jc w:val="center"/>
                      <w:rPr>
                        <w:b/>
                        <w:bCs/>
                        <w:sz w:val="18"/>
                        <w:szCs w:val="18"/>
                      </w:rPr>
                    </w:pPr>
                    <w:r>
                      <w:rPr>
                        <w:b/>
                        <w:bCs/>
                        <w:sz w:val="18"/>
                        <w:szCs w:val="18"/>
                      </w:rPr>
                      <w:t>Lietuvos Respublikos aplinkos ministerijos Aplinkos projektų valdymo agentūra (toliau – APVA)</w:t>
                    </w:r>
                  </w:p>
                </w:tc>
                <w:tc>
                  <w:tcPr>
                    <w:tcW w:w="898" w:type="dxa"/>
                  </w:tcPr>
                  <w:p>
                    <w:pPr>
                      <w:ind w:left="-57" w:right="-57"/>
                      <w:jc w:val="center"/>
                      <w:rPr>
                        <w:b/>
                        <w:bCs/>
                        <w:sz w:val="18"/>
                        <w:szCs w:val="18"/>
                      </w:rPr>
                    </w:pPr>
                    <w:r>
                      <w:rPr>
                        <w:b/>
                        <w:bCs/>
                        <w:sz w:val="18"/>
                        <w:szCs w:val="18"/>
                      </w:rPr>
                      <w:t>Lietuvos Respublikos aplinkos ministe-rija (toliau – AM)</w:t>
                    </w:r>
                  </w:p>
                </w:tc>
              </w:tr>
              <w:tr>
                <w:trPr>
                  <w:trHeight w:val="458"/>
                </w:trPr>
                <w:tc>
                  <w:tcPr>
                    <w:tcW w:w="1920" w:type="dxa"/>
                  </w:tcPr>
                  <w:p>
                    <w:pPr>
                      <w:rPr>
                        <w:sz w:val="18"/>
                        <w:szCs w:val="18"/>
                      </w:rPr>
                    </w:pPr>
                    <w:r>
                      <w:rPr>
                        <w:sz w:val="18"/>
                        <w:szCs w:val="18"/>
                      </w:rPr>
                      <w:t>1.1. Fizinių asmenų vieno ar dviejų butų gyvenamųjų namų atnaujinimas (modernizavimas)</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 xml:space="preserve">Fiziniai asmenys Lietuvos Respublikoje nuosavybės teise valdantys individualųjį gyvenamąjį namą </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10 000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10,46</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w:t>
                    </w:r>
                  </w:p>
                </w:tc>
              </w:tr>
              <w:tr>
                <w:trPr>
                  <w:trHeight w:val="467"/>
                </w:trPr>
                <w:tc>
                  <w:tcPr>
                    <w:tcW w:w="1920" w:type="dxa"/>
                  </w:tcPr>
                  <w:p>
                    <w:pPr>
                      <w:ind w:right="-57"/>
                      <w:rPr>
                        <w:sz w:val="18"/>
                        <w:szCs w:val="18"/>
                      </w:rPr>
                    </w:pPr>
                    <w:r>
                      <w:rPr>
                        <w:sz w:val="18"/>
                        <w:szCs w:val="18"/>
                      </w:rPr>
                      <w:t>1.2. Juridinių asmenų negyvenamosios paskirties pastatų atnaujinimas (modernizavimas)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Negyvenamosios paskirties pastatų, kurie nuosavybės teise priklauso  juridiniams asmenims, išskyrus valstybės ir savivaldybės institucijas, savininkai arba valdytojai</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Taip</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2 000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0,53</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w:t>
                    </w:r>
                  </w:p>
                </w:tc>
              </w:tr>
              <w:tr>
                <w:trPr>
                  <w:trHeight w:val="467"/>
                </w:trPr>
                <w:tc>
                  <w:tcPr>
                    <w:tcW w:w="1920" w:type="dxa"/>
                  </w:tcPr>
                  <w:p>
                    <w:pPr>
                      <w:ind w:right="-57"/>
                      <w:rPr>
                        <w:color w:val="000000"/>
                        <w:sz w:val="18"/>
                        <w:szCs w:val="18"/>
                      </w:rPr>
                    </w:pPr>
                    <w:r>
                      <w:rPr>
                        <w:sz w:val="18"/>
                        <w:szCs w:val="18"/>
                      </w:rPr>
                      <w:t xml:space="preserve">1.3. </w:t>
                    </w:r>
                    <w:r>
                      <w:rPr>
                        <w:sz w:val="18"/>
                        <w:szCs w:val="18"/>
                        <w:shd w:val="clear" w:color="auto" w:fill="FFFFFF"/>
                      </w:rPr>
                      <w:t>D</w:t>
                    </w:r>
                    <w:r>
                      <w:rPr>
                        <w:color w:val="000000"/>
                        <w:sz w:val="18"/>
                        <w:szCs w:val="18"/>
                      </w:rPr>
                      <w:t>augiabučių namų vidaus šildymo ir karšto vandens sistemų modernizavimas („mažoji renovacija“)</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Paramos gavėjai – daugiabučio namo, pastatyto pagal galiojusius iki 1993 metų statybos techninius normatyvus, buto ar kitų patalpų savininkai</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4 000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1,20</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Lietuvos Respublikos energeti-kos ministerija (toliau – EM)</w:t>
                    </w:r>
                  </w:p>
                </w:tc>
              </w:tr>
              <w:tr>
                <w:trPr>
                  <w:trHeight w:val="233"/>
                </w:trPr>
                <w:tc>
                  <w:tcPr>
                    <w:tcW w:w="1920" w:type="dxa"/>
                  </w:tcPr>
                  <w:p>
                    <w:pPr>
                      <w:ind w:left="-57" w:right="-57"/>
                      <w:rPr>
                        <w:b/>
                        <w:sz w:val="18"/>
                        <w:szCs w:val="18"/>
                      </w:rPr>
                    </w:pPr>
                    <w:r>
                      <w:rPr>
                        <w:b/>
                        <w:sz w:val="18"/>
                        <w:szCs w:val="18"/>
                      </w:rPr>
                      <w:t xml:space="preserve">2. Atsinaujinančių energijos išteklių panaudojimo skatinimas </w:t>
                    </w:r>
                  </w:p>
                </w:tc>
                <w:tc>
                  <w:tcPr>
                    <w:tcW w:w="901" w:type="dxa"/>
                  </w:tcPr>
                  <w:p>
                    <w:pPr>
                      <w:ind w:left="-57" w:right="-57"/>
                      <w:jc w:val="center"/>
                      <w:rPr>
                        <w:b/>
                        <w:bCs/>
                        <w:sz w:val="18"/>
                        <w:szCs w:val="18"/>
                      </w:rPr>
                    </w:pPr>
                    <w:r>
                      <w:rPr>
                        <w:b/>
                        <w:bCs/>
                        <w:sz w:val="18"/>
                        <w:szCs w:val="18"/>
                      </w:rPr>
                      <w:t>-</w:t>
                    </w:r>
                  </w:p>
                </w:tc>
                <w:tc>
                  <w:tcPr>
                    <w:tcW w:w="1829" w:type="dxa"/>
                  </w:tcPr>
                  <w:p>
                    <w:pPr>
                      <w:ind w:left="-57" w:right="-57"/>
                      <w:jc w:val="center"/>
                      <w:rPr>
                        <w:b/>
                        <w:bCs/>
                        <w:sz w:val="18"/>
                        <w:szCs w:val="18"/>
                      </w:rPr>
                    </w:pPr>
                    <w:r>
                      <w:rPr>
                        <w:b/>
                        <w:bCs/>
                        <w:sz w:val="18"/>
                        <w:szCs w:val="18"/>
                      </w:rPr>
                      <w:t>-</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bCs/>
                        <w:sz w:val="18"/>
                        <w:szCs w:val="18"/>
                      </w:rPr>
                    </w:pPr>
                    <w:r>
                      <w:rPr>
                        <w:b/>
                        <w:bCs/>
                        <w:sz w:val="18"/>
                        <w:szCs w:val="18"/>
                      </w:rPr>
                      <w:t>Taip</w:t>
                    </w:r>
                  </w:p>
                </w:tc>
                <w:tc>
                  <w:tcPr>
                    <w:tcW w:w="850" w:type="dxa"/>
                  </w:tcPr>
                  <w:p>
                    <w:pPr>
                      <w:ind w:left="-57" w:right="-57"/>
                      <w:jc w:val="center"/>
                      <w:rPr>
                        <w:b/>
                        <w:bCs/>
                        <w:sz w:val="18"/>
                        <w:szCs w:val="18"/>
                      </w:rPr>
                    </w:pPr>
                    <w:r>
                      <w:rPr>
                        <w:b/>
                        <w:bCs/>
                        <w:sz w:val="18"/>
                        <w:szCs w:val="18"/>
                      </w:rPr>
                      <w:t>-</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81 000</w:t>
                    </w:r>
                  </w:p>
                </w:tc>
                <w:tc>
                  <w:tcPr>
                    <w:tcW w:w="1109" w:type="dxa"/>
                  </w:tcPr>
                  <w:p>
                    <w:pPr>
                      <w:ind w:left="-57" w:right="-57"/>
                      <w:jc w:val="center"/>
                      <w:rPr>
                        <w:b/>
                        <w:sz w:val="18"/>
                        <w:szCs w:val="18"/>
                      </w:rPr>
                    </w:pPr>
                    <w:r>
                      <w:rPr>
                        <w:b/>
                        <w:sz w:val="18"/>
                        <w:szCs w:val="18"/>
                      </w:rPr>
                      <w:t>KKP</w:t>
                    </w:r>
                  </w:p>
                </w:tc>
                <w:tc>
                  <w:tcPr>
                    <w:tcW w:w="1276" w:type="dxa"/>
                  </w:tcPr>
                  <w:p>
                    <w:pPr>
                      <w:ind w:left="-57" w:right="-57"/>
                      <w:rPr>
                        <w:b/>
                        <w:sz w:val="18"/>
                        <w:szCs w:val="18"/>
                      </w:rPr>
                    </w:pPr>
                    <w:r>
                      <w:rPr>
                        <w:b/>
                        <w:sz w:val="18"/>
                        <w:szCs w:val="18"/>
                      </w:rPr>
                      <w:t>Suminis ŠESD sumažinimo efektas, tūkst. tonų CO</w:t>
                    </w:r>
                    <w:r>
                      <w:rPr>
                        <w:b/>
                        <w:sz w:val="18"/>
                        <w:szCs w:val="18"/>
                        <w:vertAlign w:val="subscript"/>
                      </w:rPr>
                      <w:t>2</w:t>
                    </w:r>
                    <w:r>
                      <w:rPr>
                        <w:b/>
                        <w:sz w:val="18"/>
                        <w:szCs w:val="18"/>
                      </w:rPr>
                      <w:t xml:space="preserve"> ekvivalentu (R)</w:t>
                    </w:r>
                  </w:p>
                </w:tc>
                <w:tc>
                  <w:tcPr>
                    <w:tcW w:w="981" w:type="dxa"/>
                  </w:tcPr>
                  <w:p>
                    <w:pPr>
                      <w:spacing w:line="259" w:lineRule="auto"/>
                      <w:ind w:left="-57" w:right="-57"/>
                      <w:jc w:val="right"/>
                      <w:rPr>
                        <w:sz w:val="18"/>
                        <w:szCs w:val="18"/>
                      </w:rPr>
                    </w:pPr>
                    <w:r>
                      <w:rPr>
                        <w:b/>
                        <w:bCs/>
                        <w:sz w:val="18"/>
                        <w:szCs w:val="18"/>
                      </w:rPr>
                      <w:t>153,84</w:t>
                    </w:r>
                  </w:p>
                </w:tc>
                <w:tc>
                  <w:tcPr>
                    <w:tcW w:w="825" w:type="dxa"/>
                  </w:tcPr>
                  <w:p>
                    <w:pPr>
                      <w:ind w:left="-57" w:right="-57"/>
                      <w:jc w:val="center"/>
                      <w:rPr>
                        <w:b/>
                        <w:bCs/>
                        <w:sz w:val="18"/>
                        <w:szCs w:val="18"/>
                      </w:rPr>
                    </w:pPr>
                    <w:r>
                      <w:rPr>
                        <w:b/>
                        <w:bCs/>
                        <w:sz w:val="18"/>
                        <w:szCs w:val="18"/>
                      </w:rPr>
                      <w:t>2022 m. -.</w:t>
                    </w:r>
                  </w:p>
                </w:tc>
                <w:tc>
                  <w:tcPr>
                    <w:tcW w:w="993" w:type="dxa"/>
                  </w:tcPr>
                  <w:p>
                    <w:pPr>
                      <w:ind w:left="-57" w:right="-57"/>
                      <w:jc w:val="center"/>
                      <w:rPr>
                        <w:b/>
                        <w:sz w:val="18"/>
                        <w:szCs w:val="18"/>
                      </w:rPr>
                    </w:pPr>
                    <w:r>
                      <w:rPr>
                        <w:b/>
                        <w:sz w:val="18"/>
                        <w:szCs w:val="18"/>
                      </w:rPr>
                      <w:t>APVA</w:t>
                    </w:r>
                  </w:p>
                </w:tc>
                <w:tc>
                  <w:tcPr>
                    <w:tcW w:w="898" w:type="dxa"/>
                  </w:tcPr>
                  <w:p>
                    <w:pPr>
                      <w:ind w:left="-57" w:right="-57"/>
                      <w:jc w:val="center"/>
                      <w:rPr>
                        <w:b/>
                        <w:sz w:val="18"/>
                        <w:szCs w:val="18"/>
                      </w:rPr>
                    </w:pPr>
                    <w:r>
                      <w:rPr>
                        <w:b/>
                        <w:sz w:val="18"/>
                        <w:szCs w:val="18"/>
                      </w:rPr>
                      <w:t>AM, EM</w:t>
                    </w:r>
                  </w:p>
                </w:tc>
              </w:tr>
              <w:tr>
                <w:trPr>
                  <w:trHeight w:val="233"/>
                </w:trPr>
                <w:tc>
                  <w:tcPr>
                    <w:tcW w:w="1920" w:type="dxa"/>
                  </w:tcPr>
                  <w:p>
                    <w:pPr>
                      <w:rPr>
                        <w:sz w:val="18"/>
                        <w:szCs w:val="18"/>
                      </w:rPr>
                    </w:pPr>
                    <w:r>
                      <w:rPr>
                        <w:sz w:val="18"/>
                        <w:szCs w:val="18"/>
                      </w:rPr>
                      <w:t>2.1.</w:t>
                    </w:r>
                    <w:r>
                      <w:rPr>
                        <w:color w:val="000000"/>
                        <w:sz w:val="18"/>
                        <w:szCs w:val="18"/>
                        <w:lang w:val="tr-TR"/>
                      </w:rPr>
                      <w:t xml:space="preserve"> </w:t>
                    </w:r>
                    <w:r>
                      <w:rPr>
                        <w:sz w:val="18"/>
                        <w:szCs w:val="18"/>
                        <w:lang w:val="tr-TR"/>
                      </w:rPr>
                      <w:t>Atsinaujinančių energijos išteklių panaudojimas valstybės, savivaldybių, tradicinių religinių bendruomenių, religinių bendrijų ar centrų poreikiams, pakeičiant iškastinį kurą</w:t>
                    </w:r>
                  </w:p>
                </w:tc>
                <w:tc>
                  <w:tcPr>
                    <w:tcW w:w="901" w:type="dxa"/>
                  </w:tcPr>
                  <w:p>
                    <w:pPr>
                      <w:ind w:left="-57" w:right="-57"/>
                      <w:jc w:val="center"/>
                      <w:rPr>
                        <w:sz w:val="18"/>
                        <w:szCs w:val="18"/>
                      </w:rPr>
                    </w:pPr>
                    <w:r>
                      <w:rPr>
                        <w:sz w:val="18"/>
                        <w:szCs w:val="18"/>
                      </w:rPr>
                      <w:t>I</w:t>
                    </w:r>
                  </w:p>
                </w:tc>
                <w:tc>
                  <w:tcPr>
                    <w:tcW w:w="1829" w:type="dxa"/>
                  </w:tcPr>
                  <w:p>
                    <w:pPr>
                      <w:ind w:left="-57" w:right="-57"/>
                      <w:jc w:val="center"/>
                      <w:rPr>
                        <w:sz w:val="18"/>
                        <w:szCs w:val="18"/>
                      </w:rPr>
                    </w:pPr>
                    <w:r>
                      <w:rPr>
                        <w:sz w:val="18"/>
                        <w:szCs w:val="18"/>
                      </w:rPr>
                      <w:t>-</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30 000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lang w:val="en-US"/>
                      </w:rPr>
                    </w:pPr>
                    <w:r>
                      <w:rPr>
                        <w:sz w:val="18"/>
                        <w:szCs w:val="18"/>
                        <w:lang w:val="en-US"/>
                      </w:rPr>
                      <w:t>51,34</w:t>
                    </w:r>
                  </w:p>
                </w:tc>
                <w:tc>
                  <w:tcPr>
                    <w:tcW w:w="825" w:type="dxa"/>
                  </w:tcPr>
                  <w:p>
                    <w:pPr>
                      <w:ind w:left="-57" w:right="-57"/>
                      <w:jc w:val="center"/>
                      <w:rPr>
                        <w:sz w:val="18"/>
                        <w:szCs w:val="18"/>
                      </w:rPr>
                    </w:pPr>
                    <w:r>
                      <w:rPr>
                        <w:sz w:val="18"/>
                        <w:szCs w:val="18"/>
                      </w:rPr>
                      <w:t>2022 m. -</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w:t>
                    </w:r>
                  </w:p>
                </w:tc>
              </w:tr>
              <w:tr>
                <w:trPr>
                  <w:trHeight w:val="233"/>
                </w:trPr>
                <w:tc>
                  <w:tcPr>
                    <w:tcW w:w="1920" w:type="dxa"/>
                    <w:tcBorders>
                      <w:top w:val="single" w:sz="4" w:space="0" w:color="auto"/>
                      <w:left w:val="single" w:sz="4" w:space="0" w:color="auto"/>
                      <w:bottom w:val="single" w:sz="4" w:space="0" w:color="auto"/>
                      <w:right w:val="single" w:sz="4" w:space="0" w:color="auto"/>
                    </w:tcBorders>
                  </w:tcPr>
                  <w:p>
                    <w:pPr>
                      <w:rPr>
                        <w:sz w:val="18"/>
                        <w:szCs w:val="18"/>
                        <w:lang w:val="tr-TR"/>
                      </w:rPr>
                    </w:pPr>
                    <w:r>
                      <w:rPr>
                        <w:sz w:val="18"/>
                        <w:szCs w:val="18"/>
                      </w:rPr>
                      <w:t>2.1.1 A</w:t>
                    </w:r>
                    <w:r>
                      <w:rPr>
                        <w:sz w:val="18"/>
                        <w:szCs w:val="18"/>
                        <w:lang w:val="tr-TR"/>
                      </w:rPr>
                      <w:t>tsinaujinančių energijos išteklių (saulės, vėjo) panaudojimas valstybės, savivaldybių, tradicinių religinių bendruomenių, religinių bendrijų ar centrų elektros energijos poreikiams</w:t>
                    </w:r>
                  </w:p>
                </w:tc>
                <w:tc>
                  <w:tcPr>
                    <w:tcW w:w="901"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I</w:t>
                    </w:r>
                  </w:p>
                </w:tc>
                <w:tc>
                  <w:tcPr>
                    <w:tcW w:w="1829" w:type="dxa"/>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Valstybės ar savivaldybių institucijos ir įstaigos, tradicinės religinės bendruomenės, religinės bendrijos ar centrai ir viešosios įstaigos, kurių savininkė arba dalininkė yra valstybė ar savivaldybė. Pareiškėjas turi būti turto, į kurį numatoma investuoti, savininkas arba valdytojai</w:t>
                    </w:r>
                  </w:p>
                </w:tc>
                <w:tc>
                  <w:tcPr>
                    <w:tcW w:w="850"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K</w:t>
                    </w:r>
                  </w:p>
                </w:tc>
                <w:tc>
                  <w:tcPr>
                    <w:tcW w:w="1005"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w:t>
                    </w:r>
                  </w:p>
                </w:tc>
                <w:tc>
                  <w:tcPr>
                    <w:tcW w:w="1019"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Taip</w:t>
                    </w:r>
                  </w:p>
                </w:tc>
                <w:tc>
                  <w:tcPr>
                    <w:tcW w:w="850"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Ne</w:t>
                    </w:r>
                  </w:p>
                </w:tc>
                <w:tc>
                  <w:tcPr>
                    <w:tcW w:w="720"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18"/>
                        <w:szCs w:val="18"/>
                      </w:rPr>
                    </w:pPr>
                    <w:r>
                      <w:rPr>
                        <w:sz w:val="18"/>
                        <w:szCs w:val="18"/>
                      </w:rPr>
                      <w:t>D</w:t>
                    </w:r>
                  </w:p>
                </w:tc>
                <w:tc>
                  <w:tcPr>
                    <w:tcW w:w="825" w:type="dxa"/>
                    <w:tcBorders>
                      <w:top w:val="single" w:sz="4" w:space="0" w:color="auto"/>
                      <w:left w:val="single" w:sz="4" w:space="0" w:color="auto"/>
                      <w:bottom w:val="single" w:sz="4" w:space="0" w:color="auto"/>
                      <w:right w:val="single" w:sz="4" w:space="0" w:color="auto"/>
                    </w:tcBorders>
                    <w:shd w:val="clear" w:color="auto" w:fill="auto"/>
                  </w:tcPr>
                  <w:p>
                    <w:pPr>
                      <w:ind w:left="-57" w:right="-57"/>
                      <w:jc w:val="right"/>
                      <w:rPr>
                        <w:sz w:val="18"/>
                        <w:szCs w:val="18"/>
                      </w:rPr>
                    </w:pPr>
                    <w:r>
                      <w:rPr>
                        <w:sz w:val="18"/>
                        <w:szCs w:val="18"/>
                      </w:rPr>
                      <w:t>25 000</w:t>
                    </w:r>
                  </w:p>
                </w:tc>
                <w:tc>
                  <w:tcPr>
                    <w:tcW w:w="1109"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18"/>
                        <w:szCs w:val="18"/>
                      </w:rPr>
                    </w:pPr>
                    <w:r>
                      <w:rPr>
                        <w:sz w:val="18"/>
                        <w:szCs w:val="18"/>
                      </w:rPr>
                      <w:t>KKP</w:t>
                    </w:r>
                  </w:p>
                </w:tc>
                <w:tc>
                  <w:tcPr>
                    <w:tcW w:w="1276" w:type="dxa"/>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Borders>
                      <w:top w:val="single" w:sz="4" w:space="0" w:color="auto"/>
                      <w:left w:val="single" w:sz="4" w:space="0" w:color="auto"/>
                      <w:bottom w:val="single" w:sz="4" w:space="0" w:color="auto"/>
                      <w:right w:val="single" w:sz="4" w:space="0" w:color="auto"/>
                    </w:tcBorders>
                  </w:tcPr>
                  <w:p>
                    <w:pPr>
                      <w:ind w:left="-57" w:right="-57"/>
                      <w:jc w:val="right"/>
                      <w:rPr>
                        <w:sz w:val="18"/>
                        <w:szCs w:val="18"/>
                      </w:rPr>
                    </w:pPr>
                    <w:r>
                      <w:rPr>
                        <w:sz w:val="18"/>
                        <w:szCs w:val="18"/>
                      </w:rPr>
                      <w:t>47,78</w:t>
                    </w:r>
                  </w:p>
                </w:tc>
                <w:tc>
                  <w:tcPr>
                    <w:tcW w:w="825"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2022 m. II ketv.</w:t>
                    </w:r>
                  </w:p>
                </w:tc>
                <w:tc>
                  <w:tcPr>
                    <w:tcW w:w="993"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APVA</w:t>
                    </w:r>
                  </w:p>
                </w:tc>
                <w:tc>
                  <w:tcPr>
                    <w:tcW w:w="898"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AM, EM</w:t>
                    </w:r>
                  </w:p>
                </w:tc>
              </w:tr>
              <w:tr>
                <w:trPr>
                  <w:trHeight w:val="233"/>
                </w:trPr>
                <w:tc>
                  <w:tcPr>
                    <w:tcW w:w="1920"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2.1.2 A</w:t>
                    </w:r>
                    <w:r>
                      <w:rPr>
                        <w:sz w:val="18"/>
                        <w:szCs w:val="18"/>
                        <w:lang w:val="tr-TR"/>
                      </w:rPr>
                      <w:t>tsinaujinančių energijos išteklių (saulės, geoterminės energijos, biokuro) panaudojimas valstybės, savivaldybių, tradicinių religinių bendruomenių, religinių bendrijų ar centrų poreikiams, pakeičiant iškastinį kurą“</w:t>
                    </w:r>
                  </w:p>
                </w:tc>
                <w:tc>
                  <w:tcPr>
                    <w:tcW w:w="901"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I</w:t>
                    </w:r>
                  </w:p>
                </w:tc>
                <w:tc>
                  <w:tcPr>
                    <w:tcW w:w="1829" w:type="dxa"/>
                    <w:tcBorders>
                      <w:top w:val="single" w:sz="4" w:space="0" w:color="auto"/>
                      <w:left w:val="single" w:sz="4" w:space="0" w:color="auto"/>
                      <w:bottom w:val="single" w:sz="4" w:space="0" w:color="auto"/>
                      <w:right w:val="single" w:sz="4" w:space="0" w:color="auto"/>
                    </w:tcBorders>
                    <w:shd w:val="clear" w:color="auto" w:fill="auto"/>
                  </w:tcPr>
                  <w:p>
                    <w:pPr>
                      <w:rPr>
                        <w:sz w:val="18"/>
                        <w:szCs w:val="18"/>
                        <w:lang w:val="tr-TR"/>
                      </w:rPr>
                    </w:pPr>
                    <w:r>
                      <w:rPr>
                        <w:sz w:val="18"/>
                        <w:szCs w:val="18"/>
                        <w:lang w:val="tr-TR"/>
                      </w:rPr>
                      <w:t>Valstybės ar savivaldybių institucijos ir įstaigos, tradicinės religinės bendruomenės, religinės bendrijos ar centrai ir viešosios įstaigos, kurių savininkė arba dalininkė yra valstybė ar savivaldybė. Pareiškėjas turi būti turto, į kurį numatoma investuoti, savininkas arba valdytojai</w:t>
                    </w:r>
                  </w:p>
                </w:tc>
                <w:tc>
                  <w:tcPr>
                    <w:tcW w:w="850"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K</w:t>
                    </w:r>
                  </w:p>
                </w:tc>
                <w:tc>
                  <w:tcPr>
                    <w:tcW w:w="1005"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w:t>
                    </w:r>
                  </w:p>
                </w:tc>
                <w:tc>
                  <w:tcPr>
                    <w:tcW w:w="1019"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Taip</w:t>
                    </w:r>
                  </w:p>
                </w:tc>
                <w:tc>
                  <w:tcPr>
                    <w:tcW w:w="850"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Ne</w:t>
                    </w:r>
                  </w:p>
                </w:tc>
                <w:tc>
                  <w:tcPr>
                    <w:tcW w:w="720"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D</w:t>
                    </w:r>
                  </w:p>
                  <w:p>
                    <w:pPr>
                      <w:jc w:val="center"/>
                      <w:rPr>
                        <w:sz w:val="18"/>
                        <w:szCs w:val="18"/>
                      </w:rPr>
                    </w:pPr>
                  </w:p>
                </w:tc>
                <w:tc>
                  <w:tcPr>
                    <w:tcW w:w="825" w:type="dxa"/>
                    <w:tcBorders>
                      <w:top w:val="single" w:sz="4" w:space="0" w:color="auto"/>
                      <w:left w:val="single" w:sz="4" w:space="0" w:color="auto"/>
                      <w:bottom w:val="single" w:sz="4" w:space="0" w:color="auto"/>
                      <w:right w:val="single" w:sz="4" w:space="0" w:color="auto"/>
                    </w:tcBorders>
                    <w:shd w:val="clear" w:color="auto" w:fill="auto"/>
                  </w:tcPr>
                  <w:p>
                    <w:pPr>
                      <w:jc w:val="right"/>
                      <w:rPr>
                        <w:sz w:val="18"/>
                        <w:szCs w:val="18"/>
                      </w:rPr>
                    </w:pPr>
                    <w:r>
                      <w:rPr>
                        <w:sz w:val="18"/>
                        <w:szCs w:val="18"/>
                      </w:rPr>
                      <w:t>2 000</w:t>
                    </w:r>
                  </w:p>
                </w:tc>
                <w:tc>
                  <w:tcPr>
                    <w:tcW w:w="1109"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KKP</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jc w:val="right"/>
                      <w:rPr>
                        <w:sz w:val="18"/>
                        <w:szCs w:val="18"/>
                        <w:lang w:val="en-US"/>
                      </w:rPr>
                    </w:pPr>
                    <w:r>
                      <w:rPr>
                        <w:sz w:val="18"/>
                        <w:szCs w:val="18"/>
                        <w:lang w:val="en-US"/>
                      </w:rPr>
                      <w:t>3,56</w:t>
                    </w:r>
                  </w:p>
                </w:tc>
                <w:tc>
                  <w:tcPr>
                    <w:tcW w:w="825"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2022 m. III ketv.</w:t>
                    </w:r>
                  </w:p>
                </w:tc>
                <w:tc>
                  <w:tcPr>
                    <w:tcW w:w="993"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APVA</w:t>
                    </w:r>
                  </w:p>
                </w:tc>
                <w:tc>
                  <w:tcPr>
                    <w:tcW w:w="898" w:type="dxa"/>
                    <w:tcBorders>
                      <w:top w:val="single" w:sz="4" w:space="0" w:color="auto"/>
                      <w:left w:val="single" w:sz="4" w:space="0" w:color="auto"/>
                      <w:bottom w:val="single" w:sz="4" w:space="0" w:color="auto"/>
                      <w:right w:val="single" w:sz="4" w:space="0" w:color="auto"/>
                    </w:tcBorders>
                    <w:shd w:val="clear" w:color="auto" w:fill="auto"/>
                  </w:tcPr>
                  <w:p>
                    <w:pPr>
                      <w:jc w:val="center"/>
                      <w:rPr>
                        <w:sz w:val="18"/>
                        <w:szCs w:val="18"/>
                      </w:rPr>
                    </w:pPr>
                    <w:r>
                      <w:rPr>
                        <w:sz w:val="18"/>
                        <w:szCs w:val="18"/>
                      </w:rPr>
                      <w:t>AM, EM</w:t>
                    </w:r>
                  </w:p>
                </w:tc>
              </w:tr>
              <w:tr>
                <w:trPr>
                  <w:trHeight w:val="233"/>
                </w:trPr>
                <w:tc>
                  <w:tcPr>
                    <w:tcW w:w="1920" w:type="dxa"/>
                  </w:tcPr>
                  <w:p>
                    <w:pPr>
                      <w:rPr>
                        <w:sz w:val="18"/>
                        <w:szCs w:val="18"/>
                        <w:lang w:val="tr-TR"/>
                      </w:rPr>
                    </w:pPr>
                    <w:r>
                      <w:rPr>
                        <w:sz w:val="18"/>
                        <w:szCs w:val="18"/>
                      </w:rPr>
                      <w:t>2.1.3.</w:t>
                    </w:r>
                    <w:r>
                      <w:rPr>
                        <w:sz w:val="18"/>
                        <w:szCs w:val="18"/>
                        <w:lang w:val="en-US"/>
                      </w:rPr>
                      <w:t xml:space="preserve"> Elektros energijos kaupimo įrenginiai </w:t>
                    </w:r>
                    <w:r>
                      <w:rPr>
                        <w:sz w:val="18"/>
                        <w:szCs w:val="18"/>
                        <w:lang w:val="tr-TR"/>
                      </w:rPr>
                      <w:t>valstybės, savivaldybių, tradicinių religinių bendruomenių, religinių bendrijų ar centrų poreikiams</w:t>
                    </w:r>
                  </w:p>
                </w:tc>
                <w:tc>
                  <w:tcPr>
                    <w:tcW w:w="901" w:type="dxa"/>
                  </w:tcPr>
                  <w:p>
                    <w:pPr>
                      <w:jc w:val="center"/>
                      <w:rPr>
                        <w:sz w:val="18"/>
                        <w:szCs w:val="18"/>
                      </w:rPr>
                    </w:pPr>
                    <w:r>
                      <w:rPr>
                        <w:sz w:val="18"/>
                        <w:szCs w:val="18"/>
                      </w:rPr>
                      <w:t>I</w:t>
                    </w:r>
                  </w:p>
                </w:tc>
                <w:tc>
                  <w:tcPr>
                    <w:tcW w:w="1829" w:type="dxa"/>
                  </w:tcPr>
                  <w:p>
                    <w:pPr>
                      <w:rPr>
                        <w:sz w:val="18"/>
                        <w:szCs w:val="18"/>
                        <w:lang w:val="tr-TR"/>
                      </w:rPr>
                    </w:pPr>
                    <w:r>
                      <w:rPr>
                        <w:sz w:val="18"/>
                        <w:szCs w:val="18"/>
                        <w:lang w:val="tr-TR"/>
                      </w:rPr>
                      <w:t>Valstybės ar savivaldybių institucijos ir įstaigos, tradicinės religinės bendruomenės, religinės bendrijos ar centrai ir viešosios įstaigos, kurių savininkė arba dalininkė yra valstybė ar savivaldybė. Pareiškėjas turi būti turto, į kurį numatoma investuoti, savininkas arba valdytojai</w:t>
                    </w:r>
                  </w:p>
                </w:tc>
                <w:tc>
                  <w:tcPr>
                    <w:tcW w:w="850" w:type="dxa"/>
                  </w:tcPr>
                  <w:p>
                    <w:pPr>
                      <w:jc w:val="center"/>
                      <w:rPr>
                        <w:sz w:val="18"/>
                        <w:szCs w:val="18"/>
                      </w:rPr>
                    </w:pPr>
                    <w:r>
                      <w:rPr>
                        <w:sz w:val="18"/>
                        <w:szCs w:val="18"/>
                      </w:rPr>
                      <w:t>K</w:t>
                    </w:r>
                  </w:p>
                </w:tc>
                <w:tc>
                  <w:tcPr>
                    <w:tcW w:w="1005" w:type="dxa"/>
                  </w:tcPr>
                  <w:p>
                    <w:pPr>
                      <w:jc w:val="center"/>
                      <w:rPr>
                        <w:sz w:val="18"/>
                        <w:szCs w:val="18"/>
                      </w:rPr>
                    </w:pPr>
                    <w:r>
                      <w:rPr>
                        <w:sz w:val="18"/>
                        <w:szCs w:val="18"/>
                      </w:rPr>
                      <w:t>-</w:t>
                    </w:r>
                  </w:p>
                </w:tc>
                <w:tc>
                  <w:tcPr>
                    <w:tcW w:w="1019" w:type="dxa"/>
                  </w:tcPr>
                  <w:p>
                    <w:pPr>
                      <w:jc w:val="center"/>
                      <w:rPr>
                        <w:sz w:val="18"/>
                        <w:szCs w:val="18"/>
                      </w:rPr>
                    </w:pPr>
                    <w:r>
                      <w:rPr>
                        <w:sz w:val="18"/>
                        <w:szCs w:val="18"/>
                      </w:rPr>
                      <w:t>Taip</w:t>
                    </w:r>
                  </w:p>
                </w:tc>
                <w:tc>
                  <w:tcPr>
                    <w:tcW w:w="850" w:type="dxa"/>
                  </w:tcPr>
                  <w:p>
                    <w:pPr>
                      <w:jc w:val="center"/>
                      <w:rPr>
                        <w:sz w:val="18"/>
                        <w:szCs w:val="18"/>
                      </w:rPr>
                    </w:pPr>
                    <w:r>
                      <w:rPr>
                        <w:sz w:val="18"/>
                        <w:szCs w:val="18"/>
                      </w:rPr>
                      <w:t>Ne</w:t>
                    </w:r>
                  </w:p>
                </w:tc>
                <w:tc>
                  <w:tcPr>
                    <w:tcW w:w="720" w:type="dxa"/>
                  </w:tcPr>
                  <w:p>
                    <w:pPr>
                      <w:jc w:val="center"/>
                      <w:rPr>
                        <w:sz w:val="18"/>
                        <w:szCs w:val="18"/>
                      </w:rPr>
                    </w:pPr>
                    <w:r>
                      <w:rPr>
                        <w:sz w:val="18"/>
                        <w:szCs w:val="18"/>
                      </w:rPr>
                      <w:t>D</w:t>
                    </w:r>
                  </w:p>
                </w:tc>
                <w:tc>
                  <w:tcPr>
                    <w:tcW w:w="825" w:type="dxa"/>
                  </w:tcPr>
                  <w:p>
                    <w:pPr>
                      <w:jc w:val="right"/>
                      <w:rPr>
                        <w:sz w:val="18"/>
                        <w:szCs w:val="18"/>
                      </w:rPr>
                    </w:pPr>
                    <w:r>
                      <w:rPr>
                        <w:sz w:val="18"/>
                        <w:szCs w:val="18"/>
                      </w:rPr>
                      <w:t>3 000</w:t>
                    </w:r>
                  </w:p>
                </w:tc>
                <w:tc>
                  <w:tcPr>
                    <w:tcW w:w="1109" w:type="dxa"/>
                  </w:tcPr>
                  <w:p>
                    <w:pPr>
                      <w:jc w:val="center"/>
                      <w:rPr>
                        <w:sz w:val="18"/>
                        <w:szCs w:val="18"/>
                      </w:rPr>
                    </w:pPr>
                    <w:r>
                      <w:rPr>
                        <w:sz w:val="18"/>
                        <w:szCs w:val="18"/>
                      </w:rPr>
                      <w:t>KKP</w:t>
                    </w:r>
                  </w:p>
                </w:tc>
                <w:tc>
                  <w:tcPr>
                    <w:tcW w:w="1276" w:type="dxa"/>
                  </w:tcPr>
                  <w:p>
                    <w:pPr>
                      <w:rPr>
                        <w:sz w:val="18"/>
                        <w:szCs w:val="18"/>
                      </w:rPr>
                    </w:pPr>
                    <w:r>
                      <w:rPr>
                        <w:sz w:val="18"/>
                        <w:szCs w:val="18"/>
                      </w:rPr>
                      <w:t>Nevertinama</w:t>
                    </w:r>
                  </w:p>
                  <w:p>
                    <w:pPr>
                      <w:ind w:firstLine="48"/>
                      <w:rPr>
                        <w:sz w:val="18"/>
                        <w:szCs w:val="18"/>
                      </w:rPr>
                    </w:pPr>
                    <w:r>
                      <w:rPr>
                        <w:sz w:val="18"/>
                        <w:szCs w:val="18"/>
                      </w:rPr>
                      <w:t>p</w:t>
                    </w:r>
                  </w:p>
                </w:tc>
                <w:tc>
                  <w:tcPr>
                    <w:tcW w:w="981" w:type="dxa"/>
                  </w:tcPr>
                  <w:p>
                    <w:pPr>
                      <w:spacing w:line="259" w:lineRule="auto"/>
                      <w:jc w:val="right"/>
                      <w:rPr>
                        <w:sz w:val="18"/>
                        <w:szCs w:val="18"/>
                        <w:lang w:val="en-US"/>
                      </w:rPr>
                    </w:pPr>
                    <w:r>
                      <w:rPr>
                        <w:sz w:val="18"/>
                        <w:szCs w:val="18"/>
                        <w:lang w:val="en-US"/>
                      </w:rPr>
                      <w:t>0</w:t>
                    </w:r>
                  </w:p>
                </w:tc>
                <w:tc>
                  <w:tcPr>
                    <w:tcW w:w="825" w:type="dxa"/>
                  </w:tcPr>
                  <w:p>
                    <w:pPr>
                      <w:jc w:val="center"/>
                      <w:rPr>
                        <w:sz w:val="18"/>
                        <w:szCs w:val="18"/>
                      </w:rPr>
                    </w:pPr>
                    <w:r>
                      <w:rPr>
                        <w:sz w:val="18"/>
                        <w:szCs w:val="18"/>
                      </w:rPr>
                      <w:t>2022 m. III ketv.</w:t>
                    </w:r>
                  </w:p>
                </w:tc>
                <w:tc>
                  <w:tcPr>
                    <w:tcW w:w="993" w:type="dxa"/>
                  </w:tcPr>
                  <w:p>
                    <w:pPr>
                      <w:jc w:val="center"/>
                      <w:rPr>
                        <w:sz w:val="18"/>
                        <w:szCs w:val="18"/>
                      </w:rPr>
                    </w:pPr>
                    <w:r>
                      <w:rPr>
                        <w:sz w:val="18"/>
                        <w:szCs w:val="18"/>
                      </w:rPr>
                      <w:t>APVA</w:t>
                    </w:r>
                  </w:p>
                </w:tc>
                <w:tc>
                  <w:tcPr>
                    <w:tcW w:w="898" w:type="dxa"/>
                  </w:tcPr>
                  <w:p>
                    <w:pPr>
                      <w:jc w:val="center"/>
                      <w:rPr>
                        <w:sz w:val="18"/>
                        <w:szCs w:val="18"/>
                      </w:rPr>
                    </w:pPr>
                    <w:r>
                      <w:rPr>
                        <w:sz w:val="18"/>
                        <w:szCs w:val="18"/>
                      </w:rPr>
                      <w:t>AM, EM</w:t>
                    </w:r>
                  </w:p>
                </w:tc>
              </w:tr>
              <w:tr>
                <w:trPr>
                  <w:trHeight w:val="233"/>
                </w:trPr>
                <w:tc>
                  <w:tcPr>
                    <w:tcW w:w="1920" w:type="dxa"/>
                  </w:tcPr>
                  <w:p>
                    <w:pPr>
                      <w:rPr>
                        <w:sz w:val="18"/>
                        <w:szCs w:val="18"/>
                      </w:rPr>
                    </w:pPr>
                    <w:r>
                      <w:rPr>
                        <w:sz w:val="18"/>
                        <w:szCs w:val="18"/>
                      </w:rPr>
                      <w:t>2.2. Atsinaujinančių energijos išteklių (saulės) panaudojimas nepasiturinčių fizinių asmenų elektros energijos reikmėms ir (ar) iškastinį kurą naudojančių šilumos įrenginių pakeitimui</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asmenys,</w:t>
                    </w:r>
                    <w:r>
                      <w:rPr>
                        <w:i/>
                        <w:iCs/>
                        <w:sz w:val="18"/>
                        <w:szCs w:val="18"/>
                      </w:rPr>
                      <w:t> </w:t>
                    </w:r>
                    <w:r>
                      <w:rPr>
                        <w:sz w:val="18"/>
                        <w:szCs w:val="18"/>
                      </w:rPr>
                      <w:t>kuriems</w:t>
                    </w:r>
                    <w:r>
                      <w:rPr>
                        <w:i/>
                        <w:iCs/>
                        <w:sz w:val="18"/>
                        <w:szCs w:val="18"/>
                      </w:rPr>
                      <w:t xml:space="preserve"> </w:t>
                    </w:r>
                    <w:r>
                      <w:rPr>
                        <w:sz w:val="18"/>
                        <w:szCs w:val="18"/>
                      </w:rPr>
                      <w:t>nustatyta tvarka ir (ar) su jais gyvenantiems asmenims Lietuvos Respublikos piniginės socialinės paramos nepasiturintiems gyventojams įstatymo nustatyta tvarka yra buvo teikiama piniginė socialinė parama</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2 000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0,40</w:t>
                    </w:r>
                  </w:p>
                </w:tc>
                <w:tc>
                  <w:tcPr>
                    <w:tcW w:w="825" w:type="dxa"/>
                  </w:tcPr>
                  <w:p>
                    <w:pPr>
                      <w:ind w:left="-57" w:right="-57"/>
                      <w:jc w:val="center"/>
                      <w:rPr>
                        <w:sz w:val="18"/>
                        <w:szCs w:val="18"/>
                      </w:rPr>
                    </w:pPr>
                    <w:r>
                      <w:rPr>
                        <w:sz w:val="18"/>
                        <w:szCs w:val="18"/>
                      </w:rPr>
                      <w:t>2022 m. 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w:t>
                    </w:r>
                  </w:p>
                  <w:p>
                    <w:pPr>
                      <w:ind w:left="-57" w:right="-57"/>
                      <w:jc w:val="center"/>
                      <w:rPr>
                        <w:sz w:val="18"/>
                        <w:szCs w:val="18"/>
                      </w:rPr>
                    </w:pPr>
                    <w:r>
                      <w:rPr>
                        <w:sz w:val="18"/>
                        <w:szCs w:val="18"/>
                      </w:rPr>
                      <w:t>Lietuvos Respublikos socialinės apsaugos ir darbo ministerija (toliau – SADM)</w:t>
                    </w:r>
                  </w:p>
                </w:tc>
              </w:tr>
              <w:tr>
                <w:trPr>
                  <w:trHeight w:val="233"/>
                </w:trPr>
                <w:tc>
                  <w:tcPr>
                    <w:tcW w:w="1920" w:type="dxa"/>
                  </w:tcPr>
                  <w:p>
                    <w:pPr>
                      <w:rPr>
                        <w:sz w:val="18"/>
                        <w:szCs w:val="18"/>
                        <w:lang w:val="en-US"/>
                      </w:rPr>
                    </w:pPr>
                    <w:r>
                      <w:rPr>
                        <w:sz w:val="18"/>
                        <w:szCs w:val="18"/>
                        <w:lang w:val="en-US"/>
                      </w:rPr>
                      <w:t xml:space="preserve">2.3. Saulės elektrinių įsigyjimas fiziniams asmenims </w:t>
                    </w:r>
                    <w:r>
                      <w:rPr>
                        <w:sz w:val="18"/>
                        <w:szCs w:val="18"/>
                      </w:rPr>
                      <w:t>(nutolusios saulės elektrinės dalies įsigijimas iš vystytojo elektrinių parke)</w:t>
                    </w:r>
                    <w:r>
                      <w:rPr>
                        <w:sz w:val="18"/>
                        <w:szCs w:val="18"/>
                        <w:lang w:val="en-US"/>
                      </w:rPr>
                      <w:t xml:space="preserve">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asmenys</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20 000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17,74</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w:t>
                    </w:r>
                  </w:p>
                </w:tc>
              </w:tr>
              <w:tr>
                <w:trPr>
                  <w:trHeight w:val="233"/>
                </w:trPr>
                <w:tc>
                  <w:tcPr>
                    <w:tcW w:w="1920" w:type="dxa"/>
                  </w:tcPr>
                  <w:p>
                    <w:pPr>
                      <w:rPr>
                        <w:color w:val="000000"/>
                        <w:sz w:val="18"/>
                        <w:szCs w:val="18"/>
                        <w:lang w:val="en-US"/>
                      </w:rPr>
                    </w:pPr>
                    <w:r>
                      <w:rPr>
                        <w:color w:val="000000"/>
                        <w:sz w:val="18"/>
                        <w:szCs w:val="18"/>
                        <w:lang w:val="en-US"/>
                      </w:rPr>
                      <w:t>2.4. Elektros energijos kaupimo įrenginiai namų ūkiams (gaminantiems vartotojiems)</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asmenys, gaminantys vartotojai</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1 000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Nevertinama</w:t>
                    </w:r>
                  </w:p>
                  <w:p>
                    <w:pPr>
                      <w:ind w:left="-57" w:right="-57"/>
                      <w:rPr>
                        <w:sz w:val="18"/>
                        <w:szCs w:val="18"/>
                      </w:rPr>
                    </w:pPr>
                  </w:p>
                </w:tc>
                <w:tc>
                  <w:tcPr>
                    <w:tcW w:w="981" w:type="dxa"/>
                  </w:tcPr>
                  <w:p>
                    <w:pPr>
                      <w:spacing w:line="259" w:lineRule="auto"/>
                      <w:ind w:left="-57" w:right="-57"/>
                      <w:jc w:val="right"/>
                      <w:rPr>
                        <w:sz w:val="18"/>
                        <w:szCs w:val="18"/>
                      </w:rPr>
                    </w:pPr>
                    <w:r>
                      <w:rPr>
                        <w:sz w:val="18"/>
                        <w:szCs w:val="18"/>
                      </w:rPr>
                      <w:t>0</w:t>
                    </w:r>
                  </w:p>
                </w:tc>
                <w:tc>
                  <w:tcPr>
                    <w:tcW w:w="825" w:type="dxa"/>
                  </w:tcPr>
                  <w:p>
                    <w:pPr>
                      <w:ind w:left="-57" w:right="-57"/>
                      <w:jc w:val="center"/>
                      <w:rPr>
                        <w:sz w:val="18"/>
                        <w:szCs w:val="18"/>
                      </w:rPr>
                    </w:pPr>
                    <w:r>
                      <w:rPr>
                        <w:sz w:val="18"/>
                        <w:szCs w:val="18"/>
                      </w:rPr>
                      <w:t>2022 m. IIIketv.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w:t>
                    </w:r>
                  </w:p>
                </w:tc>
              </w:tr>
              <w:tr>
                <w:trPr>
                  <w:trHeight w:val="233"/>
                </w:trPr>
                <w:tc>
                  <w:tcPr>
                    <w:tcW w:w="1920" w:type="dxa"/>
                  </w:tcPr>
                  <w:p>
                    <w:pPr>
                      <w:rPr>
                        <w:sz w:val="18"/>
                        <w:szCs w:val="18"/>
                      </w:rPr>
                    </w:pPr>
                    <w:r>
                      <w:rPr>
                        <w:color w:val="000000"/>
                        <w:sz w:val="18"/>
                        <w:szCs w:val="18"/>
                        <w:lang w:val="en-US"/>
                      </w:rPr>
                      <w:t xml:space="preserve">2.5. </w:t>
                    </w:r>
                    <w:r>
                      <w:rPr>
                        <w:color w:val="000000"/>
                        <w:sz w:val="18"/>
                        <w:szCs w:val="18"/>
                      </w:rPr>
                      <w:t>Atsinaujinančių energijos išteklių panaudojimas fizinių asmenų gyvenamuosiuose namuose pakeičiant iškastinį kurą naudojančius šilumos įrenginius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asmenys Lietuvos Respublikoje nuosavybės teise valdantys gyvenamąjį namą (t. y. vieno buto pastatą arba gyvenamosios paskirties butą dviejų butų arba daugiabučiame pastate)</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25 000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80,40</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w:t>
                    </w:r>
                  </w:p>
                </w:tc>
              </w:tr>
              <w:tr>
                <w:trPr>
                  <w:trHeight w:val="233"/>
                </w:trPr>
                <w:tc>
                  <w:tcPr>
                    <w:tcW w:w="1920" w:type="dxa"/>
                  </w:tcPr>
                  <w:p>
                    <w:pPr>
                      <w:rPr>
                        <w:sz w:val="18"/>
                        <w:szCs w:val="18"/>
                        <w:lang w:val="en-US"/>
                      </w:rPr>
                    </w:pPr>
                    <w:r>
                      <w:rPr>
                        <w:sz w:val="18"/>
                        <w:szCs w:val="18"/>
                        <w:lang w:val="en-US"/>
                      </w:rPr>
                      <w:t>2.6. Saulės elektrinės daugiabučiams</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ir juridiniai asmenys</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3 000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4,36</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w:t>
                    </w:r>
                  </w:p>
                </w:tc>
              </w:tr>
              <w:tr>
                <w:trPr>
                  <w:trHeight w:val="233"/>
                </w:trPr>
                <w:tc>
                  <w:tcPr>
                    <w:tcW w:w="1920" w:type="dxa"/>
                  </w:tcPr>
                  <w:p>
                    <w:pPr>
                      <w:ind w:left="-57" w:right="-57"/>
                      <w:rPr>
                        <w:b/>
                        <w:bCs/>
                        <w:sz w:val="18"/>
                        <w:szCs w:val="18"/>
                      </w:rPr>
                    </w:pPr>
                    <w:r>
                      <w:rPr>
                        <w:b/>
                        <w:bCs/>
                        <w:sz w:val="18"/>
                        <w:szCs w:val="18"/>
                      </w:rPr>
                      <w:t>3.Investicinė parama biometano gamybai ir (ar) biodųjų išvalymui</w:t>
                    </w:r>
                  </w:p>
                </w:tc>
                <w:tc>
                  <w:tcPr>
                    <w:tcW w:w="901" w:type="dxa"/>
                  </w:tcPr>
                  <w:p>
                    <w:pPr>
                      <w:ind w:left="-57" w:right="-57"/>
                      <w:jc w:val="center"/>
                      <w:rPr>
                        <w:b/>
                        <w:bCs/>
                        <w:sz w:val="18"/>
                        <w:szCs w:val="18"/>
                      </w:rPr>
                    </w:pPr>
                    <w:r>
                      <w:rPr>
                        <w:b/>
                        <w:bCs/>
                        <w:sz w:val="18"/>
                        <w:szCs w:val="18"/>
                      </w:rPr>
                      <w:t>I</w:t>
                    </w:r>
                  </w:p>
                </w:tc>
                <w:tc>
                  <w:tcPr>
                    <w:tcW w:w="1829" w:type="dxa"/>
                  </w:tcPr>
                  <w:p>
                    <w:pPr>
                      <w:ind w:left="-57" w:right="-57"/>
                      <w:jc w:val="center"/>
                      <w:rPr>
                        <w:b/>
                        <w:bCs/>
                        <w:sz w:val="18"/>
                        <w:szCs w:val="18"/>
                      </w:rPr>
                    </w:pPr>
                    <w:r>
                      <w:rPr>
                        <w:b/>
                        <w:bCs/>
                        <w:sz w:val="18"/>
                        <w:szCs w:val="18"/>
                      </w:rPr>
                      <w:t>-</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bCs/>
                        <w:sz w:val="18"/>
                        <w:szCs w:val="18"/>
                      </w:rPr>
                    </w:pPr>
                    <w:r>
                      <w:rPr>
                        <w:sz w:val="18"/>
                        <w:szCs w:val="18"/>
                      </w:rPr>
                      <w:t>Taip</w:t>
                    </w:r>
                  </w:p>
                </w:tc>
                <w:tc>
                  <w:tcPr>
                    <w:tcW w:w="850" w:type="dxa"/>
                  </w:tcPr>
                  <w:p>
                    <w:pPr>
                      <w:ind w:left="-57" w:right="-57"/>
                      <w:jc w:val="center"/>
                      <w:rPr>
                        <w:b/>
                        <w:bCs/>
                        <w:sz w:val="18"/>
                        <w:szCs w:val="18"/>
                      </w:rPr>
                    </w:pP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33 000</w:t>
                    </w:r>
                  </w:p>
                </w:tc>
                <w:tc>
                  <w:tcPr>
                    <w:tcW w:w="1109" w:type="dxa"/>
                  </w:tcPr>
                  <w:p>
                    <w:pPr>
                      <w:ind w:left="-57" w:right="-57"/>
                      <w:jc w:val="center"/>
                      <w:rPr>
                        <w:b/>
                        <w:bCs/>
                        <w:sz w:val="18"/>
                        <w:szCs w:val="18"/>
                      </w:rPr>
                    </w:pPr>
                    <w:r>
                      <w:rPr>
                        <w:b/>
                        <w:bCs/>
                        <w:sz w:val="18"/>
                        <w:szCs w:val="18"/>
                      </w:rPr>
                      <w:t>KKP</w:t>
                    </w:r>
                  </w:p>
                </w:tc>
                <w:tc>
                  <w:tcPr>
                    <w:tcW w:w="1276" w:type="dxa"/>
                  </w:tcPr>
                  <w:p>
                    <w:pPr>
                      <w:ind w:left="-57" w:right="-57"/>
                      <w:rPr>
                        <w:b/>
                        <w:bCs/>
                        <w:sz w:val="18"/>
                        <w:szCs w:val="18"/>
                      </w:rPr>
                    </w:pPr>
                    <w:r>
                      <w:rPr>
                        <w:b/>
                        <w:bCs/>
                        <w:sz w:val="18"/>
                        <w:szCs w:val="18"/>
                      </w:rPr>
                      <w:t>Suminis ŠESD sumažinimo efektas, tūkst. tonų CO</w:t>
                    </w:r>
                    <w:r>
                      <w:rPr>
                        <w:b/>
                        <w:bCs/>
                        <w:sz w:val="18"/>
                        <w:szCs w:val="18"/>
                        <w:vertAlign w:val="subscript"/>
                      </w:rPr>
                      <w:t>2</w:t>
                    </w:r>
                    <w:r>
                      <w:rPr>
                        <w:b/>
                        <w:bCs/>
                        <w:sz w:val="18"/>
                        <w:szCs w:val="18"/>
                      </w:rPr>
                      <w:t xml:space="preserve"> ekvivalentu (R)</w:t>
                    </w:r>
                  </w:p>
                </w:tc>
                <w:tc>
                  <w:tcPr>
                    <w:tcW w:w="981" w:type="dxa"/>
                  </w:tcPr>
                  <w:p>
                    <w:pPr>
                      <w:ind w:left="-57" w:right="-57"/>
                      <w:jc w:val="right"/>
                      <w:rPr>
                        <w:b/>
                        <w:bCs/>
                        <w:sz w:val="18"/>
                        <w:szCs w:val="18"/>
                      </w:rPr>
                    </w:pPr>
                    <w:r>
                      <w:rPr>
                        <w:b/>
                        <w:bCs/>
                        <w:sz w:val="18"/>
                        <w:szCs w:val="18"/>
                      </w:rPr>
                      <w:t>124,34</w:t>
                    </w:r>
                  </w:p>
                </w:tc>
                <w:tc>
                  <w:tcPr>
                    <w:tcW w:w="825" w:type="dxa"/>
                  </w:tcPr>
                  <w:p>
                    <w:pPr>
                      <w:ind w:left="-57" w:right="-57"/>
                      <w:jc w:val="center"/>
                      <w:rPr>
                        <w:b/>
                        <w:bCs/>
                        <w:sz w:val="18"/>
                        <w:szCs w:val="18"/>
                      </w:rPr>
                    </w:pPr>
                    <w:r>
                      <w:rPr>
                        <w:b/>
                        <w:bCs/>
                        <w:sz w:val="18"/>
                        <w:szCs w:val="18"/>
                      </w:rPr>
                      <w:t xml:space="preserve">2022 m. </w:t>
                    </w:r>
                  </w:p>
                </w:tc>
                <w:tc>
                  <w:tcPr>
                    <w:tcW w:w="993" w:type="dxa"/>
                  </w:tcPr>
                  <w:p>
                    <w:pPr>
                      <w:ind w:left="-57" w:right="-57"/>
                      <w:jc w:val="center"/>
                      <w:rPr>
                        <w:b/>
                        <w:bCs/>
                        <w:sz w:val="18"/>
                        <w:szCs w:val="18"/>
                      </w:rPr>
                    </w:pPr>
                    <w:r>
                      <w:rPr>
                        <w:b/>
                        <w:bCs/>
                        <w:sz w:val="18"/>
                        <w:szCs w:val="18"/>
                      </w:rPr>
                      <w:t>APVA</w:t>
                    </w:r>
                  </w:p>
                </w:tc>
                <w:tc>
                  <w:tcPr>
                    <w:tcW w:w="898" w:type="dxa"/>
                  </w:tcPr>
                  <w:p>
                    <w:pPr>
                      <w:ind w:left="-57" w:right="-57"/>
                      <w:jc w:val="center"/>
                      <w:rPr>
                        <w:sz w:val="18"/>
                        <w:szCs w:val="18"/>
                      </w:rPr>
                    </w:pPr>
                  </w:p>
                </w:tc>
              </w:tr>
              <w:tr>
                <w:trPr>
                  <w:trHeight w:val="233"/>
                </w:trPr>
                <w:tc>
                  <w:tcPr>
                    <w:tcW w:w="1920" w:type="dxa"/>
                  </w:tcPr>
                  <w:p>
                    <w:pPr>
                      <w:rPr>
                        <w:sz w:val="18"/>
                        <w:szCs w:val="18"/>
                      </w:rPr>
                    </w:pPr>
                    <w:r>
                      <w:rPr>
                        <w:sz w:val="18"/>
                        <w:szCs w:val="18"/>
                      </w:rPr>
                      <w:t xml:space="preserve">3.1. Investicinė parama biometano gamybai ir (ar) biodųjų išvalymui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 xml:space="preserve">Lietuvoje registruoti  juridiniai asmenys</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Taip</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31 000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122,62</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 Lietuvos Respublikos žemės ūkio ministerija (toliau – ŽŪM)</w:t>
                    </w:r>
                  </w:p>
                </w:tc>
              </w:tr>
              <w:tr>
                <w:trPr>
                  <w:trHeight w:val="233"/>
                </w:trPr>
                <w:tc>
                  <w:tcPr>
                    <w:tcW w:w="1920" w:type="dxa"/>
                  </w:tcPr>
                  <w:p>
                    <w:pPr>
                      <w:rPr>
                        <w:sz w:val="18"/>
                        <w:szCs w:val="18"/>
                      </w:rPr>
                    </w:pPr>
                    <w:r>
                      <w:rPr>
                        <w:sz w:val="18"/>
                        <w:szCs w:val="18"/>
                      </w:rPr>
                      <w:t>3.2. Biometano ir (ar) biodujų panaudojimas žemės ūkyje pakeičiant dyzelinį kurą</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lang w:val="en-US"/>
                      </w:rPr>
                    </w:pPr>
                    <w:r>
                      <w:rPr>
                        <w:sz w:val="18"/>
                        <w:szCs w:val="18"/>
                      </w:rPr>
                      <w:t xml:space="preserve">Lietuvoje registruoti fiziniais ir  juridiniai asmenys.</w:t>
                    </w:r>
                  </w:p>
                  <w:p>
                    <w:pPr>
                      <w:ind w:left="-57" w:right="-57"/>
                      <w:rPr>
                        <w:sz w:val="18"/>
                        <w:szCs w:val="18"/>
                      </w:rPr>
                    </w:pPr>
                    <w:r>
                      <w:rPr>
                        <w:sz w:val="18"/>
                        <w:szCs w:val="18"/>
                      </w:rPr>
                      <w:t>Žemės ūkio veiklą vykdantys subjektai</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shd w:val="clear" w:color="auto" w:fill="auto"/>
                  </w:tcPr>
                  <w:p>
                    <w:pPr>
                      <w:ind w:left="-57" w:right="-57"/>
                      <w:jc w:val="center"/>
                      <w:rPr>
                        <w:sz w:val="18"/>
                        <w:szCs w:val="18"/>
                      </w:rPr>
                    </w:pPr>
                    <w:r>
                      <w:rPr>
                        <w:sz w:val="18"/>
                        <w:szCs w:val="18"/>
                      </w:rPr>
                      <w:t>Taip</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2 000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1,72</w:t>
                    </w:r>
                  </w:p>
                </w:tc>
                <w:tc>
                  <w:tcPr>
                    <w:tcW w:w="825" w:type="dxa"/>
                  </w:tcPr>
                  <w:p>
                    <w:pPr>
                      <w:ind w:left="-57" w:right="-57"/>
                      <w:jc w:val="center"/>
                      <w:rPr>
                        <w:sz w:val="18"/>
                        <w:szCs w:val="18"/>
                      </w:rPr>
                    </w:pPr>
                    <w:r>
                      <w:rPr>
                        <w:sz w:val="18"/>
                        <w:szCs w:val="18"/>
                      </w:rPr>
                      <w:t>2022 m. IV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ŽŪM</w:t>
                    </w:r>
                  </w:p>
                </w:tc>
              </w:tr>
              <w:tr>
                <w:trPr>
                  <w:trHeight w:val="233"/>
                </w:trPr>
                <w:tc>
                  <w:tcPr>
                    <w:tcW w:w="1920" w:type="dxa"/>
                  </w:tcPr>
                  <w:p>
                    <w:pPr>
                      <w:ind w:left="-57" w:right="-57"/>
                      <w:rPr>
                        <w:b/>
                        <w:bCs/>
                        <w:sz w:val="18"/>
                        <w:szCs w:val="18"/>
                      </w:rPr>
                    </w:pPr>
                    <w:r>
                      <w:rPr>
                        <w:b/>
                        <w:bCs/>
                        <w:sz w:val="18"/>
                        <w:szCs w:val="18"/>
                      </w:rPr>
                      <w:t>4. Mažiau taršaus transporto įsigijimo ir (ar) panaudojimo skatinimas</w:t>
                    </w:r>
                  </w:p>
                </w:tc>
                <w:tc>
                  <w:tcPr>
                    <w:tcW w:w="901" w:type="dxa"/>
                  </w:tcPr>
                  <w:p>
                    <w:pPr>
                      <w:ind w:left="-57" w:right="-57"/>
                      <w:jc w:val="center"/>
                      <w:rPr>
                        <w:b/>
                        <w:bCs/>
                        <w:sz w:val="18"/>
                        <w:szCs w:val="18"/>
                      </w:rPr>
                    </w:pPr>
                    <w:r>
                      <w:rPr>
                        <w:b/>
                        <w:bCs/>
                        <w:sz w:val="18"/>
                        <w:szCs w:val="18"/>
                      </w:rPr>
                      <w:t>I</w:t>
                    </w:r>
                  </w:p>
                </w:tc>
                <w:tc>
                  <w:tcPr>
                    <w:tcW w:w="1829" w:type="dxa"/>
                  </w:tcPr>
                  <w:p>
                    <w:pPr>
                      <w:ind w:left="-57" w:right="-57"/>
                      <w:jc w:val="center"/>
                      <w:rPr>
                        <w:b/>
                        <w:bCs/>
                        <w:sz w:val="18"/>
                        <w:szCs w:val="18"/>
                      </w:rPr>
                    </w:pPr>
                    <w:r>
                      <w:rPr>
                        <w:b/>
                        <w:bCs/>
                        <w:sz w:val="18"/>
                        <w:szCs w:val="18"/>
                      </w:rPr>
                      <w:t>Fiziniai asmenys</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b/>
                        <w:bCs/>
                        <w:sz w:val="18"/>
                        <w:szCs w:val="18"/>
                      </w:rPr>
                    </w:pPr>
                    <w:r>
                      <w:rPr>
                        <w:b/>
                        <w:bCs/>
                        <w:sz w:val="18"/>
                        <w:szCs w:val="18"/>
                      </w:rPr>
                      <w:t>Ne</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12 000</w:t>
                    </w:r>
                  </w:p>
                </w:tc>
                <w:tc>
                  <w:tcPr>
                    <w:tcW w:w="1109" w:type="dxa"/>
                  </w:tcPr>
                  <w:p>
                    <w:pPr>
                      <w:ind w:left="-57" w:right="-57"/>
                      <w:jc w:val="center"/>
                      <w:rPr>
                        <w:b/>
                        <w:bCs/>
                        <w:sz w:val="18"/>
                        <w:szCs w:val="18"/>
                      </w:rPr>
                    </w:pPr>
                    <w:r>
                      <w:rPr>
                        <w:b/>
                        <w:bCs/>
                        <w:sz w:val="18"/>
                        <w:szCs w:val="18"/>
                      </w:rPr>
                      <w:t>KKP</w:t>
                    </w:r>
                  </w:p>
                </w:tc>
                <w:tc>
                  <w:tcPr>
                    <w:tcW w:w="1276" w:type="dxa"/>
                  </w:tcPr>
                  <w:p>
                    <w:pPr>
                      <w:ind w:left="-57" w:right="-57"/>
                      <w:rPr>
                        <w:b/>
                        <w:bCs/>
                        <w:sz w:val="18"/>
                        <w:szCs w:val="18"/>
                      </w:rPr>
                    </w:pPr>
                    <w:r>
                      <w:rPr>
                        <w:b/>
                        <w:bCs/>
                        <w:sz w:val="18"/>
                        <w:szCs w:val="18"/>
                      </w:rPr>
                      <w:t>Suminis ŠESD sumažinimo efektas, tūkst. tonų CO</w:t>
                    </w:r>
                    <w:r>
                      <w:rPr>
                        <w:b/>
                        <w:bCs/>
                        <w:sz w:val="18"/>
                        <w:szCs w:val="18"/>
                        <w:vertAlign w:val="subscript"/>
                      </w:rPr>
                      <w:t>2</w:t>
                    </w:r>
                    <w:r>
                      <w:rPr>
                        <w:b/>
                        <w:bCs/>
                        <w:sz w:val="18"/>
                        <w:szCs w:val="18"/>
                      </w:rPr>
                      <w:t xml:space="preserve"> ekvivalentu (R)</w:t>
                    </w:r>
                  </w:p>
                </w:tc>
                <w:tc>
                  <w:tcPr>
                    <w:tcW w:w="981" w:type="dxa"/>
                  </w:tcPr>
                  <w:p>
                    <w:pPr>
                      <w:ind w:left="-57" w:right="-57"/>
                      <w:jc w:val="right"/>
                      <w:rPr>
                        <w:b/>
                        <w:bCs/>
                        <w:sz w:val="18"/>
                        <w:szCs w:val="18"/>
                      </w:rPr>
                    </w:pPr>
                    <w:r>
                      <w:rPr>
                        <w:b/>
                        <w:bCs/>
                        <w:sz w:val="18"/>
                        <w:szCs w:val="18"/>
                      </w:rPr>
                      <w:t>53,40</w:t>
                    </w:r>
                  </w:p>
                </w:tc>
                <w:tc>
                  <w:tcPr>
                    <w:tcW w:w="825" w:type="dxa"/>
                  </w:tcPr>
                  <w:p>
                    <w:pPr>
                      <w:ind w:left="-57" w:right="-57"/>
                      <w:jc w:val="center"/>
                      <w:rPr>
                        <w:b/>
                        <w:bCs/>
                        <w:sz w:val="18"/>
                        <w:szCs w:val="18"/>
                      </w:rPr>
                    </w:pPr>
                    <w:r>
                      <w:rPr>
                        <w:b/>
                        <w:bCs/>
                        <w:sz w:val="18"/>
                        <w:szCs w:val="18"/>
                      </w:rPr>
                      <w:t>2022 m. II ketv.</w:t>
                    </w:r>
                  </w:p>
                </w:tc>
                <w:tc>
                  <w:tcPr>
                    <w:tcW w:w="993" w:type="dxa"/>
                  </w:tcPr>
                  <w:p>
                    <w:pPr>
                      <w:ind w:left="-57" w:right="-57"/>
                      <w:jc w:val="center"/>
                      <w:rPr>
                        <w:b/>
                        <w:bCs/>
                        <w:sz w:val="18"/>
                        <w:szCs w:val="18"/>
                      </w:rPr>
                    </w:pPr>
                    <w:r>
                      <w:rPr>
                        <w:b/>
                        <w:bCs/>
                        <w:sz w:val="18"/>
                        <w:szCs w:val="18"/>
                      </w:rPr>
                      <w:t>APVA</w:t>
                    </w:r>
                  </w:p>
                </w:tc>
                <w:tc>
                  <w:tcPr>
                    <w:tcW w:w="898" w:type="dxa"/>
                  </w:tcPr>
                  <w:p>
                    <w:pPr>
                      <w:ind w:left="-57" w:right="-57"/>
                      <w:jc w:val="center"/>
                      <w:rPr>
                        <w:b/>
                        <w:bCs/>
                        <w:sz w:val="18"/>
                        <w:szCs w:val="18"/>
                      </w:rPr>
                    </w:pPr>
                    <w:r>
                      <w:rPr>
                        <w:b/>
                        <w:bCs/>
                        <w:sz w:val="18"/>
                        <w:szCs w:val="18"/>
                      </w:rPr>
                      <w:t>AM, Lietuvos Respublikos susisiekimo ministerija (toliau – SM)</w:t>
                    </w:r>
                  </w:p>
                </w:tc>
              </w:tr>
              <w:tr>
                <w:trPr>
                  <w:trHeight w:val="233"/>
                </w:trPr>
                <w:tc>
                  <w:tcPr>
                    <w:tcW w:w="1920" w:type="dxa"/>
                  </w:tcPr>
                  <w:p>
                    <w:pPr>
                      <w:rPr>
                        <w:color w:val="000000"/>
                        <w:sz w:val="18"/>
                        <w:szCs w:val="18"/>
                      </w:rPr>
                    </w:pPr>
                    <w:r>
                      <w:rPr>
                        <w:color w:val="000000"/>
                        <w:sz w:val="18"/>
                        <w:szCs w:val="18"/>
                      </w:rPr>
                      <w:t xml:space="preserve">4.1. Visuomeninio transporto ir darnaus judumo skatinimas (paspirtukai, dviračiai, dalijimosi paslauga, viešojo transporto bilietai)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asmenys</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8 000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39</w:t>
                    </w:r>
                  </w:p>
                </w:tc>
                <w:tc>
                  <w:tcPr>
                    <w:tcW w:w="825" w:type="dxa"/>
                  </w:tcPr>
                  <w:p>
                    <w:pPr>
                      <w:ind w:left="-57" w:right="-57"/>
                      <w:jc w:val="center"/>
                      <w:rPr>
                        <w:sz w:val="18"/>
                        <w:szCs w:val="18"/>
                      </w:rPr>
                    </w:pPr>
                    <w:r>
                      <w:rPr>
                        <w:sz w:val="18"/>
                        <w:szCs w:val="18"/>
                      </w:rPr>
                      <w:t>2022 m. 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SM</w:t>
                    </w:r>
                  </w:p>
                </w:tc>
              </w:tr>
              <w:tr>
                <w:trPr>
                  <w:trHeight w:val="233"/>
                </w:trPr>
                <w:tc>
                  <w:tcPr>
                    <w:tcW w:w="1920" w:type="dxa"/>
                  </w:tcPr>
                  <w:p>
                    <w:pPr>
                      <w:widowControl w:val="0"/>
                      <w:suppressAutoHyphens/>
                      <w:rPr>
                        <w:sz w:val="18"/>
                        <w:szCs w:val="18"/>
                      </w:rPr>
                    </w:pPr>
                    <w:r>
                      <w:rPr>
                        <w:color w:val="000000"/>
                        <w:sz w:val="18"/>
                        <w:szCs w:val="18"/>
                      </w:rPr>
                      <w:t>4.2.</w:t>
                    </w:r>
                    <w:r>
                      <w:rPr>
                        <w:color w:val="000000"/>
                        <w:sz w:val="18"/>
                        <w:szCs w:val="18"/>
                        <w:shd w:val="clear" w:color="auto" w:fill="FFFFFF"/>
                      </w:rPr>
                      <w:t xml:space="preserve"> </w:t>
                    </w:r>
                    <w:r>
                      <w:rPr>
                        <w:color w:val="000000"/>
                        <w:sz w:val="18"/>
                        <w:szCs w:val="18"/>
                      </w:rPr>
                      <w:t>Mažiau taršių automobilių ir registruojamų elektrinių motorinių priemonių įsigijimo fiziniams asmenims skatinimas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Fiziniai asmenys</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Ne</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4 000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w:t>
                    </w:r>
                  </w:p>
                </w:tc>
                <w:tc>
                  <w:tcPr>
                    <w:tcW w:w="981" w:type="dxa"/>
                  </w:tcPr>
                  <w:p>
                    <w:pPr>
                      <w:ind w:left="-57" w:right="-57"/>
                      <w:jc w:val="right"/>
                      <w:rPr>
                        <w:sz w:val="18"/>
                        <w:szCs w:val="18"/>
                      </w:rPr>
                    </w:pPr>
                    <w:r>
                      <w:rPr>
                        <w:sz w:val="18"/>
                        <w:szCs w:val="18"/>
                      </w:rPr>
                      <w:t>14,40</w:t>
                    </w:r>
                  </w:p>
                </w:tc>
                <w:tc>
                  <w:tcPr>
                    <w:tcW w:w="825" w:type="dxa"/>
                  </w:tcPr>
                  <w:p>
                    <w:pPr>
                      <w:ind w:left="-57" w:right="-57"/>
                      <w:jc w:val="center"/>
                      <w:rPr>
                        <w:sz w:val="18"/>
                        <w:szCs w:val="18"/>
                      </w:rPr>
                    </w:pPr>
                    <w:r>
                      <w:rPr>
                        <w:sz w:val="18"/>
                        <w:szCs w:val="18"/>
                      </w:rPr>
                      <w:t>2022 m. 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SM</w:t>
                    </w:r>
                  </w:p>
                </w:tc>
              </w:tr>
              <w:tr>
                <w:trPr>
                  <w:trHeight w:val="233"/>
                </w:trPr>
                <w:tc>
                  <w:tcPr>
                    <w:tcW w:w="1920" w:type="dxa"/>
                  </w:tcPr>
                  <w:p>
                    <w:pPr>
                      <w:ind w:left="-57" w:right="-57"/>
                      <w:rPr>
                        <w:b/>
                        <w:sz w:val="18"/>
                        <w:szCs w:val="18"/>
                      </w:rPr>
                    </w:pPr>
                    <w:r>
                      <w:rPr>
                        <w:b/>
                        <w:sz w:val="18"/>
                        <w:szCs w:val="18"/>
                      </w:rPr>
                      <w:t>5.</w:t>
                    </w:r>
                    <w:r>
                      <w:rPr>
                        <w:b/>
                        <w:bCs/>
                        <w:sz w:val="18"/>
                        <w:szCs w:val="18"/>
                      </w:rPr>
                      <w:t xml:space="preserve"> </w:t>
                    </w:r>
                    <w:r>
                      <w:rPr>
                        <w:b/>
                        <w:sz w:val="18"/>
                        <w:szCs w:val="18"/>
                      </w:rPr>
                      <w:t>Juridinių asmenų šiltnamio efektą sukeliančių dujų kiekio mažinimo skatinimas</w:t>
                    </w:r>
                  </w:p>
                </w:tc>
                <w:tc>
                  <w:tcPr>
                    <w:tcW w:w="901" w:type="dxa"/>
                  </w:tcPr>
                  <w:p>
                    <w:pPr>
                      <w:ind w:left="-57" w:right="-57"/>
                      <w:jc w:val="center"/>
                      <w:rPr>
                        <w:b/>
                        <w:bCs/>
                        <w:sz w:val="18"/>
                        <w:szCs w:val="18"/>
                      </w:rPr>
                    </w:pPr>
                    <w:r>
                      <w:rPr>
                        <w:b/>
                        <w:bCs/>
                        <w:sz w:val="18"/>
                        <w:szCs w:val="18"/>
                      </w:rPr>
                      <w:t>I</w:t>
                    </w:r>
                  </w:p>
                </w:tc>
                <w:tc>
                  <w:tcPr>
                    <w:tcW w:w="1829" w:type="dxa"/>
                  </w:tcPr>
                  <w:p>
                    <w:pPr>
                      <w:ind w:left="-57" w:right="-57"/>
                      <w:jc w:val="center"/>
                      <w:rPr>
                        <w:b/>
                        <w:bCs/>
                        <w:sz w:val="18"/>
                        <w:szCs w:val="18"/>
                      </w:rPr>
                    </w:pPr>
                    <w:r>
                      <w:rPr>
                        <w:b/>
                        <w:bCs/>
                        <w:sz w:val="18"/>
                        <w:szCs w:val="18"/>
                      </w:rPr>
                      <w:t>-</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bCs/>
                        <w:sz w:val="18"/>
                        <w:szCs w:val="18"/>
                      </w:rPr>
                    </w:pPr>
                    <w:r>
                      <w:rPr>
                        <w:b/>
                        <w:sz w:val="18"/>
                        <w:szCs w:val="18"/>
                      </w:rPr>
                      <w:t>Taip</w:t>
                    </w:r>
                  </w:p>
                </w:tc>
                <w:tc>
                  <w:tcPr>
                    <w:tcW w:w="850" w:type="dxa"/>
                  </w:tcPr>
                  <w:p>
                    <w:pPr>
                      <w:ind w:left="-57" w:right="-57"/>
                      <w:jc w:val="center"/>
                      <w:rPr>
                        <w:b/>
                        <w:bCs/>
                        <w:sz w:val="18"/>
                        <w:szCs w:val="18"/>
                      </w:rPr>
                    </w:pPr>
                    <w:r>
                      <w:rPr>
                        <w:b/>
                        <w:bCs/>
                        <w:sz w:val="18"/>
                        <w:szCs w:val="18"/>
                      </w:rPr>
                      <w:t>Taip</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15 000</w:t>
                    </w:r>
                  </w:p>
                </w:tc>
                <w:tc>
                  <w:tcPr>
                    <w:tcW w:w="1109" w:type="dxa"/>
                  </w:tcPr>
                  <w:p>
                    <w:pPr>
                      <w:ind w:left="-57" w:right="-57"/>
                      <w:jc w:val="center"/>
                      <w:rPr>
                        <w:b/>
                        <w:bCs/>
                        <w:sz w:val="18"/>
                        <w:szCs w:val="18"/>
                      </w:rPr>
                    </w:pPr>
                    <w:r>
                      <w:rPr>
                        <w:b/>
                        <w:bCs/>
                        <w:sz w:val="18"/>
                        <w:szCs w:val="18"/>
                      </w:rPr>
                      <w:t>KKP</w:t>
                    </w:r>
                  </w:p>
                </w:tc>
                <w:tc>
                  <w:tcPr>
                    <w:tcW w:w="1276" w:type="dxa"/>
                  </w:tcPr>
                  <w:p>
                    <w:pPr>
                      <w:ind w:left="-57" w:right="-57"/>
                      <w:rPr>
                        <w:b/>
                        <w:bCs/>
                        <w:sz w:val="18"/>
                        <w:szCs w:val="18"/>
                      </w:rPr>
                    </w:pPr>
                    <w:r>
                      <w:rPr>
                        <w:b/>
                        <w:bCs/>
                        <w:sz w:val="18"/>
                        <w:szCs w:val="18"/>
                      </w:rPr>
                      <w:t>Suminis ŠESD sumažinimo efektas, tūkst. tonų CO</w:t>
                    </w:r>
                    <w:r>
                      <w:rPr>
                        <w:b/>
                        <w:bCs/>
                        <w:sz w:val="18"/>
                        <w:szCs w:val="18"/>
                        <w:vertAlign w:val="subscript"/>
                      </w:rPr>
                      <w:t>2</w:t>
                    </w:r>
                    <w:r>
                      <w:rPr>
                        <w:b/>
                        <w:bCs/>
                        <w:sz w:val="18"/>
                        <w:szCs w:val="18"/>
                      </w:rPr>
                      <w:t xml:space="preserve"> ekvivalentu (R)</w:t>
                    </w:r>
                  </w:p>
                </w:tc>
                <w:tc>
                  <w:tcPr>
                    <w:tcW w:w="981" w:type="dxa"/>
                  </w:tcPr>
                  <w:p>
                    <w:pPr>
                      <w:ind w:left="-57" w:right="-57"/>
                      <w:jc w:val="right"/>
                      <w:rPr>
                        <w:b/>
                        <w:bCs/>
                        <w:sz w:val="18"/>
                        <w:szCs w:val="18"/>
                      </w:rPr>
                    </w:pPr>
                    <w:r>
                      <w:rPr>
                        <w:b/>
                        <w:bCs/>
                        <w:sz w:val="18"/>
                        <w:szCs w:val="18"/>
                      </w:rPr>
                      <w:t>7,58</w:t>
                    </w:r>
                  </w:p>
                </w:tc>
                <w:tc>
                  <w:tcPr>
                    <w:tcW w:w="825" w:type="dxa"/>
                  </w:tcPr>
                  <w:p>
                    <w:pPr>
                      <w:ind w:left="-57" w:right="-57"/>
                      <w:jc w:val="center"/>
                      <w:rPr>
                        <w:b/>
                        <w:bCs/>
                        <w:sz w:val="18"/>
                        <w:szCs w:val="18"/>
                      </w:rPr>
                    </w:pPr>
                    <w:r>
                      <w:rPr>
                        <w:b/>
                        <w:bCs/>
                        <w:sz w:val="18"/>
                        <w:szCs w:val="18"/>
                      </w:rPr>
                      <w:t>2022 m. III ketv.</w:t>
                    </w:r>
                  </w:p>
                </w:tc>
                <w:tc>
                  <w:tcPr>
                    <w:tcW w:w="993" w:type="dxa"/>
                  </w:tcPr>
                  <w:p>
                    <w:pPr>
                      <w:ind w:left="-57" w:right="-57"/>
                      <w:jc w:val="center"/>
                      <w:rPr>
                        <w:b/>
                        <w:bCs/>
                        <w:sz w:val="18"/>
                        <w:szCs w:val="18"/>
                      </w:rPr>
                    </w:pPr>
                    <w:r>
                      <w:rPr>
                        <w:b/>
                        <w:sz w:val="18"/>
                        <w:szCs w:val="18"/>
                      </w:rPr>
                      <w:t>APVA</w:t>
                    </w:r>
                  </w:p>
                </w:tc>
                <w:tc>
                  <w:tcPr>
                    <w:tcW w:w="898" w:type="dxa"/>
                  </w:tcPr>
                  <w:p>
                    <w:pPr>
                      <w:ind w:left="-57" w:right="-57"/>
                      <w:jc w:val="center"/>
                      <w:rPr>
                        <w:b/>
                        <w:bCs/>
                        <w:sz w:val="18"/>
                        <w:szCs w:val="18"/>
                      </w:rPr>
                    </w:pPr>
                  </w:p>
                </w:tc>
              </w:tr>
              <w:tr>
                <w:trPr>
                  <w:trHeight w:val="233"/>
                </w:trPr>
                <w:tc>
                  <w:tcPr>
                    <w:tcW w:w="1920" w:type="dxa"/>
                  </w:tcPr>
                  <w:p>
                    <w:pPr>
                      <w:rPr>
                        <w:sz w:val="18"/>
                        <w:szCs w:val="18"/>
                      </w:rPr>
                    </w:pPr>
                    <w:r>
                      <w:rPr>
                        <w:color w:val="000000"/>
                        <w:sz w:val="18"/>
                        <w:szCs w:val="18"/>
                      </w:rPr>
                      <w:t xml:space="preserve">5.1. Privačių juridinių asmenų energijos vartojimo efektyvumo priemonių įgyvendinimas </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Juridiniai asmenys</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Taip</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5 000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2,53</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EM, Lietuvos Respublikos ekonomikos ir inovacijų ministerija (toliau – EIM)</w:t>
                    </w:r>
                  </w:p>
                </w:tc>
              </w:tr>
              <w:tr>
                <w:trPr>
                  <w:trHeight w:val="233"/>
                </w:trPr>
                <w:tc>
                  <w:tcPr>
                    <w:tcW w:w="1920" w:type="dxa"/>
                  </w:tcPr>
                  <w:p>
                    <w:pPr>
                      <w:ind w:left="-57" w:right="-57"/>
                      <w:rPr>
                        <w:sz w:val="18"/>
                        <w:szCs w:val="18"/>
                      </w:rPr>
                    </w:pPr>
                    <w:r>
                      <w:rPr>
                        <w:color w:val="000000"/>
                        <w:sz w:val="18"/>
                        <w:szCs w:val="18"/>
                      </w:rPr>
                      <w:t>5.2. Iškastinio kuro naudojimo mažinimas įmonėse</w:t>
                    </w:r>
                  </w:p>
                </w:tc>
                <w:tc>
                  <w:tcPr>
                    <w:tcW w:w="901" w:type="dxa"/>
                  </w:tcPr>
                  <w:p>
                    <w:pPr>
                      <w:ind w:left="-57" w:right="-57"/>
                      <w:jc w:val="center"/>
                      <w:rPr>
                        <w:sz w:val="18"/>
                        <w:szCs w:val="18"/>
                      </w:rPr>
                    </w:pPr>
                    <w:r>
                      <w:rPr>
                        <w:sz w:val="18"/>
                        <w:szCs w:val="18"/>
                      </w:rPr>
                      <w:t>I</w:t>
                    </w:r>
                  </w:p>
                </w:tc>
                <w:tc>
                  <w:tcPr>
                    <w:tcW w:w="1829" w:type="dxa"/>
                  </w:tcPr>
                  <w:p>
                    <w:pPr>
                      <w:ind w:left="-57" w:right="-57"/>
                      <w:rPr>
                        <w:sz w:val="18"/>
                        <w:szCs w:val="18"/>
                      </w:rPr>
                    </w:pPr>
                    <w:r>
                      <w:rPr>
                        <w:sz w:val="18"/>
                        <w:szCs w:val="18"/>
                      </w:rPr>
                      <w:t>Lietuvoje registruoti juridiniai asmenys, nevykdantys veiklos, kuri įrašyta į Lietuvos Respublikos klimato kaitos valdymo įstatymo I priedo veiklų sąrašą</w:t>
                    </w:r>
                  </w:p>
                </w:tc>
                <w:tc>
                  <w:tcPr>
                    <w:tcW w:w="850" w:type="dxa"/>
                  </w:tcPr>
                  <w:p>
                    <w:pPr>
                      <w:ind w:left="-57" w:right="-57"/>
                      <w:jc w:val="center"/>
                      <w:rPr>
                        <w:sz w:val="18"/>
                        <w:szCs w:val="18"/>
                      </w:rPr>
                    </w:pPr>
                    <w:r>
                      <w:rPr>
                        <w:sz w:val="18"/>
                        <w:szCs w:val="18"/>
                      </w:rPr>
                      <w:t>K</w:t>
                    </w:r>
                  </w:p>
                </w:tc>
                <w:tc>
                  <w:tcPr>
                    <w:tcW w:w="1005" w:type="dxa"/>
                  </w:tcPr>
                  <w:p>
                    <w:pPr>
                      <w:ind w:left="-57" w:right="-57"/>
                      <w:jc w:val="center"/>
                      <w:rPr>
                        <w:sz w:val="18"/>
                        <w:szCs w:val="18"/>
                      </w:rPr>
                    </w:pPr>
                    <w:r>
                      <w:rPr>
                        <w:sz w:val="18"/>
                        <w:szCs w:val="18"/>
                      </w:rPr>
                      <w:t>-</w:t>
                    </w:r>
                  </w:p>
                </w:tc>
                <w:tc>
                  <w:tcPr>
                    <w:tcW w:w="1019" w:type="dxa"/>
                  </w:tcPr>
                  <w:p>
                    <w:pPr>
                      <w:ind w:left="-57" w:right="-57"/>
                      <w:jc w:val="center"/>
                      <w:rPr>
                        <w:sz w:val="18"/>
                        <w:szCs w:val="18"/>
                      </w:rPr>
                    </w:pPr>
                    <w:r>
                      <w:rPr>
                        <w:sz w:val="18"/>
                        <w:szCs w:val="18"/>
                      </w:rPr>
                      <w:t>Taip</w:t>
                    </w:r>
                  </w:p>
                </w:tc>
                <w:tc>
                  <w:tcPr>
                    <w:tcW w:w="850" w:type="dxa"/>
                  </w:tcPr>
                  <w:p>
                    <w:pPr>
                      <w:ind w:left="-57" w:right="-57"/>
                      <w:jc w:val="center"/>
                      <w:rPr>
                        <w:sz w:val="18"/>
                        <w:szCs w:val="18"/>
                      </w:rPr>
                    </w:pPr>
                    <w:r>
                      <w:rPr>
                        <w:sz w:val="18"/>
                        <w:szCs w:val="18"/>
                      </w:rPr>
                      <w:t>Taip</w:t>
                    </w:r>
                  </w:p>
                </w:tc>
                <w:tc>
                  <w:tcPr>
                    <w:tcW w:w="720" w:type="dxa"/>
                  </w:tcPr>
                  <w:p>
                    <w:pPr>
                      <w:ind w:left="-57" w:right="-57"/>
                      <w:jc w:val="center"/>
                      <w:rPr>
                        <w:sz w:val="18"/>
                        <w:szCs w:val="18"/>
                      </w:rPr>
                    </w:pPr>
                    <w:r>
                      <w:rPr>
                        <w:sz w:val="18"/>
                        <w:szCs w:val="18"/>
                      </w:rPr>
                      <w:t>D</w:t>
                    </w:r>
                  </w:p>
                </w:tc>
                <w:tc>
                  <w:tcPr>
                    <w:tcW w:w="825" w:type="dxa"/>
                  </w:tcPr>
                  <w:p>
                    <w:pPr>
                      <w:ind w:left="-57" w:right="-57"/>
                      <w:jc w:val="right"/>
                      <w:rPr>
                        <w:sz w:val="18"/>
                        <w:szCs w:val="18"/>
                      </w:rPr>
                    </w:pPr>
                    <w:r>
                      <w:rPr>
                        <w:sz w:val="18"/>
                        <w:szCs w:val="18"/>
                      </w:rPr>
                      <w:t>10 000</w:t>
                    </w:r>
                  </w:p>
                </w:tc>
                <w:tc>
                  <w:tcPr>
                    <w:tcW w:w="1109" w:type="dxa"/>
                  </w:tcPr>
                  <w:p>
                    <w:pPr>
                      <w:ind w:left="-57" w:right="-57"/>
                      <w:jc w:val="center"/>
                      <w:rPr>
                        <w:sz w:val="18"/>
                        <w:szCs w:val="18"/>
                      </w:rPr>
                    </w:pPr>
                    <w:r>
                      <w:rPr>
                        <w:sz w:val="18"/>
                        <w:szCs w:val="18"/>
                      </w:rPr>
                      <w:t>KKP</w:t>
                    </w:r>
                  </w:p>
                </w:tc>
                <w:tc>
                  <w:tcPr>
                    <w:tcW w:w="1276" w:type="dxa"/>
                  </w:tcPr>
                  <w:p>
                    <w:pPr>
                      <w:ind w:left="-57" w:right="-57"/>
                      <w:rPr>
                        <w:sz w:val="18"/>
                        <w:szCs w:val="18"/>
                      </w:rPr>
                    </w:pPr>
                    <w:r>
                      <w:rPr>
                        <w:sz w:val="18"/>
                        <w:szCs w:val="18"/>
                      </w:rPr>
                      <w:t>Suminis ŠESD sumažinimo efektas, tūkst. tonų CO</w:t>
                    </w:r>
                    <w:r>
                      <w:rPr>
                        <w:sz w:val="18"/>
                        <w:szCs w:val="18"/>
                        <w:vertAlign w:val="subscript"/>
                      </w:rPr>
                      <w:t>2</w:t>
                    </w:r>
                    <w:r>
                      <w:rPr>
                        <w:sz w:val="18"/>
                        <w:szCs w:val="18"/>
                      </w:rPr>
                      <w:t xml:space="preserve"> ekvivalentu (R)</w:t>
                    </w:r>
                  </w:p>
                </w:tc>
                <w:tc>
                  <w:tcPr>
                    <w:tcW w:w="981" w:type="dxa"/>
                  </w:tcPr>
                  <w:p>
                    <w:pPr>
                      <w:ind w:left="-57" w:right="-57"/>
                      <w:jc w:val="right"/>
                      <w:rPr>
                        <w:sz w:val="18"/>
                        <w:szCs w:val="18"/>
                      </w:rPr>
                    </w:pPr>
                    <w:r>
                      <w:rPr>
                        <w:sz w:val="18"/>
                        <w:szCs w:val="18"/>
                      </w:rPr>
                      <w:t>5,05</w:t>
                    </w:r>
                  </w:p>
                </w:tc>
                <w:tc>
                  <w:tcPr>
                    <w:tcW w:w="825" w:type="dxa"/>
                  </w:tcPr>
                  <w:p>
                    <w:pPr>
                      <w:ind w:left="-57" w:right="-57"/>
                      <w:jc w:val="center"/>
                      <w:rPr>
                        <w:sz w:val="18"/>
                        <w:szCs w:val="18"/>
                      </w:rPr>
                    </w:pPr>
                    <w:r>
                      <w:rPr>
                        <w:sz w:val="18"/>
                        <w:szCs w:val="18"/>
                      </w:rPr>
                      <w:t>2022 m. III ketv.</w:t>
                    </w:r>
                  </w:p>
                </w:tc>
                <w:tc>
                  <w:tcPr>
                    <w:tcW w:w="993" w:type="dxa"/>
                  </w:tcPr>
                  <w:p>
                    <w:pPr>
                      <w:ind w:left="-57" w:right="-57"/>
                      <w:jc w:val="center"/>
                      <w:rPr>
                        <w:sz w:val="18"/>
                        <w:szCs w:val="18"/>
                      </w:rPr>
                    </w:pPr>
                    <w:r>
                      <w:rPr>
                        <w:sz w:val="18"/>
                        <w:szCs w:val="18"/>
                      </w:rPr>
                      <w:t>APVA</w:t>
                    </w:r>
                  </w:p>
                </w:tc>
                <w:tc>
                  <w:tcPr>
                    <w:tcW w:w="898" w:type="dxa"/>
                  </w:tcPr>
                  <w:p>
                    <w:pPr>
                      <w:ind w:left="-57" w:right="-57"/>
                      <w:jc w:val="center"/>
                      <w:rPr>
                        <w:sz w:val="18"/>
                        <w:szCs w:val="18"/>
                      </w:rPr>
                    </w:pPr>
                    <w:r>
                      <w:rPr>
                        <w:sz w:val="18"/>
                        <w:szCs w:val="18"/>
                      </w:rPr>
                      <w:t>AM, EIM</w:t>
                    </w:r>
                  </w:p>
                </w:tc>
              </w:tr>
              <w:tr>
                <w:trPr>
                  <w:trHeight w:val="233"/>
                </w:trPr>
                <w:tc>
                  <w:tcPr>
                    <w:tcW w:w="1920" w:type="dxa"/>
                  </w:tcPr>
                  <w:p>
                    <w:pPr>
                      <w:ind w:left="-57" w:right="-57"/>
                      <w:rPr>
                        <w:b/>
                        <w:bCs/>
                        <w:sz w:val="18"/>
                        <w:szCs w:val="18"/>
                      </w:rPr>
                    </w:pPr>
                    <w:r>
                      <w:rPr>
                        <w:b/>
                        <w:bCs/>
                        <w:sz w:val="18"/>
                        <w:szCs w:val="18"/>
                      </w:rPr>
                      <w:t>6. Aštuonioliktosios Lietuvos Respublikos Vyriausybės programos, kuriai pritarta 2020 m. gruodžio 11 d. Lietuvos Respublikos Seimo nutarimu Nr. XIV-72, 155.4 papunktyje nurodyta priemonė „Neutralaus poveikio klimatui Vyriausybė nuo 2024 m.“</w:t>
                    </w:r>
                  </w:p>
                </w:tc>
                <w:tc>
                  <w:tcPr>
                    <w:tcW w:w="901" w:type="dxa"/>
                  </w:tcPr>
                  <w:p>
                    <w:pPr>
                      <w:ind w:left="-57" w:right="-57"/>
                      <w:jc w:val="center"/>
                      <w:rPr>
                        <w:b/>
                        <w:bCs/>
                        <w:sz w:val="18"/>
                        <w:szCs w:val="18"/>
                      </w:rPr>
                    </w:pPr>
                    <w:r>
                      <w:rPr>
                        <w:b/>
                        <w:bCs/>
                        <w:sz w:val="18"/>
                        <w:szCs w:val="18"/>
                      </w:rPr>
                      <w:t>I</w:t>
                    </w:r>
                  </w:p>
                </w:tc>
                <w:tc>
                  <w:tcPr>
                    <w:tcW w:w="1829" w:type="dxa"/>
                  </w:tcPr>
                  <w:p>
                    <w:pPr>
                      <w:ind w:left="-57" w:right="-57"/>
                      <w:rPr>
                        <w:b/>
                        <w:bCs/>
                        <w:sz w:val="18"/>
                        <w:szCs w:val="18"/>
                      </w:rPr>
                    </w:pPr>
                    <w:r>
                      <w:rPr>
                        <w:b/>
                        <w:bCs/>
                        <w:sz w:val="18"/>
                        <w:szCs w:val="18"/>
                      </w:rPr>
                      <w:t>Valstybei priklausančių pastatų savininkai ir (ar) valdytojai</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bCs/>
                        <w:sz w:val="18"/>
                        <w:szCs w:val="18"/>
                      </w:rPr>
                    </w:pPr>
                    <w:r>
                      <w:rPr>
                        <w:b/>
                        <w:sz w:val="18"/>
                        <w:szCs w:val="18"/>
                      </w:rPr>
                      <w:t>Taip</w:t>
                    </w:r>
                  </w:p>
                </w:tc>
                <w:tc>
                  <w:tcPr>
                    <w:tcW w:w="850" w:type="dxa"/>
                  </w:tcPr>
                  <w:p>
                    <w:pPr>
                      <w:ind w:left="-57" w:right="-57"/>
                      <w:jc w:val="center"/>
                      <w:rPr>
                        <w:b/>
                        <w:bCs/>
                        <w:sz w:val="18"/>
                        <w:szCs w:val="18"/>
                      </w:rPr>
                    </w:pPr>
                    <w:r>
                      <w:rPr>
                        <w:b/>
                        <w:bCs/>
                        <w:sz w:val="18"/>
                        <w:szCs w:val="18"/>
                      </w:rPr>
                      <w:t>Ne</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5 000</w:t>
                    </w:r>
                  </w:p>
                </w:tc>
                <w:tc>
                  <w:tcPr>
                    <w:tcW w:w="1109" w:type="dxa"/>
                  </w:tcPr>
                  <w:p>
                    <w:pPr>
                      <w:ind w:left="-57" w:right="-57"/>
                      <w:jc w:val="center"/>
                      <w:rPr>
                        <w:b/>
                        <w:bCs/>
                        <w:sz w:val="18"/>
                        <w:szCs w:val="18"/>
                      </w:rPr>
                    </w:pPr>
                    <w:r>
                      <w:rPr>
                        <w:b/>
                        <w:bCs/>
                        <w:sz w:val="18"/>
                        <w:szCs w:val="18"/>
                      </w:rPr>
                      <w:t>KKP</w:t>
                    </w:r>
                  </w:p>
                </w:tc>
                <w:tc>
                  <w:tcPr>
                    <w:tcW w:w="1276" w:type="dxa"/>
                  </w:tcPr>
                  <w:p>
                    <w:pPr>
                      <w:ind w:left="-57" w:right="-57"/>
                      <w:rPr>
                        <w:b/>
                        <w:bCs/>
                        <w:sz w:val="18"/>
                        <w:szCs w:val="18"/>
                      </w:rPr>
                    </w:pPr>
                    <w:r>
                      <w:rPr>
                        <w:b/>
                        <w:bCs/>
                        <w:sz w:val="18"/>
                        <w:szCs w:val="18"/>
                      </w:rPr>
                      <w:t>Suminis ŠESD sumažinimo efektas, tūkst. tonų CO</w:t>
                    </w:r>
                    <w:r>
                      <w:rPr>
                        <w:b/>
                        <w:bCs/>
                        <w:sz w:val="18"/>
                        <w:szCs w:val="18"/>
                        <w:vertAlign w:val="subscript"/>
                      </w:rPr>
                      <w:t>2</w:t>
                    </w:r>
                    <w:r>
                      <w:rPr>
                        <w:b/>
                        <w:bCs/>
                        <w:sz w:val="18"/>
                        <w:szCs w:val="18"/>
                      </w:rPr>
                      <w:t xml:space="preserve"> ekvivalentu (R)</w:t>
                    </w:r>
                  </w:p>
                </w:tc>
                <w:tc>
                  <w:tcPr>
                    <w:tcW w:w="981" w:type="dxa"/>
                  </w:tcPr>
                  <w:p>
                    <w:pPr>
                      <w:ind w:left="-57" w:right="-57"/>
                      <w:jc w:val="right"/>
                      <w:rPr>
                        <w:b/>
                        <w:bCs/>
                        <w:sz w:val="18"/>
                        <w:szCs w:val="18"/>
                      </w:rPr>
                    </w:pPr>
                    <w:r>
                      <w:rPr>
                        <w:b/>
                        <w:bCs/>
                        <w:sz w:val="18"/>
                        <w:szCs w:val="18"/>
                      </w:rPr>
                      <w:t>2,06</w:t>
                    </w:r>
                  </w:p>
                </w:tc>
                <w:tc>
                  <w:tcPr>
                    <w:tcW w:w="825" w:type="dxa"/>
                  </w:tcPr>
                  <w:p>
                    <w:pPr>
                      <w:ind w:left="-57" w:right="-57"/>
                      <w:jc w:val="center"/>
                      <w:rPr>
                        <w:b/>
                        <w:bCs/>
                        <w:sz w:val="18"/>
                        <w:szCs w:val="18"/>
                      </w:rPr>
                    </w:pPr>
                    <w:r>
                      <w:rPr>
                        <w:b/>
                        <w:bCs/>
                        <w:sz w:val="18"/>
                        <w:szCs w:val="18"/>
                      </w:rPr>
                      <w:t>2022 m. III ketv.</w:t>
                    </w:r>
                  </w:p>
                </w:tc>
                <w:tc>
                  <w:tcPr>
                    <w:tcW w:w="993" w:type="dxa"/>
                  </w:tcPr>
                  <w:p>
                    <w:pPr>
                      <w:ind w:left="-57" w:right="-57"/>
                      <w:jc w:val="center"/>
                      <w:rPr>
                        <w:b/>
                        <w:bCs/>
                        <w:sz w:val="18"/>
                        <w:szCs w:val="18"/>
                      </w:rPr>
                    </w:pPr>
                    <w:r>
                      <w:rPr>
                        <w:b/>
                        <w:bCs/>
                        <w:sz w:val="18"/>
                        <w:szCs w:val="18"/>
                      </w:rPr>
                      <w:t>APVA</w:t>
                    </w:r>
                  </w:p>
                </w:tc>
                <w:tc>
                  <w:tcPr>
                    <w:tcW w:w="898" w:type="dxa"/>
                  </w:tcPr>
                  <w:p>
                    <w:pPr>
                      <w:ind w:left="-57" w:right="-57"/>
                      <w:jc w:val="center"/>
                      <w:rPr>
                        <w:b/>
                        <w:bCs/>
                        <w:sz w:val="18"/>
                        <w:szCs w:val="18"/>
                      </w:rPr>
                    </w:pPr>
                    <w:r>
                      <w:rPr>
                        <w:b/>
                        <w:bCs/>
                        <w:sz w:val="18"/>
                        <w:szCs w:val="18"/>
                      </w:rPr>
                      <w:t>AM, Turto bankas</w:t>
                    </w:r>
                  </w:p>
                </w:tc>
              </w:tr>
              <w:tr>
                <w:trPr>
                  <w:trHeight w:val="233"/>
                </w:trPr>
                <w:tc>
                  <w:tcPr>
                    <w:tcW w:w="1920" w:type="dxa"/>
                  </w:tcPr>
                  <w:p>
                    <w:pPr>
                      <w:ind w:left="-57" w:right="-57"/>
                      <w:rPr>
                        <w:b/>
                        <w:bCs/>
                        <w:sz w:val="18"/>
                        <w:szCs w:val="18"/>
                      </w:rPr>
                    </w:pPr>
                    <w:r>
                      <w:rPr>
                        <w:b/>
                        <w:bCs/>
                        <w:sz w:val="18"/>
                        <w:szCs w:val="18"/>
                      </w:rPr>
                      <w:t xml:space="preserve">7. Finansinė paskata nevyriausybinių organizacijų veikloms ir (ar) veiksmams formuojant  klimato politiką ir informuojant visuomenę apie klimato kaitą</w:t>
                    </w:r>
                  </w:p>
                </w:tc>
                <w:tc>
                  <w:tcPr>
                    <w:tcW w:w="901" w:type="dxa"/>
                  </w:tcPr>
                  <w:p>
                    <w:pPr>
                      <w:ind w:left="-57" w:right="-57"/>
                      <w:jc w:val="center"/>
                      <w:rPr>
                        <w:b/>
                        <w:bCs/>
                        <w:sz w:val="18"/>
                        <w:szCs w:val="18"/>
                      </w:rPr>
                    </w:pPr>
                    <w:r>
                      <w:rPr>
                        <w:b/>
                        <w:bCs/>
                        <w:sz w:val="18"/>
                        <w:szCs w:val="18"/>
                      </w:rPr>
                      <w:t>K</w:t>
                    </w:r>
                  </w:p>
                </w:tc>
                <w:tc>
                  <w:tcPr>
                    <w:tcW w:w="1829" w:type="dxa"/>
                  </w:tcPr>
                  <w:p>
                    <w:pPr>
                      <w:ind w:left="-57" w:right="-57"/>
                      <w:rPr>
                        <w:b/>
                        <w:bCs/>
                        <w:sz w:val="18"/>
                        <w:szCs w:val="18"/>
                      </w:rPr>
                    </w:pPr>
                    <w:r>
                      <w:rPr>
                        <w:b/>
                        <w:bCs/>
                        <w:sz w:val="18"/>
                        <w:szCs w:val="18"/>
                      </w:rPr>
                      <w:t>Lietuvoje registruotos nevyriausybinės organizacijos</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sz w:val="18"/>
                        <w:szCs w:val="18"/>
                      </w:rPr>
                    </w:pPr>
                    <w:r>
                      <w:rPr>
                        <w:b/>
                        <w:sz w:val="18"/>
                        <w:szCs w:val="18"/>
                      </w:rPr>
                      <w:t>Taip</w:t>
                    </w:r>
                  </w:p>
                </w:tc>
                <w:tc>
                  <w:tcPr>
                    <w:tcW w:w="850" w:type="dxa"/>
                  </w:tcPr>
                  <w:p>
                    <w:pPr>
                      <w:ind w:left="-57" w:right="-57"/>
                      <w:jc w:val="center"/>
                      <w:rPr>
                        <w:b/>
                        <w:bCs/>
                        <w:sz w:val="18"/>
                        <w:szCs w:val="18"/>
                      </w:rPr>
                    </w:pPr>
                    <w:r>
                      <w:rPr>
                        <w:b/>
                        <w:bCs/>
                        <w:sz w:val="18"/>
                        <w:szCs w:val="18"/>
                      </w:rPr>
                      <w:t>Ne</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500</w:t>
                    </w:r>
                  </w:p>
                </w:tc>
                <w:tc>
                  <w:tcPr>
                    <w:tcW w:w="1109" w:type="dxa"/>
                  </w:tcPr>
                  <w:p>
                    <w:pPr>
                      <w:ind w:left="-57" w:right="-57"/>
                      <w:jc w:val="center"/>
                      <w:rPr>
                        <w:b/>
                        <w:bCs/>
                        <w:sz w:val="18"/>
                        <w:szCs w:val="18"/>
                      </w:rPr>
                    </w:pPr>
                    <w:r>
                      <w:rPr>
                        <w:b/>
                        <w:bCs/>
                        <w:sz w:val="18"/>
                        <w:szCs w:val="18"/>
                      </w:rPr>
                      <w:t>KKP</w:t>
                    </w:r>
                  </w:p>
                </w:tc>
                <w:tc>
                  <w:tcPr>
                    <w:tcW w:w="1276" w:type="dxa"/>
                  </w:tcPr>
                  <w:p>
                    <w:pPr>
                      <w:ind w:left="-57" w:right="-57"/>
                      <w:rPr>
                        <w:b/>
                        <w:bCs/>
                        <w:sz w:val="18"/>
                        <w:szCs w:val="18"/>
                      </w:rPr>
                    </w:pPr>
                    <w:r>
                      <w:rPr>
                        <w:b/>
                        <w:bCs/>
                        <w:sz w:val="18"/>
                        <w:szCs w:val="18"/>
                      </w:rPr>
                      <w:t>Nevertinama</w:t>
                    </w:r>
                  </w:p>
                  <w:p>
                    <w:pPr>
                      <w:ind w:left="-57" w:right="-57"/>
                      <w:rPr>
                        <w:b/>
                        <w:bCs/>
                        <w:sz w:val="18"/>
                        <w:szCs w:val="18"/>
                      </w:rPr>
                    </w:pPr>
                  </w:p>
                </w:tc>
                <w:tc>
                  <w:tcPr>
                    <w:tcW w:w="981" w:type="dxa"/>
                  </w:tcPr>
                  <w:p>
                    <w:pPr>
                      <w:ind w:left="-57" w:right="-57"/>
                      <w:jc w:val="right"/>
                      <w:rPr>
                        <w:b/>
                        <w:bCs/>
                        <w:sz w:val="18"/>
                        <w:szCs w:val="18"/>
                      </w:rPr>
                    </w:pPr>
                    <w:r>
                      <w:rPr>
                        <w:b/>
                        <w:bCs/>
                        <w:sz w:val="18"/>
                        <w:szCs w:val="18"/>
                      </w:rPr>
                      <w:t>0</w:t>
                    </w:r>
                  </w:p>
                </w:tc>
                <w:tc>
                  <w:tcPr>
                    <w:tcW w:w="825" w:type="dxa"/>
                  </w:tcPr>
                  <w:p>
                    <w:pPr>
                      <w:ind w:left="-57" w:right="-57"/>
                      <w:jc w:val="center"/>
                      <w:rPr>
                        <w:b/>
                        <w:bCs/>
                        <w:sz w:val="18"/>
                        <w:szCs w:val="18"/>
                      </w:rPr>
                    </w:pPr>
                    <w:r>
                      <w:rPr>
                        <w:b/>
                        <w:bCs/>
                        <w:sz w:val="18"/>
                        <w:szCs w:val="18"/>
                      </w:rPr>
                      <w:t>2022 m. III ketv.</w:t>
                    </w:r>
                  </w:p>
                </w:tc>
                <w:tc>
                  <w:tcPr>
                    <w:tcW w:w="993" w:type="dxa"/>
                  </w:tcPr>
                  <w:p>
                    <w:pPr>
                      <w:ind w:left="-57" w:right="-57"/>
                      <w:jc w:val="center"/>
                      <w:rPr>
                        <w:b/>
                        <w:bCs/>
                        <w:sz w:val="18"/>
                        <w:szCs w:val="18"/>
                      </w:rPr>
                    </w:pPr>
                    <w:r>
                      <w:rPr>
                        <w:b/>
                        <w:bCs/>
                        <w:sz w:val="18"/>
                        <w:szCs w:val="18"/>
                      </w:rPr>
                      <w:t>APVA</w:t>
                    </w:r>
                  </w:p>
                </w:tc>
                <w:tc>
                  <w:tcPr>
                    <w:tcW w:w="898" w:type="dxa"/>
                  </w:tcPr>
                  <w:p>
                    <w:pPr>
                      <w:ind w:left="-57" w:right="-57"/>
                      <w:jc w:val="center"/>
                      <w:rPr>
                        <w:b/>
                        <w:bCs/>
                        <w:sz w:val="18"/>
                        <w:szCs w:val="18"/>
                      </w:rPr>
                    </w:pPr>
                    <w:r>
                      <w:rPr>
                        <w:b/>
                        <w:bCs/>
                        <w:sz w:val="18"/>
                        <w:szCs w:val="18"/>
                      </w:rPr>
                      <w:t>AM, SADM</w:t>
                    </w:r>
                  </w:p>
                </w:tc>
              </w:tr>
              <w:tr>
                <w:trPr>
                  <w:trHeight w:val="233"/>
                </w:trPr>
                <w:tc>
                  <w:tcPr>
                    <w:tcW w:w="1920" w:type="dxa"/>
                  </w:tcPr>
                  <w:p>
                    <w:pPr>
                      <w:ind w:left="-57" w:right="-57"/>
                      <w:rPr>
                        <w:b/>
                        <w:sz w:val="18"/>
                        <w:szCs w:val="18"/>
                      </w:rPr>
                    </w:pPr>
                    <w:r>
                      <w:rPr>
                        <w:b/>
                        <w:sz w:val="18"/>
                        <w:szCs w:val="18"/>
                      </w:rPr>
                      <w:t>8.</w:t>
                    </w:r>
                    <w:r>
                      <w:rPr>
                        <w:color w:val="252423"/>
                        <w:sz w:val="18"/>
                        <w:szCs w:val="18"/>
                        <w:shd w:val="clear" w:color="auto" w:fill="FFFFFF"/>
                      </w:rPr>
                      <w:t xml:space="preserve"> </w:t>
                    </w:r>
                    <w:r>
                      <w:rPr>
                        <w:b/>
                        <w:sz w:val="18"/>
                        <w:szCs w:val="18"/>
                      </w:rPr>
                      <w:t>Juridinių asmenų investicijoms į gamtinių dujų naudojimo mažinimą ir (ar) atsinaujinančių energijos išteklių panaudojimą</w:t>
                    </w:r>
                  </w:p>
                </w:tc>
                <w:tc>
                  <w:tcPr>
                    <w:tcW w:w="901" w:type="dxa"/>
                  </w:tcPr>
                  <w:p>
                    <w:pPr>
                      <w:ind w:left="-57" w:right="-57"/>
                      <w:jc w:val="center"/>
                      <w:rPr>
                        <w:b/>
                        <w:bCs/>
                        <w:sz w:val="18"/>
                        <w:szCs w:val="18"/>
                      </w:rPr>
                    </w:pPr>
                    <w:r>
                      <w:rPr>
                        <w:b/>
                        <w:bCs/>
                        <w:sz w:val="18"/>
                        <w:szCs w:val="18"/>
                      </w:rPr>
                      <w:t>I</w:t>
                    </w:r>
                  </w:p>
                </w:tc>
                <w:tc>
                  <w:tcPr>
                    <w:tcW w:w="1829" w:type="dxa"/>
                  </w:tcPr>
                  <w:p>
                    <w:pPr>
                      <w:ind w:left="-57" w:right="-57"/>
                      <w:rPr>
                        <w:b/>
                        <w:bCs/>
                        <w:sz w:val="18"/>
                        <w:szCs w:val="18"/>
                      </w:rPr>
                    </w:pPr>
                    <w:r>
                      <w:rPr>
                        <w:b/>
                        <w:bCs/>
                        <w:sz w:val="18"/>
                        <w:szCs w:val="18"/>
                      </w:rPr>
                      <w:t>Privatūs juridiniai asmenys, nukentėję dėl Rusijos karo prieš Ukrainą</w:t>
                    </w:r>
                  </w:p>
                </w:tc>
                <w:tc>
                  <w:tcPr>
                    <w:tcW w:w="850" w:type="dxa"/>
                  </w:tcPr>
                  <w:p>
                    <w:pPr>
                      <w:ind w:left="-57" w:right="-57"/>
                      <w:jc w:val="center"/>
                      <w:rPr>
                        <w:b/>
                        <w:bCs/>
                        <w:sz w:val="18"/>
                        <w:szCs w:val="18"/>
                      </w:rPr>
                    </w:pPr>
                    <w:r>
                      <w:rPr>
                        <w:b/>
                        <w:bCs/>
                        <w:sz w:val="18"/>
                        <w:szCs w:val="18"/>
                      </w:rPr>
                      <w:t>K</w:t>
                    </w:r>
                  </w:p>
                </w:tc>
                <w:tc>
                  <w:tcPr>
                    <w:tcW w:w="1005" w:type="dxa"/>
                  </w:tcPr>
                  <w:p>
                    <w:pPr>
                      <w:ind w:left="-57" w:right="-57"/>
                      <w:jc w:val="center"/>
                      <w:rPr>
                        <w:b/>
                        <w:bCs/>
                        <w:sz w:val="18"/>
                        <w:szCs w:val="18"/>
                      </w:rPr>
                    </w:pPr>
                    <w:r>
                      <w:rPr>
                        <w:b/>
                        <w:bCs/>
                        <w:sz w:val="18"/>
                        <w:szCs w:val="18"/>
                      </w:rPr>
                      <w:t>-</w:t>
                    </w:r>
                  </w:p>
                </w:tc>
                <w:tc>
                  <w:tcPr>
                    <w:tcW w:w="1019" w:type="dxa"/>
                  </w:tcPr>
                  <w:p>
                    <w:pPr>
                      <w:ind w:left="-57" w:right="-57"/>
                      <w:jc w:val="center"/>
                      <w:rPr>
                        <w:b/>
                        <w:sz w:val="18"/>
                        <w:szCs w:val="18"/>
                      </w:rPr>
                    </w:pPr>
                    <w:r>
                      <w:rPr>
                        <w:b/>
                        <w:sz w:val="18"/>
                        <w:szCs w:val="18"/>
                      </w:rPr>
                      <w:t>Taip</w:t>
                    </w:r>
                  </w:p>
                </w:tc>
                <w:tc>
                  <w:tcPr>
                    <w:tcW w:w="850" w:type="dxa"/>
                  </w:tcPr>
                  <w:p>
                    <w:pPr>
                      <w:ind w:left="-57" w:right="-57"/>
                      <w:jc w:val="center"/>
                      <w:rPr>
                        <w:b/>
                        <w:bCs/>
                        <w:sz w:val="18"/>
                        <w:szCs w:val="18"/>
                      </w:rPr>
                    </w:pPr>
                    <w:r>
                      <w:rPr>
                        <w:b/>
                        <w:bCs/>
                        <w:sz w:val="18"/>
                        <w:szCs w:val="18"/>
                      </w:rPr>
                      <w:t>Taip</w:t>
                    </w:r>
                  </w:p>
                </w:tc>
                <w:tc>
                  <w:tcPr>
                    <w:tcW w:w="720" w:type="dxa"/>
                  </w:tcPr>
                  <w:p>
                    <w:pPr>
                      <w:ind w:left="-57" w:right="-57"/>
                      <w:jc w:val="center"/>
                      <w:rPr>
                        <w:b/>
                        <w:bCs/>
                        <w:sz w:val="18"/>
                        <w:szCs w:val="18"/>
                      </w:rPr>
                    </w:pPr>
                    <w:r>
                      <w:rPr>
                        <w:b/>
                        <w:bCs/>
                        <w:sz w:val="18"/>
                        <w:szCs w:val="18"/>
                      </w:rPr>
                      <w:t>D</w:t>
                    </w:r>
                  </w:p>
                </w:tc>
                <w:tc>
                  <w:tcPr>
                    <w:tcW w:w="825" w:type="dxa"/>
                  </w:tcPr>
                  <w:p>
                    <w:pPr>
                      <w:ind w:left="-57" w:right="-57"/>
                      <w:jc w:val="right"/>
                      <w:rPr>
                        <w:b/>
                        <w:bCs/>
                        <w:sz w:val="18"/>
                        <w:szCs w:val="18"/>
                      </w:rPr>
                    </w:pPr>
                    <w:r>
                      <w:rPr>
                        <w:b/>
                        <w:bCs/>
                        <w:sz w:val="18"/>
                        <w:szCs w:val="18"/>
                      </w:rPr>
                      <w:t>80 000</w:t>
                    </w:r>
                  </w:p>
                </w:tc>
                <w:tc>
                  <w:tcPr>
                    <w:tcW w:w="1109" w:type="dxa"/>
                  </w:tcPr>
                  <w:p>
                    <w:pPr>
                      <w:ind w:left="-57" w:right="-57"/>
                      <w:jc w:val="center"/>
                      <w:rPr>
                        <w:b/>
                        <w:bCs/>
                        <w:sz w:val="18"/>
                        <w:szCs w:val="18"/>
                      </w:rPr>
                    </w:pPr>
                    <w:r>
                      <w:rPr>
                        <w:b/>
                        <w:bCs/>
                        <w:sz w:val="18"/>
                        <w:szCs w:val="18"/>
                      </w:rPr>
                      <w:t>VB</w:t>
                    </w:r>
                  </w:p>
                </w:tc>
                <w:tc>
                  <w:tcPr>
                    <w:tcW w:w="1276" w:type="dxa"/>
                  </w:tcPr>
                  <w:p>
                    <w:pPr>
                      <w:ind w:left="-57" w:right="-57"/>
                      <w:rPr>
                        <w:b/>
                        <w:bCs/>
                        <w:sz w:val="18"/>
                        <w:szCs w:val="18"/>
                      </w:rPr>
                    </w:pPr>
                    <w:r>
                      <w:rPr>
                        <w:b/>
                        <w:bCs/>
                        <w:sz w:val="18"/>
                        <w:szCs w:val="18"/>
                      </w:rPr>
                      <w:t>ŠESD sumažinimo efektas, tūkst. tonų CO</w:t>
                    </w:r>
                    <w:r>
                      <w:rPr>
                        <w:b/>
                        <w:bCs/>
                        <w:sz w:val="18"/>
                        <w:szCs w:val="18"/>
                        <w:vertAlign w:val="subscript"/>
                      </w:rPr>
                      <w:t>2</w:t>
                    </w:r>
                    <w:r>
                      <w:rPr>
                        <w:b/>
                        <w:bCs/>
                        <w:sz w:val="18"/>
                        <w:szCs w:val="18"/>
                      </w:rPr>
                      <w:t xml:space="preserve"> ekvivalentu (R)</w:t>
                    </w:r>
                  </w:p>
                </w:tc>
                <w:tc>
                  <w:tcPr>
                    <w:tcW w:w="981" w:type="dxa"/>
                  </w:tcPr>
                  <w:p>
                    <w:pPr>
                      <w:ind w:left="-57" w:right="-57"/>
                      <w:jc w:val="right"/>
                      <w:rPr>
                        <w:b/>
                        <w:bCs/>
                        <w:sz w:val="18"/>
                        <w:szCs w:val="18"/>
                      </w:rPr>
                    </w:pPr>
                    <w:r>
                      <w:rPr>
                        <w:b/>
                        <w:bCs/>
                        <w:sz w:val="18"/>
                        <w:szCs w:val="18"/>
                      </w:rPr>
                      <w:t>177,78</w:t>
                    </w:r>
                  </w:p>
                </w:tc>
                <w:tc>
                  <w:tcPr>
                    <w:tcW w:w="825" w:type="dxa"/>
                  </w:tcPr>
                  <w:p>
                    <w:pPr>
                      <w:ind w:left="-57" w:right="-57"/>
                      <w:jc w:val="center"/>
                      <w:rPr>
                        <w:b/>
                        <w:bCs/>
                        <w:sz w:val="18"/>
                        <w:szCs w:val="18"/>
                      </w:rPr>
                    </w:pPr>
                    <w:r>
                      <w:rPr>
                        <w:b/>
                        <w:bCs/>
                        <w:sz w:val="18"/>
                        <w:szCs w:val="18"/>
                      </w:rPr>
                      <w:t>2022 m. II ketv.</w:t>
                    </w:r>
                  </w:p>
                </w:tc>
                <w:tc>
                  <w:tcPr>
                    <w:tcW w:w="993" w:type="dxa"/>
                  </w:tcPr>
                  <w:p>
                    <w:pPr>
                      <w:ind w:left="-57" w:right="-57"/>
                      <w:jc w:val="center"/>
                      <w:rPr>
                        <w:b/>
                        <w:bCs/>
                        <w:sz w:val="18"/>
                        <w:szCs w:val="18"/>
                      </w:rPr>
                    </w:pPr>
                    <w:r>
                      <w:rPr>
                        <w:b/>
                        <w:bCs/>
                        <w:sz w:val="18"/>
                        <w:szCs w:val="18"/>
                      </w:rPr>
                      <w:t>APVA</w:t>
                    </w:r>
                  </w:p>
                </w:tc>
                <w:tc>
                  <w:tcPr>
                    <w:tcW w:w="898" w:type="dxa"/>
                  </w:tcPr>
                  <w:p>
                    <w:pPr>
                      <w:ind w:left="-57" w:right="-57"/>
                      <w:jc w:val="center"/>
                      <w:rPr>
                        <w:b/>
                        <w:bCs/>
                        <w:sz w:val="18"/>
                        <w:szCs w:val="18"/>
                      </w:rPr>
                    </w:pPr>
                    <w:r>
                      <w:rPr>
                        <w:b/>
                        <w:bCs/>
                        <w:sz w:val="18"/>
                        <w:szCs w:val="18"/>
                      </w:rPr>
                      <w:t>AM, EIM</w:t>
                    </w:r>
                  </w:p>
                </w:tc>
              </w:tr>
            </w:tbl>
            <w:sdt>
              <w:sdtPr>
                <w:alias w:val="poskyris"/>
                <w:tag w:val="part_bed176f174074e99a7e56f211098e3e2"/>
                <w:lock w:val="sdtLocked"/>
                <w:richText/>
              </w:sdtPr>
              <w:sdtContent>
                <w:p>
                  <w:pPr>
                    <w:ind w:firstLine="567"/>
                    <w:rPr>
                      <w:b/>
                      <w:sz w:val="18"/>
                      <w:szCs w:val="18"/>
                    </w:rPr>
                  </w:pPr>
                  <w:sdt>
                    <w:sdtPr>
                      <w:alias w:val="Pavadinimas"/>
                      <w:tag w:val="title_bed176f174074e99a7e56f211098e3e2"/>
                      <w:lock w:val="sdtLocked"/>
                      <w:richText/>
                    </w:sdtPr>
                    <w:sdtContent>
                      <w:r>
                        <w:rPr>
                          <w:b/>
                          <w:sz w:val="18"/>
                          <w:szCs w:val="18"/>
                        </w:rPr>
                        <w:t>Paaiškinimai:</w:t>
                      </w:r>
                    </w:sdtContent>
                  </w:sdt>
                </w:p>
                <w:sdt>
                  <w:sdtPr>
                    <w:alias w:val="1 p."/>
                    <w:tag w:val="part_b5da9cdc5c164c86ac6aa69ee8b8a71a"/>
                    <w:lock w:val="sdtLocked"/>
                    <w:richText/>
                  </w:sdtPr>
                  <w:sdtContent>
                    <w:p>
                      <w:pPr>
                        <w:ind w:firstLine="1134"/>
                        <w:jc w:val="both"/>
                        <w:rPr>
                          <w:sz w:val="18"/>
                          <w:szCs w:val="18"/>
                        </w:rPr>
                      </w:pPr>
                      <w:sdt>
                        <w:sdtPr>
                          <w:alias w:val="Numeris"/>
                          <w:tag w:val="nr_b5da9cdc5c164c86ac6aa69ee8b8a71a"/>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b1213bf5a5d941a7bb5121fbefa2901f"/>
                    <w:lock w:val="sdtLocked"/>
                    <w:richText/>
                  </w:sdtPr>
                  <w:sdtContent>
                    <w:p>
                      <w:pPr>
                        <w:ind w:firstLine="1134"/>
                        <w:jc w:val="both"/>
                        <w:rPr>
                          <w:sz w:val="18"/>
                          <w:szCs w:val="18"/>
                        </w:rPr>
                      </w:pPr>
                      <w:sdt>
                        <w:sdtPr>
                          <w:alias w:val="Numeris"/>
                          <w:tag w:val="nr_b1213bf5a5d941a7bb5121fbefa2901f"/>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w:t>
                      </w:r>
                    </w:p>
                  </w:sdtContent>
                </w:sdt>
                <w:sdt>
                  <w:sdtPr>
                    <w:alias w:val="3 p."/>
                    <w:tag w:val="part_2b498d1574b8419d8d899b62b3b24560"/>
                    <w:lock w:val="sdtLocked"/>
                    <w:richText/>
                  </w:sdtPr>
                  <w:sdtContent>
                    <w:p>
                      <w:pPr>
                        <w:ind w:firstLine="1134"/>
                        <w:jc w:val="both"/>
                        <w:rPr>
                          <w:sz w:val="18"/>
                          <w:szCs w:val="18"/>
                        </w:rPr>
                      </w:pPr>
                      <w:sdt>
                        <w:sdtPr>
                          <w:alias w:val="Numeris"/>
                          <w:tag w:val="nr_2b498d1574b8419d8d899b62b3b24560"/>
                          <w:lock w:val="sdtLocked"/>
                          <w:richText/>
                        </w:sdtPr>
                        <w:sdtContent>
                          <w:r>
                            <w:rPr>
                              <w:sz w:val="18"/>
                              <w:szCs w:val="18"/>
                            </w:rPr>
                            <w:t>3</w:t>
                          </w:r>
                        </w:sdtContent>
                      </w:sdt>
                      <w:r>
                        <w:rPr>
                          <w:sz w:val="18"/>
                          <w:szCs w:val="18"/>
                        </w:rPr>
                        <w:t>. 3, 4, 8–10, 14 skiltys nepildomos, kai vykdoma (-as) reguliacinė (-is) veikla (projektas) arba kai vykdoma (-as) analitinė (-is) veikla (projektas), kuriai (-iam) vykdyti naudojamos tęstinės veiklos lėšos.</w:t>
                      </w:r>
                    </w:p>
                  </w:sdtContent>
                </w:sdt>
                <w:sdt>
                  <w:sdtPr>
                    <w:alias w:val="4 p."/>
                    <w:tag w:val="part_19360aa21f3c4f5fa8103593b8e6232f"/>
                    <w:lock w:val="sdtLocked"/>
                    <w:richText/>
                  </w:sdtPr>
                  <w:sdtContent>
                    <w:p>
                      <w:pPr>
                        <w:ind w:firstLine="1134"/>
                        <w:jc w:val="both"/>
                        <w:rPr>
                          <w:sz w:val="18"/>
                          <w:szCs w:val="18"/>
                        </w:rPr>
                      </w:pPr>
                      <w:sdt>
                        <w:sdtPr>
                          <w:alias w:val="Numeris"/>
                          <w:tag w:val="nr_19360aa21f3c4f5fa8103593b8e6232f"/>
                          <w:lock w:val="sdtLocked"/>
                          <w:richText/>
                        </w:sdtPr>
                        <w:sdtContent>
                          <w:r>
                            <w:rPr>
                              <w:sz w:val="18"/>
                              <w:szCs w:val="18"/>
                            </w:rPr>
                            <w:t>4</w:t>
                          </w:r>
                        </w:sdtContent>
                      </w:sdt>
                      <w:r>
                        <w:rPr>
                          <w:sz w:val="18"/>
                          <w:szCs w:val="18"/>
                        </w:rPr>
                        <w:t>. 4 skiltyje nurodomi projektų atrankos būdai: P – planavimas, K – konkursas, Pj – planavimas, kai ketinama įgyvendinti jungtinį projektą.</w:t>
                      </w:r>
                    </w:p>
                  </w:sdtContent>
                </w:sdt>
                <w:sdt>
                  <w:sdtPr>
                    <w:alias w:val="5 p."/>
                    <w:tag w:val="part_dfd09f7a3baa4610bbddb01149a3e4a9"/>
                    <w:lock w:val="sdtLocked"/>
                    <w:richText/>
                  </w:sdtPr>
                  <w:sdtContent>
                    <w:p>
                      <w:pPr>
                        <w:ind w:firstLine="1134"/>
                        <w:jc w:val="both"/>
                        <w:rPr>
                          <w:sz w:val="18"/>
                          <w:szCs w:val="18"/>
                        </w:rPr>
                      </w:pPr>
                      <w:sdt>
                        <w:sdtPr>
                          <w:alias w:val="Numeris"/>
                          <w:tag w:val="nr_dfd09f7a3baa4610bbddb01149a3e4a9"/>
                          <w:lock w:val="sdtLocked"/>
                          <w:richText/>
                        </w:sdtPr>
                        <w:sdtContent>
                          <w:r>
                            <w:rPr>
                              <w:sz w:val="18"/>
                              <w:szCs w:val="18"/>
                            </w:rPr>
                            <w:t>5</w:t>
                          </w:r>
                        </w:sdtContent>
                      </w:sdt>
                      <w:r>
                        <w:rPr>
                          <w:sz w:val="18"/>
                          <w:szCs w:val="18"/>
                        </w:rPr>
                        <w:t>. 5 skiltyje valstybei svarbaus projekto požymis suteikiamas pagal Strateginio valdymo metodikoje nustatytus kriterijus.</w:t>
                      </w:r>
                    </w:p>
                  </w:sdtContent>
                </w:sdt>
                <w:sdt>
                  <w:sdtPr>
                    <w:alias w:val="6 p."/>
                    <w:tag w:val="part_e2e29d376e104b3793aaedfac1734c51"/>
                    <w:lock w:val="sdtLocked"/>
                    <w:richText/>
                  </w:sdtPr>
                  <w:sdtContent>
                    <w:p>
                      <w:pPr>
                        <w:ind w:firstLine="1134"/>
                        <w:jc w:val="both"/>
                        <w:rPr>
                          <w:sz w:val="18"/>
                          <w:szCs w:val="18"/>
                        </w:rPr>
                      </w:pPr>
                      <w:sdt>
                        <w:sdtPr>
                          <w:alias w:val="Numeris"/>
                          <w:tag w:val="nr_e2e29d376e104b3793aaedfac1734c51"/>
                          <w:lock w:val="sdtLocked"/>
                          <w:richText/>
                        </w:sdtPr>
                        <w:sdtContent>
                          <w:r>
                            <w:rPr>
                              <w:sz w:val="18"/>
                              <w:szCs w:val="18"/>
                            </w:rPr>
                            <w:t>6</w:t>
                          </w:r>
                        </w:sdtContent>
                      </w:sdt>
                      <w:r>
                        <w:rPr>
                          <w:sz w:val="18"/>
                          <w:szCs w:val="18"/>
                        </w:rPr>
                        <w:t>. 6 skiltyje pažymima, ar tiesiogiai bus prisidedama prie horizontaliųjų principų įgyvendinimo ir (ar) (bus) nurodomi konkretūs reikalavimai projektų finansavimo sąlygų apraše.</w:t>
                      </w:r>
                    </w:p>
                  </w:sdtContent>
                </w:sdt>
                <w:sdt>
                  <w:sdtPr>
                    <w:alias w:val="7 p."/>
                    <w:tag w:val="part_de5b826148d746a1a51dc84f37352832"/>
                    <w:lock w:val="sdtLocked"/>
                    <w:richText/>
                  </w:sdtPr>
                  <w:sdtContent>
                    <w:p>
                      <w:pPr>
                        <w:ind w:firstLine="1134"/>
                        <w:jc w:val="both"/>
                        <w:rPr>
                          <w:sz w:val="18"/>
                          <w:szCs w:val="18"/>
                        </w:rPr>
                      </w:pPr>
                      <w:sdt>
                        <w:sdtPr>
                          <w:alias w:val="Numeris"/>
                          <w:tag w:val="nr_de5b826148d746a1a51dc84f37352832"/>
                          <w:lock w:val="sdtLocked"/>
                          <w:richText/>
                        </w:sdtPr>
                        <w:sdtContent>
                          <w:r>
                            <w:rPr>
                              <w:sz w:val="18"/>
                              <w:szCs w:val="18"/>
                            </w:rPr>
                            <w:t>7</w:t>
                          </w:r>
                        </w:sdtContent>
                      </w:sdt>
                      <w:r>
                        <w:rPr>
                          <w:sz w:val="18"/>
                          <w:szCs w:val="18"/>
                        </w:rPr>
                        <w:t xml:space="preserve">. 7 skiltyje nurodoma, ar pagal veiklas numatoma teikti valstybės pagalbą (vadovaujantis išimtimis, pagal su Europos Komisija suderintą, derinamą ar planuojamą derinti schemą, taikant </w:t>
                      </w:r>
                      <w:r>
                        <w:rPr>
                          <w:i/>
                          <w:sz w:val="18"/>
                          <w:szCs w:val="18"/>
                        </w:rPr>
                        <w:t>de minimis</w:t>
                      </w:r>
                      <w:r>
                        <w:rPr>
                          <w:sz w:val="18"/>
                          <w:szCs w:val="18"/>
                        </w:rPr>
                        <w:t xml:space="preserve"> pagalbą).</w:t>
                      </w:r>
                    </w:p>
                  </w:sdtContent>
                </w:sdt>
                <w:sdt>
                  <w:sdtPr>
                    <w:alias w:val="8 p."/>
                    <w:tag w:val="part_f9cbd6dea15e43c2b949e4aca23fc0e7"/>
                    <w:lock w:val="sdtLocked"/>
                    <w:richText/>
                  </w:sdtPr>
                  <w:sdtContent>
                    <w:p>
                      <w:pPr>
                        <w:ind w:firstLine="1134"/>
                        <w:jc w:val="both"/>
                        <w:rPr>
                          <w:sz w:val="18"/>
                          <w:szCs w:val="18"/>
                        </w:rPr>
                      </w:pPr>
                      <w:sdt>
                        <w:sdtPr>
                          <w:alias w:val="Numeris"/>
                          <w:tag w:val="nr_f9cbd6dea15e43c2b949e4aca23fc0e7"/>
                          <w:lock w:val="sdtLocked"/>
                          <w:richText/>
                        </w:sdtPr>
                        <w:sdtContent>
                          <w:r>
                            <w:rPr>
                              <w:sz w:val="18"/>
                              <w:szCs w:val="18"/>
                            </w:rPr>
                            <w:t>8</w:t>
                          </w:r>
                        </w:sdtContent>
                      </w:sdt>
                      <w:r>
                        <w:rPr>
                          <w:sz w:val="18"/>
                          <w:szCs w:val="18"/>
                        </w:rPr>
                        <w:t>. 8 skiltyje nurodoma taikoma finansavimo forma: DS – dotacija taikant sąlygas, D – dotacija, FP – finansinė priemonė, A – apdovanojimai.</w:t>
                      </w:r>
                    </w:p>
                  </w:sdtContent>
                </w:sdt>
                <w:sdt>
                  <w:sdtPr>
                    <w:alias w:val="9 p."/>
                    <w:tag w:val="part_cc15960a0a6b47d18ae20dacfc02fe22"/>
                    <w:lock w:val="sdtLocked"/>
                    <w:richText/>
                  </w:sdtPr>
                  <w:sdtContent>
                    <w:p>
                      <w:pPr>
                        <w:ind w:firstLine="1134"/>
                        <w:jc w:val="both"/>
                        <w:rPr>
                          <w:sz w:val="18"/>
                          <w:szCs w:val="18"/>
                        </w:rPr>
                      </w:pPr>
                      <w:sdt>
                        <w:sdtPr>
                          <w:alias w:val="Numeris"/>
                          <w:tag w:val="nr_cc15960a0a6b47d18ae20dacfc02fe22"/>
                          <w:lock w:val="sdtLocked"/>
                          <w:richText/>
                        </w:sdtPr>
                        <w:sdtContent>
                          <w:r>
                            <w:rPr>
                              <w:sz w:val="18"/>
                              <w:szCs w:val="18"/>
                            </w:rPr>
                            <w:t>9</w:t>
                          </w:r>
                        </w:sdtContent>
                      </w:sdt>
                      <w:r>
                        <w:rPr>
                          <w:sz w:val="18"/>
                          <w:szCs w:val="18"/>
                        </w:rPr>
                        <w:t>. 9 skiltyje nurodoma konkretaus finansavimo šaltinio, nurodyto II skyriuje, dalis, tenkanti veiklai.</w:t>
                      </w:r>
                    </w:p>
                  </w:sdtContent>
                </w:sdt>
                <w:sdt>
                  <w:sdtPr>
                    <w:alias w:val="10 p."/>
                    <w:tag w:val="part_120ecb419d054df4ae715a477762b15a"/>
                    <w:lock w:val="sdtLocked"/>
                    <w:richText/>
                  </w:sdtPr>
                  <w:sdtContent>
                    <w:p>
                      <w:pPr>
                        <w:ind w:firstLine="1134"/>
                        <w:jc w:val="both"/>
                        <w:rPr>
                          <w:sz w:val="18"/>
                          <w:szCs w:val="18"/>
                        </w:rPr>
                      </w:pPr>
                      <w:sdt>
                        <w:sdtPr>
                          <w:alias w:val="Numeris"/>
                          <w:tag w:val="nr_120ecb419d054df4ae715a477762b15a"/>
                          <w:lock w:val="sdtLocked"/>
                          <w:richText/>
                        </w:sdtPr>
                        <w:sdtContent>
                          <w:r>
                            <w:rPr>
                              <w:sz w:val="18"/>
                              <w:szCs w:val="18"/>
                            </w:rPr>
                            <w:t>10</w:t>
                          </w:r>
                        </w:sdtContent>
                      </w:sdt>
                      <w:r>
                        <w:rPr>
                          <w:sz w:val="18"/>
                          <w:szCs w:val="18"/>
                        </w:rPr>
                        <w:t>. 10 skiltyje finansavimo šaltiniai nurodomi įrašant trumpinius: 2021–2027 IP – 2021–2027 metų Europos Sąjungos fondų investicijų programa, EGADP – Ekonomikos gaivinimo ir atsparumo didinimo priemonės planas „Naujos kartos Lietuva“, VB – valstybės biudžetas.</w:t>
                      </w:r>
                    </w:p>
                  </w:sdtContent>
                </w:sdt>
                <w:sdt>
                  <w:sdtPr>
                    <w:alias w:val="11 p."/>
                    <w:tag w:val="part_abfc1b88b18f47699c2a100d4b3a6e52"/>
                    <w:lock w:val="sdtLocked"/>
                    <w:richText/>
                  </w:sdtPr>
                  <w:sdtContent>
                    <w:p>
                      <w:pPr>
                        <w:ind w:firstLine="1134"/>
                        <w:jc w:val="both"/>
                        <w:rPr>
                          <w:sz w:val="18"/>
                          <w:szCs w:val="18"/>
                        </w:rPr>
                      </w:pPr>
                      <w:sdt>
                        <w:sdtPr>
                          <w:alias w:val="Numeris"/>
                          <w:tag w:val="nr_abfc1b88b18f47699c2a100d4b3a6e52"/>
                          <w:lock w:val="sdtLocked"/>
                          <w:richText/>
                        </w:sdtPr>
                        <w:sdtContent>
                          <w:r>
                            <w:rPr>
                              <w:sz w:val="18"/>
                              <w:szCs w:val="18"/>
                            </w:rPr>
                            <w:t>11</w:t>
                          </w:r>
                        </w:sdtContent>
                      </w:sdt>
                      <w:r>
                        <w:rPr>
                          <w:sz w:val="18"/>
                          <w:szCs w:val="18"/>
                        </w:rPr>
                        <w:t>. 11 skiltyje rezultato rodiklis žymimas R, produkto – P. Rezultato ir produkto (jei taikoma) rodikliai perkeliami iš I skyriaus. Jei procentinė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2 p."/>
                    <w:tag w:val="part_f12920499a4145b1b5977c71a155f9f4"/>
                    <w:lock w:val="sdtLocked"/>
                    <w:richText/>
                  </w:sdtPr>
                  <w:sdtContent>
                    <w:p>
                      <w:pPr>
                        <w:ind w:firstLine="1134"/>
                        <w:jc w:val="both"/>
                        <w:rPr>
                          <w:sz w:val="18"/>
                          <w:szCs w:val="18"/>
                        </w:rPr>
                      </w:pPr>
                      <w:sdt>
                        <w:sdtPr>
                          <w:alias w:val="Numeris"/>
                          <w:tag w:val="nr_f12920499a4145b1b5977c71a155f9f4"/>
                          <w:lock w:val="sdtLocked"/>
                          <w:richText/>
                        </w:sdtPr>
                        <w:sdtContent>
                          <w:r>
                            <w:rPr>
                              <w:sz w:val="18"/>
                              <w:szCs w:val="18"/>
                            </w:rPr>
                            <w:t>12</w:t>
                          </w:r>
                        </w:sdtContent>
                      </w:sdt>
                      <w:r>
                        <w:rPr>
                          <w:sz w:val="18"/>
                          <w:szCs w:val="18"/>
                        </w:rPr>
                        <w:t>. 13 skiltyje nurodoma planuojama veiklos (poveiklės) kvietimo data, reguliacinės veiklos vykdymo pradžios data, projekto veiklų vykdymo pradžios data (jeigu ji žinoma).</w:t>
                      </w:r>
                    </w:p>
                  </w:sdtContent>
                </w:sdt>
                <w:sdt>
                  <w:sdtPr>
                    <w:alias w:val="13 p."/>
                    <w:tag w:val="part_0e496677042b48f5a6b056d5a2d18ca3"/>
                    <w:lock w:val="sdtLocked"/>
                    <w:richText/>
                  </w:sdtPr>
                  <w:sdtContent>
                    <w:p>
                      <w:pPr>
                        <w:ind w:firstLine="1134"/>
                        <w:jc w:val="both"/>
                        <w:rPr>
                          <w:sz w:val="18"/>
                          <w:szCs w:val="18"/>
                        </w:rPr>
                      </w:pPr>
                      <w:sdt>
                        <w:sdtPr>
                          <w:alias w:val="Numeris"/>
                          <w:tag w:val="nr_0e496677042b48f5a6b056d5a2d18ca3"/>
                          <w:lock w:val="sdtLocked"/>
                          <w:richText/>
                        </w:sdtPr>
                        <w:sdtContent>
                          <w:r>
                            <w:rPr>
                              <w:sz w:val="18"/>
                              <w:szCs w:val="18"/>
                            </w:rPr>
                            <w:t>13</w:t>
                          </w:r>
                        </w:sdtContent>
                      </w:sdt>
                      <w:r>
                        <w:rPr>
                          <w:sz w:val="18"/>
                          <w:szCs w:val="18"/>
                        </w:rPr>
                        <w:t>. 14 skiltyje nurodoma priemonės veiklas ar projektus administruojanti institucija.</w:t>
                      </w:r>
                    </w:p>
                  </w:sdtContent>
                </w:sdt>
                <w:sdt>
                  <w:sdtPr>
                    <w:alias w:val="14 p."/>
                    <w:tag w:val="part_25a9c2ef0d6e421ebb1e6ae39b77a42a"/>
                    <w:lock w:val="sdtLocked"/>
                    <w:richText/>
                  </w:sdtPr>
                  <w:sdtContent>
                    <w:p>
                      <w:pPr>
                        <w:ind w:firstLine="1134"/>
                        <w:jc w:val="both"/>
                        <w:rPr>
                          <w:sz w:val="18"/>
                          <w:szCs w:val="18"/>
                        </w:rPr>
                      </w:pPr>
                      <w:sdt>
                        <w:sdtPr>
                          <w:alias w:val="Numeris"/>
                          <w:tag w:val="nr_25a9c2ef0d6e421ebb1e6ae39b77a42a"/>
                          <w:lock w:val="sdtLocked"/>
                          <w:richText/>
                        </w:sdtPr>
                        <w:sdtContent>
                          <w:r>
                            <w:rPr>
                              <w:sz w:val="18"/>
                              <w:szCs w:val="18"/>
                            </w:rPr>
                            <w:t>14</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5 p."/>
                    <w:tag w:val="part_948e4f735d724b869fd22ae9a31a8a61"/>
                    <w:lock w:val="sdtLocked"/>
                    <w:richText/>
                  </w:sdtPr>
                  <w:sdtContent>
                    <w:p>
                      <w:pPr>
                        <w:ind w:firstLine="1134"/>
                        <w:jc w:val="both"/>
                        <w:rPr>
                          <w:sz w:val="18"/>
                          <w:szCs w:val="18"/>
                        </w:rPr>
                      </w:pPr>
                      <w:sdt>
                        <w:sdtPr>
                          <w:alias w:val="Numeris"/>
                          <w:tag w:val="nr_948e4f735d724b869fd22ae9a31a8a61"/>
                          <w:lock w:val="sdtLocked"/>
                          <w:richText/>
                        </w:sdtPr>
                        <w:sdtContent>
                          <w:r>
                            <w:rPr>
                              <w:sz w:val="18"/>
                              <w:szCs w:val="18"/>
                            </w:rPr>
                            <w:t>15</w:t>
                          </w:r>
                        </w:sdtContent>
                      </w:sdt>
                      <w:r>
                        <w:rPr>
                          <w:sz w:val="18"/>
                          <w:szCs w:val="18"/>
                        </w:rPr>
                        <w:t>. 1.1.1 papunktyje nurodomi numatomi įgyvendinti projektai, dėl kurių finansavimo sprendimas bus priimtas tik atlikus projektų vertinimą. Jeigu projektai bus atrenkami konkurso būdu, projektai nenurodomi.</w:t>
                      </w:r>
                    </w:p>
                    <w:p>
                      <w:pPr>
                        <w:ind w:firstLine="1134"/>
                        <w:jc w:val="both"/>
                        <w:rPr>
                          <w:sz w:val="18"/>
                          <w:szCs w:val="18"/>
                        </w:rPr>
                      </w:pPr>
                    </w:p>
                    <w:p>
                      <w:pPr>
                        <w:ind w:firstLine="567"/>
                        <w:rPr>
                          <w:sz w:val="18"/>
                          <w:szCs w:val="18"/>
                        </w:rPr>
                      </w:pPr>
                      <w:r>
                        <w:rPr>
                          <w:b/>
                          <w:sz w:val="18"/>
                          <w:szCs w:val="18"/>
                        </w:rPr>
                        <w:t>Pastaba.</w:t>
                      </w:r>
                      <w:r>
                        <w:rPr>
                          <w:sz w:val="18"/>
                          <w:szCs w:val="18"/>
                        </w:rPr>
                        <w:t xml:space="preserve"> Pasviruoju šriftu ir pilka spalva pažymėtas tekstas pildant formą ištrinamas.</w:t>
                      </w:r>
                    </w:p>
                    <w:p>
                      <w:pPr>
                        <w:ind w:firstLine="567"/>
                        <w:jc w:val="center"/>
                        <w:rPr>
                          <w:sz w:val="22"/>
                          <w:szCs w:val="22"/>
                        </w:rPr>
                      </w:pPr>
                      <w:r>
                        <w:rPr>
                          <w:sz w:val="22"/>
                          <w:szCs w:val="22"/>
                        </w:rPr>
                        <w:t>___________________________</w:t>
                      </w:r>
                    </w:p>
                  </w:sdtContent>
                </w:sdt>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fldChar w:fldCharType="begin"/>
    </w:r>
    <w:r>
      <w:instrText>PAGE   \* MERGEFORMAT</w:instrText>
    </w:r>
    <w:r>
      <w:fldChar w:fldCharType="separate"/>
    </w:r>
    <w:r>
      <w:t>9</w:t>
    </w:r>
    <w:r>
      <w:fldChar w:fldCharType="end"/>
    </w:r>
  </w:p>
  <w:p>
    <w:pPr>
      <w:tabs>
        <w:tab w:val="center" w:pos="4986"/>
        <w:tab w:val="right" w:pos="9972"/>
      </w:tabs>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CBBCC60-DF86-4EB3-9F3E-5270663EB0B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309088">
      <w:bodyDiv w:val="1"/>
      <w:marLeft w:val="0"/>
      <w:marRight w:val="0"/>
      <w:marTop w:val="0"/>
      <w:marBottom w:val="0"/>
      <w:divBdr>
        <w:top w:val="none" w:sz="0" w:space="0" w:color="auto"/>
        <w:left w:val="none" w:sz="0" w:space="0" w:color="auto"/>
        <w:bottom w:val="none" w:sz="0" w:space="0" w:color="auto"/>
        <w:right w:val="none" w:sz="0" w:space="0" w:color="auto"/>
      </w:divBdr>
      <w:divsChild>
        <w:div w:id="459230050">
          <w:marLeft w:val="0"/>
          <w:marRight w:val="0"/>
          <w:marTop w:val="0"/>
          <w:marBottom w:val="0"/>
          <w:divBdr>
            <w:top w:val="none" w:sz="0" w:space="0" w:color="auto"/>
            <w:left w:val="none" w:sz="0" w:space="0" w:color="auto"/>
            <w:bottom w:val="none" w:sz="0" w:space="0" w:color="auto"/>
            <w:right w:val="none" w:sz="0" w:space="0" w:color="auto"/>
          </w:divBdr>
        </w:div>
      </w:divsChild>
    </w:div>
    <w:div w:id="198663126">
      <w:bodyDiv w:val="1"/>
      <w:marLeft w:val="0"/>
      <w:marRight w:val="0"/>
      <w:marTop w:val="0"/>
      <w:marBottom w:val="0"/>
      <w:divBdr>
        <w:top w:val="none" w:sz="0" w:space="0" w:color="auto"/>
        <w:left w:val="none" w:sz="0" w:space="0" w:color="auto"/>
        <w:bottom w:val="none" w:sz="0" w:space="0" w:color="auto"/>
        <w:right w:val="none" w:sz="0" w:space="0" w:color="auto"/>
      </w:divBdr>
      <w:divsChild>
        <w:div w:id="1520319452">
          <w:marLeft w:val="0"/>
          <w:marRight w:val="0"/>
          <w:marTop w:val="0"/>
          <w:marBottom w:val="0"/>
          <w:divBdr>
            <w:top w:val="none" w:sz="0" w:space="0" w:color="auto"/>
            <w:left w:val="none" w:sz="0" w:space="0" w:color="auto"/>
            <w:bottom w:val="none" w:sz="0" w:space="0" w:color="auto"/>
            <w:right w:val="none" w:sz="0" w:space="0" w:color="auto"/>
          </w:divBdr>
        </w:div>
      </w:divsChild>
    </w:div>
    <w:div w:id="203098339">
      <w:bodyDiv w:val="1"/>
      <w:marLeft w:val="0"/>
      <w:marRight w:val="0"/>
      <w:marTop w:val="0"/>
      <w:marBottom w:val="0"/>
      <w:divBdr>
        <w:top w:val="none" w:sz="0" w:space="0" w:color="auto"/>
        <w:left w:val="none" w:sz="0" w:space="0" w:color="auto"/>
        <w:bottom w:val="none" w:sz="0" w:space="0" w:color="auto"/>
        <w:right w:val="none" w:sz="0" w:space="0" w:color="auto"/>
      </w:divBdr>
      <w:divsChild>
        <w:div w:id="1510679991">
          <w:marLeft w:val="0"/>
          <w:marRight w:val="0"/>
          <w:marTop w:val="0"/>
          <w:marBottom w:val="0"/>
          <w:divBdr>
            <w:top w:val="none" w:sz="0" w:space="0" w:color="auto"/>
            <w:left w:val="none" w:sz="0" w:space="0" w:color="auto"/>
            <w:bottom w:val="none" w:sz="0" w:space="0" w:color="auto"/>
            <w:right w:val="none" w:sz="0" w:space="0" w:color="auto"/>
          </w:divBdr>
        </w:div>
        <w:div w:id="1640184863">
          <w:marLeft w:val="0"/>
          <w:marRight w:val="0"/>
          <w:marTop w:val="0"/>
          <w:marBottom w:val="0"/>
          <w:divBdr>
            <w:top w:val="none" w:sz="0" w:space="0" w:color="auto"/>
            <w:left w:val="none" w:sz="0" w:space="0" w:color="auto"/>
            <w:bottom w:val="none" w:sz="0" w:space="0" w:color="auto"/>
            <w:right w:val="none" w:sz="0" w:space="0" w:color="auto"/>
          </w:divBdr>
        </w:div>
      </w:divsChild>
    </w:div>
    <w:div w:id="385376862">
      <w:bodyDiv w:val="1"/>
      <w:marLeft w:val="0"/>
      <w:marRight w:val="0"/>
      <w:marTop w:val="0"/>
      <w:marBottom w:val="0"/>
      <w:divBdr>
        <w:top w:val="none" w:sz="0" w:space="0" w:color="auto"/>
        <w:left w:val="none" w:sz="0" w:space="0" w:color="auto"/>
        <w:bottom w:val="none" w:sz="0" w:space="0" w:color="auto"/>
        <w:right w:val="none" w:sz="0" w:space="0" w:color="auto"/>
      </w:divBdr>
      <w:divsChild>
        <w:div w:id="2062704530">
          <w:marLeft w:val="0"/>
          <w:marRight w:val="0"/>
          <w:marTop w:val="0"/>
          <w:marBottom w:val="0"/>
          <w:divBdr>
            <w:top w:val="none" w:sz="0" w:space="0" w:color="auto"/>
            <w:left w:val="none" w:sz="0" w:space="0" w:color="auto"/>
            <w:bottom w:val="none" w:sz="0" w:space="0" w:color="auto"/>
            <w:right w:val="none" w:sz="0" w:space="0" w:color="auto"/>
          </w:divBdr>
        </w:div>
      </w:divsChild>
    </w:div>
    <w:div w:id="602685975">
      <w:bodyDiv w:val="1"/>
      <w:marLeft w:val="0"/>
      <w:marRight w:val="0"/>
      <w:marTop w:val="0"/>
      <w:marBottom w:val="0"/>
      <w:divBdr>
        <w:top w:val="none" w:sz="0" w:space="0" w:color="auto"/>
        <w:left w:val="none" w:sz="0" w:space="0" w:color="auto"/>
        <w:bottom w:val="none" w:sz="0" w:space="0" w:color="auto"/>
        <w:right w:val="none" w:sz="0" w:space="0" w:color="auto"/>
      </w:divBdr>
      <w:divsChild>
        <w:div w:id="319502374">
          <w:marLeft w:val="0"/>
          <w:marRight w:val="0"/>
          <w:marTop w:val="0"/>
          <w:marBottom w:val="0"/>
          <w:divBdr>
            <w:top w:val="none" w:sz="0" w:space="0" w:color="auto"/>
            <w:left w:val="none" w:sz="0" w:space="0" w:color="auto"/>
            <w:bottom w:val="none" w:sz="0" w:space="0" w:color="auto"/>
            <w:right w:val="none" w:sz="0" w:space="0" w:color="auto"/>
          </w:divBdr>
        </w:div>
      </w:divsChild>
    </w:div>
    <w:div w:id="756176681">
      <w:bodyDiv w:val="1"/>
      <w:marLeft w:val="0"/>
      <w:marRight w:val="0"/>
      <w:marTop w:val="0"/>
      <w:marBottom w:val="0"/>
      <w:divBdr>
        <w:top w:val="none" w:sz="0" w:space="0" w:color="auto"/>
        <w:left w:val="none" w:sz="0" w:space="0" w:color="auto"/>
        <w:bottom w:val="none" w:sz="0" w:space="0" w:color="auto"/>
        <w:right w:val="none" w:sz="0" w:space="0" w:color="auto"/>
      </w:divBdr>
      <w:divsChild>
        <w:div w:id="327641206">
          <w:marLeft w:val="0"/>
          <w:marRight w:val="0"/>
          <w:marTop w:val="0"/>
          <w:marBottom w:val="0"/>
          <w:divBdr>
            <w:top w:val="none" w:sz="0" w:space="0" w:color="auto"/>
            <w:left w:val="none" w:sz="0" w:space="0" w:color="auto"/>
            <w:bottom w:val="none" w:sz="0" w:space="0" w:color="auto"/>
            <w:right w:val="none" w:sz="0" w:space="0" w:color="auto"/>
          </w:divBdr>
        </w:div>
      </w:divsChild>
    </w:div>
    <w:div w:id="928924883">
      <w:bodyDiv w:val="1"/>
      <w:marLeft w:val="0"/>
      <w:marRight w:val="0"/>
      <w:marTop w:val="0"/>
      <w:marBottom w:val="0"/>
      <w:divBdr>
        <w:top w:val="none" w:sz="0" w:space="0" w:color="auto"/>
        <w:left w:val="none" w:sz="0" w:space="0" w:color="auto"/>
        <w:bottom w:val="none" w:sz="0" w:space="0" w:color="auto"/>
        <w:right w:val="none" w:sz="0" w:space="0" w:color="auto"/>
      </w:divBdr>
      <w:divsChild>
        <w:div w:id="70082114">
          <w:marLeft w:val="0"/>
          <w:marRight w:val="0"/>
          <w:marTop w:val="0"/>
          <w:marBottom w:val="0"/>
          <w:divBdr>
            <w:top w:val="none" w:sz="0" w:space="0" w:color="auto"/>
            <w:left w:val="none" w:sz="0" w:space="0" w:color="auto"/>
            <w:bottom w:val="none" w:sz="0" w:space="0" w:color="auto"/>
            <w:right w:val="none" w:sz="0" w:space="0" w:color="auto"/>
          </w:divBdr>
        </w:div>
      </w:divsChild>
    </w:div>
    <w:div w:id="1024093668">
      <w:bodyDiv w:val="1"/>
      <w:marLeft w:val="0"/>
      <w:marRight w:val="0"/>
      <w:marTop w:val="0"/>
      <w:marBottom w:val="0"/>
      <w:divBdr>
        <w:top w:val="none" w:sz="0" w:space="0" w:color="auto"/>
        <w:left w:val="none" w:sz="0" w:space="0" w:color="auto"/>
        <w:bottom w:val="none" w:sz="0" w:space="0" w:color="auto"/>
        <w:right w:val="none" w:sz="0" w:space="0" w:color="auto"/>
      </w:divBdr>
      <w:divsChild>
        <w:div w:id="616838072">
          <w:marLeft w:val="0"/>
          <w:marRight w:val="0"/>
          <w:marTop w:val="0"/>
          <w:marBottom w:val="0"/>
          <w:divBdr>
            <w:top w:val="none" w:sz="0" w:space="0" w:color="auto"/>
            <w:left w:val="none" w:sz="0" w:space="0" w:color="auto"/>
            <w:bottom w:val="none" w:sz="0" w:space="0" w:color="auto"/>
            <w:right w:val="none" w:sz="0" w:space="0" w:color="auto"/>
          </w:divBdr>
        </w:div>
      </w:divsChild>
    </w:div>
    <w:div w:id="1088697258">
      <w:bodyDiv w:val="1"/>
      <w:marLeft w:val="0"/>
      <w:marRight w:val="0"/>
      <w:marTop w:val="0"/>
      <w:marBottom w:val="0"/>
      <w:divBdr>
        <w:top w:val="none" w:sz="0" w:space="0" w:color="auto"/>
        <w:left w:val="none" w:sz="0" w:space="0" w:color="auto"/>
        <w:bottom w:val="none" w:sz="0" w:space="0" w:color="auto"/>
        <w:right w:val="none" w:sz="0" w:space="0" w:color="auto"/>
      </w:divBdr>
    </w:div>
    <w:div w:id="1153529315">
      <w:bodyDiv w:val="1"/>
      <w:marLeft w:val="0"/>
      <w:marRight w:val="0"/>
      <w:marTop w:val="0"/>
      <w:marBottom w:val="0"/>
      <w:divBdr>
        <w:top w:val="none" w:sz="0" w:space="0" w:color="auto"/>
        <w:left w:val="none" w:sz="0" w:space="0" w:color="auto"/>
        <w:bottom w:val="none" w:sz="0" w:space="0" w:color="auto"/>
        <w:right w:val="none" w:sz="0" w:space="0" w:color="auto"/>
      </w:divBdr>
      <w:divsChild>
        <w:div w:id="1615819085">
          <w:marLeft w:val="0"/>
          <w:marRight w:val="0"/>
          <w:marTop w:val="0"/>
          <w:marBottom w:val="0"/>
          <w:divBdr>
            <w:top w:val="none" w:sz="0" w:space="0" w:color="auto"/>
            <w:left w:val="none" w:sz="0" w:space="0" w:color="auto"/>
            <w:bottom w:val="none" w:sz="0" w:space="0" w:color="auto"/>
            <w:right w:val="none" w:sz="0" w:space="0" w:color="auto"/>
          </w:divBdr>
        </w:div>
      </w:divsChild>
    </w:div>
    <w:div w:id="1289817435">
      <w:bodyDiv w:val="1"/>
      <w:marLeft w:val="0"/>
      <w:marRight w:val="0"/>
      <w:marTop w:val="0"/>
      <w:marBottom w:val="0"/>
      <w:divBdr>
        <w:top w:val="none" w:sz="0" w:space="0" w:color="auto"/>
        <w:left w:val="none" w:sz="0" w:space="0" w:color="auto"/>
        <w:bottom w:val="none" w:sz="0" w:space="0" w:color="auto"/>
        <w:right w:val="none" w:sz="0" w:space="0" w:color="auto"/>
      </w:divBdr>
      <w:divsChild>
        <w:div w:id="552934000">
          <w:marLeft w:val="0"/>
          <w:marRight w:val="0"/>
          <w:marTop w:val="0"/>
          <w:marBottom w:val="0"/>
          <w:divBdr>
            <w:top w:val="none" w:sz="0" w:space="0" w:color="auto"/>
            <w:left w:val="none" w:sz="0" w:space="0" w:color="auto"/>
            <w:bottom w:val="none" w:sz="0" w:space="0" w:color="auto"/>
            <w:right w:val="none" w:sz="0" w:space="0" w:color="auto"/>
          </w:divBdr>
        </w:div>
      </w:divsChild>
    </w:div>
    <w:div w:id="1375429249">
      <w:bodyDiv w:val="1"/>
      <w:marLeft w:val="0"/>
      <w:marRight w:val="0"/>
      <w:marTop w:val="0"/>
      <w:marBottom w:val="0"/>
      <w:divBdr>
        <w:top w:val="none" w:sz="0" w:space="0" w:color="auto"/>
        <w:left w:val="none" w:sz="0" w:space="0" w:color="auto"/>
        <w:bottom w:val="none" w:sz="0" w:space="0" w:color="auto"/>
        <w:right w:val="none" w:sz="0" w:space="0" w:color="auto"/>
      </w:divBdr>
    </w:div>
    <w:div w:id="1488128668">
      <w:bodyDiv w:val="1"/>
      <w:marLeft w:val="0"/>
      <w:marRight w:val="0"/>
      <w:marTop w:val="0"/>
      <w:marBottom w:val="0"/>
      <w:divBdr>
        <w:top w:val="none" w:sz="0" w:space="0" w:color="auto"/>
        <w:left w:val="none" w:sz="0" w:space="0" w:color="auto"/>
        <w:bottom w:val="none" w:sz="0" w:space="0" w:color="auto"/>
        <w:right w:val="none" w:sz="0" w:space="0" w:color="auto"/>
      </w:divBdr>
      <w:divsChild>
        <w:div w:id="59602721">
          <w:marLeft w:val="0"/>
          <w:marRight w:val="0"/>
          <w:marTop w:val="0"/>
          <w:marBottom w:val="0"/>
          <w:divBdr>
            <w:top w:val="none" w:sz="0" w:space="0" w:color="auto"/>
            <w:left w:val="none" w:sz="0" w:space="0" w:color="auto"/>
            <w:bottom w:val="none" w:sz="0" w:space="0" w:color="auto"/>
            <w:right w:val="none" w:sz="0" w:space="0" w:color="auto"/>
          </w:divBdr>
        </w:div>
      </w:divsChild>
    </w:div>
    <w:div w:id="1563708515">
      <w:bodyDiv w:val="1"/>
      <w:marLeft w:val="0"/>
      <w:marRight w:val="0"/>
      <w:marTop w:val="0"/>
      <w:marBottom w:val="0"/>
      <w:divBdr>
        <w:top w:val="none" w:sz="0" w:space="0" w:color="auto"/>
        <w:left w:val="none" w:sz="0" w:space="0" w:color="auto"/>
        <w:bottom w:val="none" w:sz="0" w:space="0" w:color="auto"/>
        <w:right w:val="none" w:sz="0" w:space="0" w:color="auto"/>
      </w:divBdr>
      <w:divsChild>
        <w:div w:id="180317828">
          <w:marLeft w:val="0"/>
          <w:marRight w:val="0"/>
          <w:marTop w:val="0"/>
          <w:marBottom w:val="0"/>
          <w:divBdr>
            <w:top w:val="none" w:sz="0" w:space="0" w:color="auto"/>
            <w:left w:val="none" w:sz="0" w:space="0" w:color="auto"/>
            <w:bottom w:val="none" w:sz="0" w:space="0" w:color="auto"/>
            <w:right w:val="none" w:sz="0" w:space="0" w:color="auto"/>
          </w:divBdr>
        </w:div>
      </w:divsChild>
    </w:div>
    <w:div w:id="1649162435">
      <w:bodyDiv w:val="1"/>
      <w:marLeft w:val="0"/>
      <w:marRight w:val="0"/>
      <w:marTop w:val="0"/>
      <w:marBottom w:val="0"/>
      <w:divBdr>
        <w:top w:val="none" w:sz="0" w:space="0" w:color="auto"/>
        <w:left w:val="none" w:sz="0" w:space="0" w:color="auto"/>
        <w:bottom w:val="none" w:sz="0" w:space="0" w:color="auto"/>
        <w:right w:val="none" w:sz="0" w:space="0" w:color="auto"/>
      </w:divBdr>
      <w:divsChild>
        <w:div w:id="1384402368">
          <w:marLeft w:val="0"/>
          <w:marRight w:val="0"/>
          <w:marTop w:val="0"/>
          <w:marBottom w:val="0"/>
          <w:divBdr>
            <w:top w:val="none" w:sz="0" w:space="0" w:color="auto"/>
            <w:left w:val="none" w:sz="0" w:space="0" w:color="auto"/>
            <w:bottom w:val="none" w:sz="0" w:space="0" w:color="auto"/>
            <w:right w:val="none" w:sz="0" w:space="0" w:color="auto"/>
          </w:divBdr>
        </w:div>
      </w:divsChild>
    </w:div>
    <w:div w:id="1738016811">
      <w:bodyDiv w:val="1"/>
      <w:marLeft w:val="0"/>
      <w:marRight w:val="0"/>
      <w:marTop w:val="0"/>
      <w:marBottom w:val="0"/>
      <w:divBdr>
        <w:top w:val="none" w:sz="0" w:space="0" w:color="auto"/>
        <w:left w:val="none" w:sz="0" w:space="0" w:color="auto"/>
        <w:bottom w:val="none" w:sz="0" w:space="0" w:color="auto"/>
        <w:right w:val="none" w:sz="0" w:space="0" w:color="auto"/>
      </w:divBdr>
      <w:divsChild>
        <w:div w:id="231817096">
          <w:marLeft w:val="0"/>
          <w:marRight w:val="0"/>
          <w:marTop w:val="0"/>
          <w:marBottom w:val="0"/>
          <w:divBdr>
            <w:top w:val="none" w:sz="0" w:space="0" w:color="auto"/>
            <w:left w:val="none" w:sz="0" w:space="0" w:color="auto"/>
            <w:bottom w:val="none" w:sz="0" w:space="0" w:color="auto"/>
            <w:right w:val="none" w:sz="0" w:space="0" w:color="auto"/>
          </w:divBdr>
        </w:div>
      </w:divsChild>
    </w:div>
    <w:div w:id="2121757252">
      <w:bodyDiv w:val="1"/>
      <w:marLeft w:val="0"/>
      <w:marRight w:val="0"/>
      <w:marTop w:val="0"/>
      <w:marBottom w:val="0"/>
      <w:divBdr>
        <w:top w:val="none" w:sz="0" w:space="0" w:color="auto"/>
        <w:left w:val="none" w:sz="0" w:space="0" w:color="auto"/>
        <w:bottom w:val="none" w:sz="0" w:space="0" w:color="auto"/>
        <w:right w:val="none" w:sz="0" w:space="0" w:color="auto"/>
      </w:divBdr>
      <w:divsChild>
        <w:div w:id="1545210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3" ma:contentTypeDescription="Create a new document." ma:contentTypeScope="" ma:versionID="1861a30ab98678bb43709c19570b3593">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5477438a8dcf7bc50766488f89f618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78976a2fb344a549372ca325e97d93d" PartId="1b75ff9a62a44812b3a93bc47e0840b0"/>
  <Part Type="patvirtinta" Title="2022–2030 METŲ PLĖTROS PROGRAMOS VALDYTOJOS LIETUVOS RESPUBLIKOS APLINKOS MINISTERIJOS   APLINKOS APSAUGOS IR KLIMATO KAITOS VALDYMO PLĖTROS PROGRAMOS PAŽANGOS PRIEMONĖS NR. 02-001-06-04-02 „DIDINTI KLIMATO KAITOS POLITIKOS VEIKSMINGUMĄ“ APRAŠAS" DocPartId="db34aa1482e1416f9d5f0a894f168627" PartId="eea3e1255ada46518c6d3cc97c188b40">
    <Part Type="skyrius" Nr="1" Title="PLĖTROS PROGRAMOS PAŽANGOS PRIEMONĖS SIEKIAMI REZULTATAI" DocPartId="de77cdba68294607b4813a7700dbbb18" PartId="546977be824c46b6a60f89fd12a6a6e8">
      <Part Type="poskyris" Title="Paaiškinimai:" DocPartId="05efd31b150d4ba5b8c73bbdb88dbacb" PartId="791359a751aa48fca7d628ab21ef3d73">
        <Part Type="punktas" Nr="1" Abbr="1 p." DocPartId="e96598a2bac24f78a5e5da91f97ccad4" PartId="91447fa1d03e4f708fc10f518ebb6a43"/>
        <Part Type="punktas" Nr="2" Abbr="2 p." DocPartId="dc24bb55b91449eaacad8e16480d68a8" PartId="10c15ed7c20e4553b24720e59cdf6b10"/>
        <Part Type="punktas" Nr="3" Abbr="3 p." DocPartId="9d18909aa6b94cf4a37ee14e8372ea0f" PartId="d4fa2a5faf214dfdb76706a7d2fc62e9"/>
        <Part Type="punktas" Nr="4" Abbr="4 p." DocPartId="f49e59c5dad142c4959731c9910db3e3" PartId="83c5bc8033604e839193f968cfa39cca"/>
        <Part Type="punktas" Nr="5" Abbr="5 p." DocPartId="507b27e1873540fd8b82db1e7045a9f1" PartId="0df8d60d0efa4b4bb0a9b2503392d5ee"/>
      </Part>
    </Part>
    <Part Type="skyrius" Nr="2" Title="PLĖTROS PROGRAMOS PAŽANGOS PRIEMONĖS FINANSAVIMO ŠALTINIAI" DocPartId="39d4ed9c55974975a61f074a9eb8c5e5" PartId="2693f54d74754923ab0996f1c360d7d1">
      <Part Type="poskyris" Title="Paaiškinimai:" DocPartId="b4bf659e66d84bdf9d1d73c4533e8ab5" PartId="06bb2010b5294c0ba52601a2ebaf427a">
        <Part Type="punktas" Nr="1" Abbr="1 p." DocPartId="71f6c6f9a1814fa0823e29098d0798f5" PartId="5689a0a6e5a24661884611613f17fc29"/>
        <Part Type="punktas" Nr="2" Abbr="2 p." DocPartId="5ece6f931a6b44338d10b10d25e8ca49" PartId="86dab1f389584e3fb719fd1eda4017bb"/>
        <Part Type="punktas" Nr="3" Abbr="3 p." DocPartId="01ccefb0116543599007dff98c5605bf" PartId="0dc1683f57ed4d7094f6de182a693630"/>
      </Part>
    </Part>
    <Part Type="skyrius" Nr="3" Title="PLĖTROS PROGRAMOS PAŽANGOS PRIEMONĖS VEIKLŲ SUVESTINĖ" DocPartId="11cc267dd766495780adb5f1af2e42bc" PartId="35a27e6915984015a127639259a43d34">
      <Part Type="poskyris" Title="Paaiškinimai:" DocPartId="9ef87bb3fd54462b9537185977e69aad" PartId="bed176f174074e99a7e56f211098e3e2">
        <Part Type="punktas" Nr="1" Abbr="1 p." DocPartId="e66f544bbe644aab95cf5109a973b6e2" PartId="b5da9cdc5c164c86ac6aa69ee8b8a71a"/>
        <Part Type="punktas" Nr="2" Abbr="2 p." DocPartId="098f9dc2b16b4412b189a783d620ecec" PartId="b1213bf5a5d941a7bb5121fbefa2901f"/>
        <Part Type="punktas" Nr="3" Abbr="3 p." DocPartId="3702ee1017ed4ac1ba503dba940e1eac" PartId="2b498d1574b8419d8d899b62b3b24560"/>
        <Part Type="punktas" Nr="4" Abbr="4 p." DocPartId="70f9ef1591614267ba09522f306afae0" PartId="19360aa21f3c4f5fa8103593b8e6232f"/>
        <Part Type="punktas" Nr="5" Abbr="5 p." DocPartId="ea4ea8367df34e97b6e690b9f6f6c1d5" PartId="dfd09f7a3baa4610bbddb01149a3e4a9"/>
        <Part Type="punktas" Nr="6" Abbr="6 p." DocPartId="328570d9d47c4795b04f49471290c18b" PartId="e2e29d376e104b3793aaedfac1734c51"/>
        <Part Type="punktas" Nr="7" Abbr="7 p." DocPartId="f0dfc1095ce34d369384fb39622049ad" PartId="de5b826148d746a1a51dc84f37352832"/>
        <Part Type="punktas" Nr="8" Abbr="8 p." DocPartId="045292c4e4624907adbb559f3c26943f" PartId="f9cbd6dea15e43c2b949e4aca23fc0e7"/>
        <Part Type="punktas" Nr="9" Abbr="9 p." DocPartId="e33b669555724ab9ab2bec024f4958ce" PartId="cc15960a0a6b47d18ae20dacfc02fe22"/>
        <Part Type="punktas" Nr="10" Abbr="10 p." DocPartId="55c9c36f055f45d0a2b000121c35ccc9" PartId="120ecb419d054df4ae715a477762b15a"/>
        <Part Type="punktas" Nr="11" Abbr="11 p." DocPartId="94a4a0570ccc41718d68b35aaa048444" PartId="abfc1b88b18f47699c2a100d4b3a6e52"/>
        <Part Type="punktas" Nr="12" Abbr="12 p." DocPartId="0c1d07b92e6c49f98c9bb10a62b4efe0" PartId="f12920499a4145b1b5977c71a155f9f4"/>
        <Part Type="punktas" Nr="13" Abbr="13 p." DocPartId="ac0b304ca622482590412a4e804dd80b" PartId="0e496677042b48f5a6b056d5a2d18ca3"/>
        <Part Type="punktas" Nr="14" Abbr="14 p." DocPartId="0920b800837b456d9274cd26de8c8110" PartId="25a9c2ef0d6e421ebb1e6ae39b77a42a"/>
        <Part Type="punktas" Nr="15" Abbr="15 p." DocPartId="16f65feb136244ce95be317127f8042c" PartId="948e4f735d724b869fd22ae9a31a8a61"/>
      </Part>
    </Part>
  </Part>
</Parts>
</file>

<file path=customXml/itemProps1.xml><?xml version="1.0" encoding="utf-8"?>
<ds:datastoreItem xmlns:ds="http://schemas.openxmlformats.org/officeDocument/2006/customXml" ds:itemID="{0C02ABDF-22A2-408D-9B75-36CDEA7701D9}">
  <ds:schemaRefs>
    <ds:schemaRef ds:uri="http://schemas.microsoft.com/sharepoint/v3/contenttype/forms"/>
  </ds:schemaRefs>
</ds:datastoreItem>
</file>

<file path=customXml/itemProps2.xml><?xml version="1.0" encoding="utf-8"?>
<ds:datastoreItem xmlns:ds="http://schemas.openxmlformats.org/officeDocument/2006/customXml" ds:itemID="{709D7BEE-6351-4782-BBDB-92DEA8D1E5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81CA8D-7C50-4E32-8DF9-E8C349DA978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123376A-D70A-4ED2-977B-169C86869B24}">
  <ds:schemaRefs>
    <ds:schemaRef ds:uri="http://schemas.openxmlformats.org/officeDocument/2006/bibliography"/>
  </ds:schemaRefs>
</ds:datastoreItem>
</file>

<file path=customXml/itemProps5.xml><?xml version="1.0" encoding="utf-8"?>
<ds:datastoreItem xmlns:ds="http://schemas.openxmlformats.org/officeDocument/2006/customXml" ds:itemID="{2DB8DE23-58FC-4A58-888B-8650C448F6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2584</Words>
  <Characters>16440</Characters>
  <Application>Microsoft Office Word</Application>
  <DocSecurity>4</DocSecurity>
  <Lines>1096</Lines>
  <Paragraphs>594</Paragraphs>
  <ScaleCrop>false</ScaleCrop>
  <Company>HP Inc.</Company>
  <LinksUpToDate>false</LinksUpToDate>
  <CharactersWithSpaces>18430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2022-05-06T12:13:00Z</dcterms:created>
  <dc:creator>Božena Zaikovska-Tomkevičienė</dc:creator>
  <lastModifiedBy>adlibuser</lastModifiedBy>
  <dcterms:modified xsi:type="dcterms:W3CDTF">2022-05-06T12:13:00Z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