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3ae8c0e9bd2a4c84861383d37d97d979"/>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hemeColor="text1"/>
                </w:tcBorders>
              </w:tcPr>
              <w:p>
                <w:pPr>
                  <w:widowControl w:val="0"/>
                  <w:suppressLineNumbers/>
                  <w:tabs>
                    <w:tab w:val="center" w:pos="4800"/>
                    <w:tab w:val="right" w:pos="9601"/>
                  </w:tabs>
                  <w:suppressAutoHyphens/>
                  <w:rPr>
                    <w:rFonts w:eastAsia="Andale Sans UI" w:cs="Tahoma"/>
                    <w:szCs w:val="24"/>
                    <w:lang w:bidi="en-US"/>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6"/>
                    <w:szCs w:val="26"/>
                    <w:lang w:val="en-US"/>
                  </w:rPr>
                  <w:drawing>
                    <wp:inline distT="0" distB="0" distL="0" distR="0" wp14:anchorId="4D1C2368" wp14:editId="4D1C2369">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 xml:space="preserve">tel. </w:t>
                </w:r>
                <w:r>
                  <w:rPr>
                    <w:rFonts w:ascii="Arial" w:eastAsia="Andale Sans UI" w:hAnsi="Arial" w:cs="Tahoma"/>
                    <w:b/>
                    <w:bCs/>
                    <w:spacing w:val="12"/>
                    <w:sz w:val="14"/>
                    <w:szCs w:val="14"/>
                    <w:lang w:val="en-GB" w:bidi="en-US"/>
                  </w:rPr>
                  <w:t>8 </w:t>
                </w:r>
                <w:r>
                  <w:rPr>
                    <w:rFonts w:ascii="Arial" w:eastAsia="Andale Sans UI" w:hAnsi="Arial" w:cs="Tahoma"/>
                    <w:b/>
                    <w:bCs/>
                    <w:spacing w:val="12"/>
                    <w:sz w:val="14"/>
                    <w:szCs w:val="14"/>
                    <w:lang w:bidi="en-US"/>
                  </w:rPr>
                  <w:t>626</w:t>
                </w:r>
                <w:r>
                  <w:rPr>
                    <w:rFonts w:ascii="Arial" w:eastAsia="Andale Sans UI" w:hAnsi="Arial" w:cs="Tahoma"/>
                    <w:b/>
                    <w:bCs/>
                    <w:spacing w:val="12"/>
                    <w:sz w:val="14"/>
                    <w:szCs w:val="14"/>
                    <w:lang w:val="en-GB" w:bidi="en-US"/>
                  </w:rPr>
                  <w:t xml:space="preserve"> </w:t>
                </w:r>
                <w:r>
                  <w:rPr>
                    <w:rFonts w:ascii="Arial" w:eastAsia="Andale Sans UI" w:hAnsi="Arial" w:cs="Tahoma"/>
                    <w:b/>
                    <w:bCs/>
                    <w:spacing w:val="12"/>
                    <w:sz w:val="14"/>
                    <w:szCs w:val="14"/>
                    <w:lang w:bidi="en-US"/>
                  </w:rPr>
                  <w:t>22252, el. p. info@am.lt, https://am.lrv.lt.</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widowControl w:val="0"/>
                  <w:suppressLineNumbers/>
                  <w:suppressAutoHyphens/>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widowControl w:val="0"/>
                  <w:suppressLineNumbers/>
                  <w:suppressAutoHyphens/>
                  <w:rPr>
                    <w:rFonts w:eastAsia="Andale Sans UI" w:cs="Tahoma"/>
                    <w:spacing w:val="10"/>
                    <w:szCs w:val="24"/>
                    <w:lang w:bidi="en-US"/>
                  </w:rPr>
                </w:pPr>
                <w:r>
                  <w:rPr>
                    <w:rFonts w:eastAsia="Andale Sans UI" w:cs="Tahoma"/>
                    <w:spacing w:val="10"/>
                    <w:szCs w:val="24"/>
                    <w:lang w:bidi="en-US"/>
                  </w:rPr>
                  <w:t>Ekonomikos ir inovacijų ministerijai</w:t>
                </w:r>
              </w:p>
              <w:p>
                <w:pPr>
                  <w:widowControl w:val="0"/>
                  <w:suppressLineNumbers/>
                  <w:suppressAutoHyphens/>
                  <w:rPr>
                    <w:rFonts w:eastAsia="Andale Sans UI" w:cs="Tahoma"/>
                    <w:spacing w:val="10"/>
                    <w:szCs w:val="24"/>
                    <w:lang w:bidi="en-US"/>
                  </w:rPr>
                </w:pPr>
                <w:r>
                  <w:rPr>
                    <w:rFonts w:eastAsia="Andale Sans UI" w:cs="Tahoma"/>
                    <w:spacing w:val="10"/>
                    <w:szCs w:val="24"/>
                    <w:lang w:bidi="en-US"/>
                  </w:rPr>
                  <w:t>Energetikos ministerijai</w:t>
                </w:r>
              </w:p>
              <w:p>
                <w:pPr>
                  <w:widowControl w:val="0"/>
                  <w:suppressLineNumbers/>
                  <w:suppressAutoHyphens/>
                  <w:rPr>
                    <w:rFonts w:eastAsia="Andale Sans UI" w:cs="Tahoma"/>
                    <w:spacing w:val="10"/>
                    <w:szCs w:val="24"/>
                    <w:lang w:bidi="en-US"/>
                  </w:rPr>
                </w:pPr>
                <w:r>
                  <w:rPr>
                    <w:rFonts w:eastAsia="Andale Sans UI" w:cs="Tahoma"/>
                    <w:spacing w:val="10"/>
                    <w:szCs w:val="24"/>
                    <w:lang w:bidi="en-US"/>
                  </w:rPr>
                  <w:t>Finansų ministerijai</w:t>
                </w:r>
              </w:p>
              <w:p>
                <w:pPr>
                  <w:widowControl w:val="0"/>
                  <w:suppressLineNumbers/>
                  <w:suppressAutoHyphens/>
                  <w:rPr>
                    <w:rFonts w:eastAsia="Andale Sans UI" w:cs="Tahoma"/>
                    <w:spacing w:val="10"/>
                    <w:szCs w:val="24"/>
                    <w:lang w:bidi="en-US"/>
                  </w:rPr>
                </w:pPr>
                <w:r>
                  <w:rPr>
                    <w:rFonts w:eastAsia="Andale Sans UI" w:cs="Tahoma"/>
                    <w:spacing w:val="10"/>
                    <w:szCs w:val="24"/>
                    <w:lang w:bidi="en-US"/>
                  </w:rPr>
                  <w:t>Socialinės apsaugos ir darbo ministerijai</w:t>
                </w:r>
              </w:p>
              <w:p>
                <w:pPr>
                  <w:widowControl w:val="0"/>
                  <w:suppressLineNumbers/>
                  <w:suppressAutoHyphens/>
                  <w:rPr>
                    <w:rFonts w:eastAsia="Andale Sans UI" w:cs="Tahoma"/>
                    <w:spacing w:val="10"/>
                    <w:szCs w:val="24"/>
                    <w:lang w:bidi="en-US"/>
                  </w:rPr>
                </w:pPr>
                <w:r>
                  <w:rPr>
                    <w:rFonts w:eastAsia="Andale Sans UI" w:cs="Tahoma"/>
                    <w:spacing w:val="10"/>
                    <w:szCs w:val="24"/>
                    <w:lang w:bidi="en-US"/>
                  </w:rPr>
                  <w:t>Susisiekimo ministerijai</w:t>
                </w:r>
              </w:p>
              <w:p>
                <w:pPr>
                  <w:widowControl w:val="0"/>
                  <w:suppressLineNumbers/>
                  <w:suppressAutoHyphens/>
                  <w:rPr>
                    <w:rFonts w:eastAsia="Andale Sans UI" w:cs="Tahoma"/>
                    <w:spacing w:val="10"/>
                    <w:szCs w:val="24"/>
                    <w:lang w:bidi="en-US"/>
                  </w:rPr>
                </w:pPr>
                <w:r>
                  <w:rPr>
                    <w:rFonts w:eastAsia="Andale Sans UI" w:cs="Tahoma"/>
                    <w:spacing w:val="10"/>
                    <w:szCs w:val="24"/>
                    <w:lang w:bidi="en-US"/>
                  </w:rPr>
                  <w:t>Žemės ūkio ministerijai</w:t>
                </w:r>
              </w:p>
              <w:p>
                <w:pPr>
                  <w:widowControl w:val="0"/>
                  <w:suppressLineNumbers/>
                  <w:suppressAutoHyphens/>
                  <w:rPr>
                    <w:rFonts w:eastAsia="Andale Sans UI" w:cs="Tahoma"/>
                    <w:spacing w:val="10"/>
                    <w:szCs w:val="24"/>
                    <w:lang w:bidi="en-US"/>
                  </w:rPr>
                </w:pPr>
              </w:p>
            </w:tc>
            <w:tc>
              <w:tcPr>
                <w:tcW w:w="282" w:type="dxa"/>
                <w:tcMar>
                  <w:top w:w="0" w:type="dxa"/>
                  <w:left w:w="0" w:type="dxa"/>
                  <w:bottom w:w="0" w:type="dxa"/>
                  <w:right w:w="0" w:type="dxa"/>
                </w:tcMar>
              </w:tcPr>
              <w:p>
                <w:pPr>
                  <w:widowControl w:val="0"/>
                  <w:suppressAutoHyphens/>
                  <w:ind w:right="67"/>
                  <w:jc w:val="right"/>
                  <w:rPr>
                    <w:rFonts w:eastAsia="Andale Sans UI" w:cs="Tahoma"/>
                    <w:spacing w:val="10"/>
                    <w:szCs w:val="24"/>
                    <w:lang w:bidi="en-US"/>
                  </w:rPr>
                </w:pPr>
              </w:p>
            </w:tc>
            <w:tc>
              <w:tcPr>
                <w:tcW w:w="1841" w:type="dxa"/>
                <w:tcMar>
                  <w:top w:w="0" w:type="dxa"/>
                  <w:left w:w="0" w:type="dxa"/>
                  <w:bottom w:w="0" w:type="dxa"/>
                  <w:right w:w="0" w:type="dxa"/>
                </w:tcMar>
              </w:tcPr>
              <w:p>
                <w:pPr>
                  <w:widowControl w:val="0"/>
                  <w:suppressLineNumbers/>
                  <w:suppressAutoHyphens/>
                  <w:ind w:right="67"/>
                  <w:rPr>
                    <w:rFonts w:eastAsia="Andale Sans UI" w:cs="Tahoma"/>
                    <w:szCs w:val="24"/>
                    <w:lang w:bidi="en-US"/>
                  </w:rPr>
                </w:pPr>
                <w:r>
                  <w:rPr>
                    <w:rFonts w:eastAsia="Andale Sans UI" w:cs="Tahoma"/>
                    <w:szCs w:val="24"/>
                    <w:lang w:bidi="en-US"/>
                  </w:rPr>
                  <w:t>2022-</w:t>
                </w:r>
              </w:p>
            </w:tc>
            <w:tc>
              <w:tcPr>
                <w:tcW w:w="565" w:type="dxa"/>
              </w:tcPr>
              <w:p>
                <w:pPr>
                  <w:widowControl w:val="0"/>
                  <w:suppressAutoHyphens/>
                  <w:ind w:right="67"/>
                  <w:rPr>
                    <w:rFonts w:eastAsia="Andale Sans UI" w:cs="Tahoma"/>
                    <w:spacing w:val="10"/>
                    <w:szCs w:val="24"/>
                    <w:lang w:bidi="en-US"/>
                  </w:rPr>
                </w:pPr>
                <w:r>
                  <w:rPr>
                    <w:rFonts w:eastAsia="Andale Sans UI" w:cs="Tahoma"/>
                    <w:spacing w:val="10"/>
                    <w:szCs w:val="24"/>
                    <w:lang w:bidi="en-US"/>
                  </w:rPr>
                  <w:t>Nr.</w:t>
                </w:r>
              </w:p>
            </w:tc>
            <w:tc>
              <w:tcPr>
                <w:tcW w:w="2133" w:type="dxa"/>
              </w:tcPr>
              <w:p>
                <w:pPr>
                  <w:widowControl w:val="0"/>
                  <w:suppressLineNumbers/>
                  <w:suppressAutoHyphens/>
                  <w:ind w:right="67" w:firstLine="629"/>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widowControl w:val="0"/>
                  <w:tabs>
                    <w:tab w:val="left" w:pos="2869"/>
                  </w:tabs>
                  <w:suppressAutoHyphen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widowControl w:val="0"/>
                  <w:suppressLineNumbers/>
                  <w:suppressAutoHyphens/>
                  <w:ind w:right="67"/>
                  <w:rPr>
                    <w:rFonts w:eastAsia="Andale Sans UI" w:cs="Tahoma"/>
                    <w:szCs w:val="24"/>
                    <w:lang w:bidi="en-US"/>
                  </w:rPr>
                </w:pPr>
              </w:p>
            </w:tc>
            <w:tc>
              <w:tcPr>
                <w:tcW w:w="565" w:type="dxa"/>
              </w:tcPr>
              <w:p>
                <w:pPr>
                  <w:widowControl w:val="0"/>
                  <w:tabs>
                    <w:tab w:val="left" w:pos="2869"/>
                  </w:tabs>
                  <w:suppressAutoHyphens/>
                  <w:ind w:right="67"/>
                  <w:jc w:val="right"/>
                  <w:rPr>
                    <w:rFonts w:eastAsia="Andale Sans UI"/>
                    <w:spacing w:val="10"/>
                    <w:szCs w:val="24"/>
                    <w:lang w:bidi="en-US"/>
                  </w:rPr>
                </w:pPr>
                <w:r>
                  <w:rPr>
                    <w:rFonts w:eastAsia="Andale Sans UI"/>
                    <w:spacing w:val="10"/>
                    <w:szCs w:val="24"/>
                    <w:lang w:bidi="en-US"/>
                  </w:rPr>
                  <w:t xml:space="preserve">Nr. </w:t>
                </w:r>
              </w:p>
            </w:tc>
            <w:tc>
              <w:tcPr>
                <w:tcW w:w="2133" w:type="dxa"/>
              </w:tcPr>
              <w:p>
                <w:pPr>
                  <w:widowControl w:val="0"/>
                  <w:suppressLineNumbers/>
                  <w:suppressAutoHyphens/>
                  <w:ind w:right="67"/>
                  <w:rPr>
                    <w:rFonts w:eastAsia="Andale Sans UI"/>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widowControl w:val="0"/>
                  <w:tabs>
                    <w:tab w:val="left" w:pos="2869"/>
                  </w:tabs>
                  <w:suppressAutoHyphens/>
                  <w:ind w:right="67"/>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widowControl w:val="0"/>
                  <w:suppressLineNumbers/>
                  <w:suppressAutoHyphens/>
                  <w:spacing w:line="276" w:lineRule="auto"/>
                  <w:jc w:val="both"/>
                  <w:rPr>
                    <w:rFonts w:eastAsia="Andale Sans UI" w:cs="Tahoma"/>
                    <w:b/>
                    <w:bCs/>
                    <w:szCs w:val="24"/>
                    <w:lang w:bidi="en-US"/>
                  </w:rPr>
                </w:pPr>
                <w:r>
                  <w:rPr>
                    <w:rFonts w:eastAsia="Andale Sans UI" w:cs="Tahoma"/>
                    <w:b/>
                    <w:bCs/>
                    <w:szCs w:val="24"/>
                    <w:lang w:bidi="en-US"/>
                  </w:rPr>
                  <w:t>DĖL ĮSAKYMO PROJEKTO DERINIMO</w:t>
                </w:r>
              </w:p>
              <w:p>
                <w:pPr>
                  <w:widowControl w:val="0"/>
                  <w:suppressLineNumbers/>
                  <w:suppressAutoHyphens/>
                  <w:spacing w:line="276" w:lineRule="auto"/>
                  <w:jc w:val="both"/>
                  <w:rPr>
                    <w:rFonts w:eastAsia="Andale Sans UI" w:cs="Tahoma"/>
                    <w:b/>
                    <w:bCs/>
                    <w:szCs w:val="24"/>
                    <w:lang w:bidi="en-US"/>
                  </w:rPr>
                </w:pPr>
              </w:p>
              <w:p>
                <w:pPr>
                  <w:widowControl w:val="0"/>
                  <w:suppressAutoHyphens/>
                  <w:spacing w:line="360" w:lineRule="auto"/>
                  <w:ind w:firstLine="791"/>
                  <w:jc w:val="both"/>
                  <w:rPr>
                    <w:szCs w:val="24"/>
                    <w:lang w:val="en-US"/>
                  </w:rPr>
                </w:pPr>
                <w:r>
                  <w:rPr>
                    <w:rFonts w:eastAsia="Andale Sans UI" w:cs="Tahoma"/>
                    <w:color w:val="000000"/>
                    <w:szCs w:val="24"/>
                    <w:lang w:bidi="en-US"/>
                  </w:rPr>
                  <w:t xml:space="preserve">Lietuvos Respublikos aplinkos ministerija vadovaudamasi Strateginio valdymo metodikos, </w:t>
                </w:r>
                <w:r>
                  <w:t xml:space="preserve">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141 straipsnio 3 dalies įgyvendinimo“, 87 punktu, </w:t>
                </w:r>
                <w:r>
                  <w:rPr>
                    <w:szCs w:val="24"/>
                  </w:rPr>
                  <w:t>parengė ir teikia išvadoms gauti Lietuvos Respublikos aplinkos ministro įsakymo projektą „Dėl 2022–2030 metų plėtros programos valdytojos Lietuvos Respublikos aplinkos ministerijos </w:t>
                </w:r>
                <w:r>
                  <w:rPr>
                    <w:szCs w:val="24"/>
                    <w:lang w:val="en-US"/>
                  </w:rPr>
                  <w:t>  </w:t>
                </w:r>
                <w:r>
                  <w:rPr>
                    <w:szCs w:val="24"/>
                  </w:rPr>
                  <w:t>aplinkos apsaugos ir klimato kaitos valdymo plėtros programos pažangos priemonės</w:t>
                </w:r>
                <w:r>
                  <w:rPr>
                    <w:szCs w:val="24"/>
                    <w:lang w:val="en-US"/>
                  </w:rPr>
                  <w:t xml:space="preserve">  </w:t>
                </w:r>
                <w:r>
                  <w:rPr>
                    <w:szCs w:val="24"/>
                  </w:rPr>
                  <w:t>Nr.02-001-06-04-02 „Didinti klimato kaitos politikos veiksmingumą“ aprašo</w:t>
                </w:r>
                <w:r>
                  <w:rPr>
                    <w:szCs w:val="24"/>
                    <w:lang w:val="en-US"/>
                  </w:rPr>
                  <w:t> </w:t>
                </w:r>
                <w:r>
                  <w:rPr>
                    <w:szCs w:val="24"/>
                    <w:lang w:val="en-GB"/>
                  </w:rPr>
                  <w:t>patvirtinimo” (toliau – projektas).</w:t>
                </w:r>
                <w:r>
                  <w:rPr>
                    <w:szCs w:val="24"/>
                    <w:lang w:val="en-US"/>
                  </w:rPr>
                  <w:t xml:space="preserve"> </w:t>
                </w:r>
              </w:p>
              <w:p>
                <w:pPr>
                  <w:widowControl w:val="0"/>
                  <w:suppressAutoHyphens/>
                  <w:spacing w:line="360" w:lineRule="auto"/>
                  <w:ind w:firstLine="791"/>
                  <w:jc w:val="both"/>
                  <w:rPr>
                    <w:szCs w:val="24"/>
                  </w:rPr>
                </w:pPr>
                <w:r>
                  <w:rPr>
                    <w:szCs w:val="24"/>
                  </w:rPr>
                  <w:t xml:space="preserve">Projektu yra tvirtinamas </w:t>
                </w:r>
                <w:r>
                  <w:rPr>
                    <w:rFonts w:eastAsia="Andale Sans UI" w:cs="Tahoma"/>
                    <w:color w:val="000000"/>
                    <w:szCs w:val="24"/>
                    <w:lang w:bidi="en-US"/>
                  </w:rPr>
                  <w:t>2</w:t>
                </w:r>
                <w:r>
                  <w:rPr>
                    <w:rFonts w:eastAsia="Andale Sans UI" w:cs="Tahoma"/>
                    <w:color w:val="000000"/>
                    <w:szCs w:val="24"/>
                    <w:lang w:val="en-GB" w:bidi="en-US"/>
                  </w:rPr>
                  <w:t>022–2030 metų plėtros programos valdytojos Lietuvos Respublikos aplinkos ministerijos aplinkos apsaugos ir klimato kaitos valdymo plėtros programos</w:t>
                </w:r>
                <w:r>
                  <w:rPr>
                    <w:rFonts w:eastAsia="Andale Sans UI" w:cs="Tahoma"/>
                    <w:color w:val="000000"/>
                    <w:szCs w:val="24"/>
                    <w:lang w:bidi="en-US"/>
                  </w:rPr>
                  <w:t xml:space="preserve">, patvirtintos Lietuvos Respublikos Vyriausybės 2022 m. kovo 30 d. nutarimu Nr. 318 „Dėl </w:t>
                </w:r>
                <w:r>
                  <w:rPr>
                    <w:rFonts w:eastAsia="Andale Sans UI" w:cs="Tahoma"/>
                    <w:color w:val="000000"/>
                    <w:szCs w:val="24"/>
                    <w:lang w:val="en-GB" w:bidi="en-US"/>
                  </w:rPr>
                  <w:t>2022–2030 metų plėtros programos valdytojos Lietuvos Respublikos aplinkos ministerijos aplinkos apsaugos ir klimato kaitos valdymo plėtros programą</w:t>
                </w:r>
                <w:r>
                  <w:rPr>
                    <w:rFonts w:eastAsia="Andale Sans UI" w:cs="Tahoma"/>
                    <w:color w:val="000000"/>
                    <w:szCs w:val="24"/>
                    <w:lang w:bidi="en-US"/>
                  </w:rPr>
                  <w:t xml:space="preserve"> patvirtinimo“ pažangos priemonės Nr. 02-001-06-04-02 „Didinti klimato kaitos politikos veiksmingumą</w:t>
                </w:r>
                <w:r>
                  <w:rPr>
                    <w:rFonts w:eastAsia="Andale Sans UI" w:cs="Tahoma"/>
                    <w:b/>
                    <w:bCs/>
                    <w:color w:val="000000"/>
                    <w:szCs w:val="24"/>
                    <w:lang w:bidi="en-US"/>
                  </w:rPr>
                  <w:t xml:space="preserve">“ </w:t>
                </w:r>
                <w:r>
                  <w:rPr>
                    <w:rFonts w:eastAsia="Andale Sans UI" w:cs="Tahoma"/>
                    <w:color w:val="000000"/>
                    <w:szCs w:val="24"/>
                    <w:lang w:bidi="en-US"/>
                  </w:rPr>
                  <w:t>aprašas, kuriame nurodomi p</w:t>
                </w:r>
                <w:r>
                  <w:rPr>
                    <w:rFonts w:eastAsia="Andale Sans UI" w:cs="Tahoma"/>
                    <w:color w:val="000000"/>
                    <w:szCs w:val="24"/>
                    <w:bdr w:val="none" w:sz="0" w:space="0" w:color="auto" w:frame="1"/>
                    <w:lang w:bidi="en-US"/>
                  </w:rPr>
                  <w:t>lėtros programos pažangos priemonės siekiami rezultatai, finansavimo apimtis, šaltiniai ir veiklų suvestinė.</w:t>
                </w:r>
              </w:p>
              <w:p>
                <w:pPr>
                  <w:widowControl w:val="0"/>
                  <w:suppressAutoHyphens/>
                  <w:spacing w:line="360" w:lineRule="auto"/>
                  <w:ind w:firstLine="791"/>
                  <w:jc w:val="both"/>
                  <w:rPr>
                    <w:rFonts w:eastAsia="Andale Sans UI" w:cs="Tahoma"/>
                    <w:iCs/>
                    <w:szCs w:val="24"/>
                    <w:lang w:bidi="en-US"/>
                  </w:rPr>
                </w:pPr>
                <w:r>
                  <w:rPr>
                    <w:rFonts w:eastAsia="Andale Sans UI" w:cs="Tahoma"/>
                    <w:szCs w:val="24"/>
                    <w:lang w:bidi="en-US"/>
                  </w:rPr>
                  <w:t>Projekto</w:t>
                </w:r>
                <w:r>
                  <w:rPr>
                    <w:rFonts w:eastAsia="Andale Sans UI" w:cs="Tahoma"/>
                    <w:iCs/>
                    <w:szCs w:val="24"/>
                    <w:lang w:bidi="en-US"/>
                  </w:rPr>
                  <w:t xml:space="preserve"> tikslas – skirti Klimato kaitos programos ir kitas valstybės biudžeto lėšas šiltnamio efektą sukeliančių dujų (toliau – ŠESD) kiekiui mažinti finansuojant investicinius ir komunikacinius projektus pagal patvirtintą 2022-2025 m. Klimato kaitos programos investicijų planą, patvirtintą Lietuvos Respublikos Vyriausybės 2022 m. balandžio 20 d. nutarimu Nr. 383 „Dėl 2022–2025 m. Klimato kaitos programos investicijų plano patvirtinimo“. Taip pat </w:t>
                </w:r>
                <w:r>
                  <w:rPr>
                    <w:szCs w:val="24"/>
                  </w:rPr>
                  <w:t xml:space="preserve">vadovaujantis rengiamais Lietuvos Respublikos Valstybės biudžeto finansinių rodiklių patvirtinimo įstatymo pakeitimais (įstatymo nuostata „išlaidoms leidžiamai valstybės pagalbai verslui pagal Europos Komisijos komunikatą „Laikinoji valstybės pagalbos priemonių, skirtų ekonomikai remti krizės sąlygomis reaguojant į Rusijos agresiją prieš Ukrainą, sistema“ (2022/C 131 I/01) apmokėti“) </w:t>
                </w:r>
                <w:r>
                  <w:rPr>
                    <w:rFonts w:eastAsia="Andale Sans UI" w:cs="Tahoma"/>
                    <w:iCs/>
                    <w:szCs w:val="24"/>
                    <w:lang w:bidi="en-US"/>
                  </w:rPr>
                  <w:t xml:space="preserve">projekte įtraukiama investicinė </w:t>
                </w:r>
                <w:r>
                  <w:rPr>
                    <w:szCs w:val="24"/>
                  </w:rPr>
                  <w:t>veikla „Juridinių asmenų investicijoms į gamtinių dujų naudojimo mažinimą ir (ar) atsinaujinančių energijos išteklių panaudojimą“ (80 mln. Eur), kurios tikslas finansuoti įmonių konversiją iš taršaus iškastinio kuro naudojimo į atsinaujinančius energijos išteklius – tokiu būdu bus mažinama priklausomybė nuo iškastinio kuro, siekiama ŠESD mažinimo tikslų ir mažinama finansinė našta dėl išaugusių energijos kainų.</w:t>
                </w:r>
              </w:p>
              <w:p>
                <w:pPr>
                  <w:widowControl w:val="0"/>
                  <w:suppressAutoHyphens/>
                  <w:spacing w:line="360" w:lineRule="auto"/>
                  <w:ind w:firstLine="853"/>
                  <w:jc w:val="both"/>
                  <w:rPr>
                    <w:iCs/>
                    <w:szCs w:val="24"/>
                    <w:lang w:val="en-US"/>
                  </w:rPr>
                </w:pPr>
                <w:r>
                  <w:rPr>
                    <w:iCs/>
                    <w:szCs w:val="24"/>
                  </w:rPr>
                  <w:t>Projektas neperkelia ir neįgyvendina Europos Sąjungos teisės aktų. Teisės aktui į teisės sistemą įtraukti nereikės priimti kitų teisės aktų.</w:t>
                </w:r>
                <w:r>
                  <w:rPr>
                    <w:iCs/>
                    <w:szCs w:val="24"/>
                    <w:lang w:val="en-US"/>
                  </w:rPr>
                  <w:t> </w:t>
                </w:r>
              </w:p>
              <w:p>
                <w:pPr>
                  <w:widowControl w:val="0"/>
                  <w:suppressAutoHyphens/>
                  <w:spacing w:line="360" w:lineRule="auto"/>
                  <w:ind w:firstLine="791"/>
                  <w:jc w:val="both"/>
                  <w:rPr>
                    <w:iCs/>
                    <w:szCs w:val="24"/>
                  </w:rPr>
                </w:pPr>
                <w:r>
                  <w:rPr>
                    <w:iCs/>
                    <w:szCs w:val="24"/>
                  </w:rPr>
                  <w:t xml:space="preserve">Projektas atitinka Lietuvos Respublikos valstybinės kalbos, Lietuvos Respublikos teisėkūros pagrindų įstatymų reikalavimus. Projekte nepateikiama naujų sąvokų ir sąvokas įvardijančių terminų, todėl projektas nevertintinas Lietuvos Respublikos terminų banko įstatymo ir jo įgyvendinamųjų teisės aktų nustatyta tvarka. </w:t>
                </w:r>
              </w:p>
              <w:p>
                <w:pPr>
                  <w:widowControl w:val="0"/>
                  <w:suppressAutoHyphens/>
                  <w:spacing w:line="360" w:lineRule="auto"/>
                  <w:ind w:firstLine="791"/>
                  <w:jc w:val="both"/>
                  <w:rPr>
                    <w:iCs/>
                    <w:szCs w:val="24"/>
                  </w:rPr>
                </w:pPr>
                <w:r>
                  <w:rPr>
                    <w:iCs/>
                    <w:szCs w:val="24"/>
                  </w:rPr>
                  <w:t>Vadovaujantis Numatomo teisinio reguliavimo poveikio metodikos vertinimo 4 punktu, numatomo teisinio reguliavimo poveikio vertinimas neatliekamas, antikorupcinis vertinimas neatliekamas.</w:t>
                </w:r>
              </w:p>
              <w:p>
                <w:pPr>
                  <w:widowControl w:val="0"/>
                  <w:suppressAutoHyphens/>
                  <w:spacing w:line="360" w:lineRule="auto"/>
                  <w:ind w:firstLine="791"/>
                  <w:jc w:val="both"/>
                  <w:rPr>
                    <w:iCs/>
                    <w:szCs w:val="24"/>
                    <w:lang w:val="en-US"/>
                  </w:rPr>
                </w:pPr>
                <w:r>
                  <w:rPr>
                    <w:iCs/>
                    <w:szCs w:val="24"/>
                  </w:rPr>
                  <w:t xml:space="preserve">Projektas skelbiamas Lietuvos Respublikos Seimo kanceliarijos teisės aktų informacinėje sistemoje (TAIS), kur su </w:t>
                </w:r>
                <w:r>
                  <w:rPr>
                    <w:szCs w:val="24"/>
                  </w:rPr>
                  <w:t>projektu</w:t>
                </w:r>
                <w:r>
                  <w:rPr>
                    <w:iCs/>
                    <w:szCs w:val="24"/>
                  </w:rPr>
                  <w:t xml:space="preserve"> gali susipažinti suinteresuotos institucijos ir visuomenė. </w:t>
                </w:r>
              </w:p>
              <w:p>
                <w:pPr>
                  <w:widowControl w:val="0"/>
                  <w:suppressAutoHyphens/>
                  <w:spacing w:line="360" w:lineRule="auto"/>
                  <w:ind w:firstLine="791"/>
                  <w:jc w:val="both"/>
                  <w:rPr>
                    <w:iCs/>
                    <w:szCs w:val="24"/>
                  </w:rPr>
                </w:pPr>
                <w:r>
                  <w:rPr>
                    <w:iCs/>
                    <w:szCs w:val="24"/>
                  </w:rPr>
                  <w:t xml:space="preserve">Prašome išvadas dėl </w:t>
                </w:r>
                <w:r>
                  <w:rPr>
                    <w:szCs w:val="24"/>
                  </w:rPr>
                  <w:t>projekto</w:t>
                </w:r>
                <w:r>
                  <w:rPr>
                    <w:iCs/>
                    <w:szCs w:val="24"/>
                  </w:rPr>
                  <w:t xml:space="preserve"> pateikti per 10 darbo dienų nuo jo paskelbimo TAIS. Negavus argumentuotų pastabų ir pasiūlymų iki nurodyto laiko, bus laikoma, kad projektui pritarta.</w:t>
                </w:r>
              </w:p>
              <w:p>
                <w:pPr>
                  <w:widowControl w:val="0"/>
                  <w:suppressAutoHyphens/>
                  <w:spacing w:line="360" w:lineRule="auto"/>
                  <w:ind w:firstLine="791"/>
                  <w:rPr>
                    <w:iCs/>
                    <w:szCs w:val="24"/>
                  </w:rPr>
                </w:pPr>
                <w:r>
                  <w:rPr>
                    <w:iCs/>
                    <w:szCs w:val="24"/>
                  </w:rPr>
                  <w:t xml:space="preserve">Projektą parengė Aplinkos ministerijos Klimato politikos grupės (patarėja, vykdanti grupės vadovės funkcijas, Judita Liukaitytė-Kukienė, tel. 8 686 17484, </w:t>
                </w:r>
                <w:r>
                  <w:rPr>
                    <w:szCs w:val="24"/>
                  </w:rPr>
                  <w:t>judita.liukaityte@am.lt),</w:t>
                </w:r>
                <w:r>
                  <w:rPr>
                    <w:szCs w:val="24"/>
                  </w:rPr>
                  <w:t xml:space="preserve"> </w:t>
                </w:r>
                <w:r>
                  <w:rPr>
                    <w:iCs/>
                    <w:szCs w:val="24"/>
                  </w:rPr>
                  <w:t xml:space="preserve">patarėja Lina Čeičytė (tel. 8 682 23663, </w:t>
                </w:r>
                <w:r>
                  <w:rPr>
                    <w:iCs/>
                    <w:szCs w:val="24"/>
                    <w:u w:val="single"/>
                  </w:rPr>
                  <w:t>lina.ceicyte@am.lt</w:t>
                </w:r>
                <w:r>
                  <w:rPr>
                    <w:iCs/>
                    <w:szCs w:val="24"/>
                  </w:rPr>
                  <w:t>).</w:t>
                </w:r>
              </w:p>
              <w:p>
                <w:pPr>
                  <w:tabs>
                    <w:tab w:val="left" w:pos="366"/>
                  </w:tabs>
                  <w:ind w:firstLine="791"/>
                  <w:rPr>
                    <w:bCs/>
                    <w:color w:val="000000"/>
                    <w:szCs w:val="24"/>
                    <w:lang w:val="en-US" w:eastAsia="lt-LT"/>
                  </w:rPr>
                </w:pPr>
                <w:r>
                  <w:rPr>
                    <w:bCs/>
                    <w:color w:val="000000"/>
                    <w:szCs w:val="24"/>
                    <w:lang w:val="en-US" w:eastAsia="lt-LT"/>
                  </w:rPr>
                  <w:t xml:space="preserve">PRIDEDAMA: </w:t>
                </w:r>
              </w:p>
              <w:p>
                <w:pPr>
                  <w:ind w:firstLine="933"/>
                  <w:jc w:val="both"/>
                  <w:rPr>
                    <w:bCs/>
                    <w:color w:val="000000"/>
                    <w:szCs w:val="24"/>
                    <w:lang w:val="en-US" w:eastAsia="lt-LT"/>
                  </w:rPr>
                </w:pPr>
                <w:r>
                  <w:rPr>
                    <w:bCs/>
                    <w:color w:val="000000"/>
                    <w:szCs w:val="24"/>
                    <w:lang w:val="en-US" w:eastAsia="lt-LT"/>
                  </w:rPr>
                  <w:t>1.</w:t>
                  <w:tab/>
                </w:r>
                <w:r>
                  <w:rPr>
                    <w:color w:val="000000"/>
                    <w:szCs w:val="24"/>
                    <w:lang w:val="en-US" w:eastAsia="lt-LT"/>
                  </w:rPr>
                  <w:t>Įsakymo projektas, 1 lapas.</w:t>
                </w:r>
              </w:p>
              <w:p>
                <w:pPr>
                  <w:ind w:firstLine="933"/>
                  <w:jc w:val="both"/>
                  <w:rPr>
                    <w:bCs/>
                    <w:color w:val="000000"/>
                    <w:szCs w:val="24"/>
                    <w:lang w:val="en-US" w:eastAsia="lt-LT"/>
                  </w:rPr>
                </w:pPr>
                <w:r>
                  <w:rPr>
                    <w:bCs/>
                    <w:color w:val="000000"/>
                    <w:szCs w:val="24"/>
                    <w:lang w:val="en-US" w:eastAsia="lt-LT"/>
                  </w:rPr>
                  <w:t>2.</w:t>
                  <w:tab/>
                  <w:t xml:space="preserve">2022–2030 metų plėtros programos valdytojos Lietuvos Respublikos aplinkos </w:t>
                </w:r>
                <w:r>
                  <w:rPr>
                    <w:color w:val="000000"/>
                    <w:szCs w:val="24"/>
                    <w:lang w:val="en-US" w:eastAsia="lt-LT"/>
                  </w:rPr>
                  <w:t>ministerijos </w:t>
                </w:r>
                <w:r>
                  <w:rPr>
                    <w:bCs/>
                    <w:color w:val="000000"/>
                    <w:szCs w:val="24"/>
                    <w:lang w:val="en-US" w:eastAsia="lt-LT"/>
                  </w:rPr>
                  <w:t xml:space="preserve"> aplinkos apsaugos ir klimato kaitos valdymo plėtros programos pažangos priemonės Nr. 02-001-06-04-02 „Didinti klimato kaitos politikos veiksmingumą“ aprašas, 10 lapų.</w:t>
                </w:r>
              </w:p>
              <w:p>
                <w:pPr>
                  <w:ind w:firstLine="933"/>
                  <w:jc w:val="both"/>
                  <w:rPr>
                    <w:color w:val="000000"/>
                    <w:szCs w:val="24"/>
                    <w:lang w:val="en-US" w:eastAsia="lt-LT"/>
                  </w:rPr>
                </w:pPr>
                <w:r>
                  <w:rPr>
                    <w:color w:val="000000"/>
                    <w:szCs w:val="24"/>
                    <w:lang w:val="en-US" w:eastAsia="lt-LT"/>
                  </w:rPr>
                  <w:t>3.</w:t>
                  <w:tab/>
                </w:r>
                <w:r>
                  <w:rPr>
                    <w:color w:val="000000"/>
                    <w:szCs w:val="24"/>
                    <w:lang w:eastAsia="lt-LT"/>
                  </w:rPr>
                  <w:t>Plėtros programos pažangos priemonės apraše nurodytos informacijos pagrindimo aprašas, 7 lapai. </w:t>
                </w:r>
              </w:p>
              <w:p>
                <w:pPr>
                  <w:ind w:firstLine="933"/>
                  <w:jc w:val="both"/>
                  <w:rPr>
                    <w:color w:val="000000"/>
                    <w:szCs w:val="24"/>
                    <w:lang w:val="en-US" w:eastAsia="lt-LT"/>
                  </w:rPr>
                </w:pPr>
                <w:r>
                  <w:rPr>
                    <w:color w:val="000000"/>
                    <w:szCs w:val="24"/>
                    <w:lang w:val="en-US" w:eastAsia="lt-LT"/>
                  </w:rPr>
                  <w:t>4.</w:t>
                  <w:tab/>
                  <w:t>Skaičiuoklė, 10 lapų.</w:t>
                </w:r>
              </w:p>
              <w:p>
                <w:pPr>
                  <w:ind w:firstLine="649"/>
                  <w:jc w:val="both"/>
                  <w:rPr>
                    <w:szCs w:val="24"/>
                  </w:rPr>
                </w:pPr>
              </w:p>
              <w:p>
                <w:pPr>
                  <w:jc w:val="both"/>
                  <w:rPr>
                    <w:rFonts w:eastAsia="Andale Sans UI" w:cs="Tahoma"/>
                    <w:bCs/>
                    <w:szCs w:val="24"/>
                    <w:lang w:bidi="en-US"/>
                  </w:rPr>
                </w:pPr>
              </w:p>
            </w:tc>
          </w:tr>
        </w:tbl>
        <w:sdt>
          <w:sdtPr>
            <w:alias w:val="signatura"/>
            <w:tag w:val="part_de390987bfad4594988c705d44b1f1f1"/>
            <w:lock w:val="sdtLocked"/>
            <w:richText/>
          </w:sdtPr>
          <w:sdtContent>
            <w:p>
              <w:pPr>
                <w:widowControl w:val="0"/>
                <w:suppressLineNumbers/>
                <w:suppressAutoHyphens/>
                <w:rPr>
                  <w:rFonts w:eastAsia="Andale Sans UI" w:cs="Tahoma"/>
                  <w:szCs w:val="24"/>
                  <w:lang w:bidi="en-US"/>
                </w:rPr>
              </w:pPr>
              <w:r>
                <w:rPr>
                  <w:rFonts w:eastAsia="Andale Sans UI" w:cs="Tahoma"/>
                  <w:szCs w:val="24"/>
                  <w:lang w:bidi="en-US"/>
                </w:rPr>
                <w:t xml:space="preserve">Aplinkos viceministrė                                                                                               Gintarė Krušnienė</w:t>
              </w:r>
            </w:p>
            <w:p>
              <w:pPr>
                <w:widowControl w:val="0"/>
                <w:suppressLineNumbers/>
                <w:suppressAutoHyphens/>
                <w:rPr>
                  <w:rFonts w:eastAsia="Andale Sans UI" w:cs="Tahoma"/>
                  <w:szCs w:val="24"/>
                  <w:lang w:bidi="en-US"/>
                </w:rPr>
              </w:pPr>
            </w:p>
            <w:p>
              <w:pPr>
                <w:widowControl w:val="0"/>
                <w:suppressLineNumbers/>
                <w:suppressAutoHyphens/>
                <w:rPr>
                  <w:rFonts w:eastAsia="Andale Sans UI" w:cs="Tahoma"/>
                  <w:szCs w:val="24"/>
                  <w:lang w:bidi="en-US"/>
                </w:rPr>
              </w:pPr>
            </w:p>
            <w:p>
              <w:pPr>
                <w:widowControl w:val="0"/>
                <w:suppressLineNumbers/>
                <w:suppressAutoHyphens/>
                <w:rPr>
                  <w:rFonts w:eastAsia="Andale Sans UI" w:cs="Tahoma"/>
                  <w:szCs w:val="24"/>
                  <w:lang w:bidi="en-US"/>
                </w:rPr>
              </w:pPr>
            </w:p>
            <w:p>
              <w:pPr>
                <w:widowControl w:val="0"/>
                <w:suppressLineNumbers/>
                <w:suppressAutoHyphens/>
                <w:rPr>
                  <w:rFonts w:eastAsia="Andale Sans UI" w:cs="Tahoma"/>
                  <w:szCs w:val="24"/>
                  <w:lang w:bidi="en-US"/>
                </w:rPr>
              </w:pPr>
            </w:p>
            <w:p>
              <w:pPr>
                <w:widowControl w:val="0"/>
                <w:suppressLineNumbers/>
                <w:suppressAutoHyphens/>
                <w:rPr>
                  <w:rFonts w:eastAsia="Andale Sans UI" w:cs="Tahoma"/>
                  <w:szCs w:val="24"/>
                  <w:lang w:bidi="en-US"/>
                </w:rPr>
              </w:pPr>
            </w:p>
            <w:p>
              <w:pPr>
                <w:widowControl w:val="0"/>
                <w:suppressLineNumbers/>
                <w:suppressAutoHyphens/>
                <w:rPr>
                  <w:rFonts w:eastAsia="Andale Sans UI" w:cs="Tahoma"/>
                  <w:szCs w:val="24"/>
                  <w:lang w:bidi="en-US"/>
                </w:rPr>
              </w:pPr>
            </w:p>
            <w:p>
              <w:pPr>
                <w:widowControl w:val="0"/>
                <w:suppressLineNumbers/>
                <w:suppressAutoHyphens/>
                <w:rPr>
                  <w:rFonts w:eastAsia="Andale Sans UI" w:cs="Tahoma"/>
                  <w:szCs w:val="24"/>
                  <w:lang w:bidi="en-US"/>
                </w:rPr>
              </w:pPr>
            </w:p>
            <w:p>
              <w:pPr>
                <w:widowControl w:val="0"/>
                <w:suppressLineNumbers/>
                <w:suppressAutoHyphens/>
                <w:rPr>
                  <w:rFonts w:eastAsia="Andale Sans UI" w:cs="Tahoma"/>
                  <w:szCs w:val="24"/>
                  <w:lang w:bidi="en-US"/>
                </w:rPr>
              </w:pPr>
            </w:p>
            <w:p>
              <w:pPr>
                <w:widowControl w:val="0"/>
                <w:suppressAutoHyphens/>
                <w:jc w:val="both"/>
                <w:rPr>
                  <w:rFonts w:eastAsia="Andale Sans UI" w:cs="Tahoma"/>
                  <w:szCs w:val="24"/>
                  <w:lang w:bidi="en-US"/>
                </w:rPr>
              </w:pPr>
              <w:r>
                <w:rPr>
                  <w:rFonts w:eastAsia="Andale Sans UI" w:cs="Tahoma"/>
                  <w:szCs w:val="24"/>
                  <w:lang w:bidi="en-US"/>
                </w:rPr>
                <w:t xml:space="preserve">L. Čeičytė, 8-682 23663, el. p. </w:t>
              </w:r>
              <w:r>
                <w:rPr>
                  <w:rFonts w:eastAsia="Andale Sans UI" w:cs="Tahoma"/>
                  <w:color w:val="000080"/>
                  <w:szCs w:val="24"/>
                  <w:u w:val="single"/>
                  <w:lang w:bidi="en-US"/>
                </w:rPr>
                <w:t>lina.ceicyte@am.lt</w:t>
              </w:r>
            </w:p>
            <w:p>
              <w:pPr>
                <w:widowControl w:val="0"/>
                <w:suppressAutoHyphens/>
                <w:ind w:firstLine="720"/>
                <w:jc w:val="both"/>
                <w:rPr>
                  <w:rFonts w:eastAsia="Andale Sans UI" w:cs="Tahoma"/>
                  <w:szCs w:val="24"/>
                  <w:lang w:bidi="en-US"/>
                </w:rPr>
              </w:pPr>
            </w:p>
          </w:sdtContent>
        </w:sdt>
      </w:sdtContent>
    </w:sdt>
    <w:sectPr>
      <w:headerReference w:type="even" r:id="rId13"/>
      <w:headerReference w:type="default" r:id="rId14"/>
      <w:footerReference w:type="even" r:id="rId15"/>
      <w:footerReference w:type="default" r:id="rId16"/>
      <w:headerReference w:type="first" r:id="rId17"/>
      <w:footerReference w:type="first" r:id="rId18"/>
      <w:footnotePr>
        <w:pos w:val="beneathText"/>
        <w:numRestart w:val="eachPage"/>
      </w:footnotePr>
      <w:endnotePr>
        <w:numFmt w:val="decimal"/>
      </w:endnotePr>
      <w:pgSz w:w="11905" w:h="16837"/>
      <w:pgMar w:top="671" w:right="567" w:bottom="1089" w:left="1701" w:header="567" w:footer="230"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Andale Sans UI" w:cs="Tahoma"/>
          <w:szCs w:val="24"/>
          <w:lang w:bidi="en-US"/>
        </w:rPr>
      </w:pPr>
      <w:r>
        <w:rPr>
          <w:rFonts w:eastAsia="Andale Sans UI" w:cs="Tahoma"/>
          <w:szCs w:val="24"/>
          <w:lang w:bidi="en-US"/>
        </w:rPr>
        <w:separator/>
      </w:r>
    </w:p>
  </w:endnote>
  <w:end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eastAsia="Andale Sans UI" w:cs="Tahoma"/>
        <w:szCs w:val="24"/>
        <w:lang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Andale Sans UI" w:cs="Tahoma"/>
          <w:szCs w:val="24"/>
          <w:lang w:bidi="en-US"/>
        </w:rPr>
      </w:pPr>
      <w:r>
        <w:rPr>
          <w:rFonts w:eastAsia="Andale Sans UI" w:cs="Tahoma"/>
          <w:szCs w:val="24"/>
          <w:lang w:bidi="en-US"/>
        </w:rPr>
        <w:separator/>
      </w:r>
    </w:p>
  </w:footnote>
  <w:foot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B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401682">
      <w:bodyDiv w:val="1"/>
      <w:marLeft w:val="0"/>
      <w:marRight w:val="0"/>
      <w:marTop w:val="0"/>
      <w:marBottom w:val="0"/>
      <w:divBdr>
        <w:top w:val="none" w:sz="0" w:space="0" w:color="auto"/>
        <w:left w:val="none" w:sz="0" w:space="0" w:color="auto"/>
        <w:bottom w:val="none" w:sz="0" w:space="0" w:color="auto"/>
        <w:right w:val="none" w:sz="0" w:space="0" w:color="auto"/>
      </w:divBdr>
      <w:divsChild>
        <w:div w:id="234367102">
          <w:marLeft w:val="0"/>
          <w:marRight w:val="0"/>
          <w:marTop w:val="0"/>
          <w:marBottom w:val="0"/>
          <w:divBdr>
            <w:top w:val="none" w:sz="0" w:space="0" w:color="auto"/>
            <w:left w:val="none" w:sz="0" w:space="0" w:color="auto"/>
            <w:bottom w:val="none" w:sz="0" w:space="0" w:color="auto"/>
            <w:right w:val="none" w:sz="0" w:space="0" w:color="auto"/>
          </w:divBdr>
        </w:div>
        <w:div w:id="536158320">
          <w:marLeft w:val="0"/>
          <w:marRight w:val="0"/>
          <w:marTop w:val="0"/>
          <w:marBottom w:val="0"/>
          <w:divBdr>
            <w:top w:val="none" w:sz="0" w:space="0" w:color="auto"/>
            <w:left w:val="none" w:sz="0" w:space="0" w:color="auto"/>
            <w:bottom w:val="none" w:sz="0" w:space="0" w:color="auto"/>
            <w:right w:val="none" w:sz="0" w:space="0" w:color="auto"/>
          </w:divBdr>
        </w:div>
        <w:div w:id="1853495005">
          <w:marLeft w:val="0"/>
          <w:marRight w:val="0"/>
          <w:marTop w:val="0"/>
          <w:marBottom w:val="0"/>
          <w:divBdr>
            <w:top w:val="none" w:sz="0" w:space="0" w:color="auto"/>
            <w:left w:val="none" w:sz="0" w:space="0" w:color="auto"/>
            <w:bottom w:val="none" w:sz="0" w:space="0" w:color="auto"/>
            <w:right w:val="none" w:sz="0" w:space="0" w:color="auto"/>
          </w:divBdr>
        </w:div>
      </w:divsChild>
    </w:div>
    <w:div w:id="220948043">
      <w:bodyDiv w:val="1"/>
      <w:marLeft w:val="0"/>
      <w:marRight w:val="0"/>
      <w:marTop w:val="0"/>
      <w:marBottom w:val="0"/>
      <w:divBdr>
        <w:top w:val="none" w:sz="0" w:space="0" w:color="auto"/>
        <w:left w:val="none" w:sz="0" w:space="0" w:color="auto"/>
        <w:bottom w:val="none" w:sz="0" w:space="0" w:color="auto"/>
        <w:right w:val="none" w:sz="0" w:space="0" w:color="auto"/>
      </w:divBdr>
    </w:div>
    <w:div w:id="257448070">
      <w:bodyDiv w:val="1"/>
      <w:marLeft w:val="0"/>
      <w:marRight w:val="0"/>
      <w:marTop w:val="0"/>
      <w:marBottom w:val="0"/>
      <w:divBdr>
        <w:top w:val="none" w:sz="0" w:space="0" w:color="auto"/>
        <w:left w:val="none" w:sz="0" w:space="0" w:color="auto"/>
        <w:bottom w:val="none" w:sz="0" w:space="0" w:color="auto"/>
        <w:right w:val="none" w:sz="0" w:space="0" w:color="auto"/>
      </w:divBdr>
      <w:divsChild>
        <w:div w:id="1359623768">
          <w:marLeft w:val="0"/>
          <w:marRight w:val="0"/>
          <w:marTop w:val="0"/>
          <w:marBottom w:val="0"/>
          <w:divBdr>
            <w:top w:val="none" w:sz="0" w:space="0" w:color="auto"/>
            <w:left w:val="none" w:sz="0" w:space="0" w:color="auto"/>
            <w:bottom w:val="none" w:sz="0" w:space="0" w:color="auto"/>
            <w:right w:val="none" w:sz="0" w:space="0" w:color="auto"/>
          </w:divBdr>
        </w:div>
        <w:div w:id="1744639768">
          <w:marLeft w:val="0"/>
          <w:marRight w:val="0"/>
          <w:marTop w:val="0"/>
          <w:marBottom w:val="0"/>
          <w:divBdr>
            <w:top w:val="none" w:sz="0" w:space="0" w:color="auto"/>
            <w:left w:val="none" w:sz="0" w:space="0" w:color="auto"/>
            <w:bottom w:val="none" w:sz="0" w:space="0" w:color="auto"/>
            <w:right w:val="none" w:sz="0" w:space="0" w:color="auto"/>
          </w:divBdr>
        </w:div>
      </w:divsChild>
    </w:div>
    <w:div w:id="286476141">
      <w:bodyDiv w:val="1"/>
      <w:marLeft w:val="0"/>
      <w:marRight w:val="0"/>
      <w:marTop w:val="0"/>
      <w:marBottom w:val="0"/>
      <w:divBdr>
        <w:top w:val="none" w:sz="0" w:space="0" w:color="auto"/>
        <w:left w:val="none" w:sz="0" w:space="0" w:color="auto"/>
        <w:bottom w:val="none" w:sz="0" w:space="0" w:color="auto"/>
        <w:right w:val="none" w:sz="0" w:space="0" w:color="auto"/>
      </w:divBdr>
    </w:div>
    <w:div w:id="678655493">
      <w:bodyDiv w:val="1"/>
      <w:marLeft w:val="0"/>
      <w:marRight w:val="0"/>
      <w:marTop w:val="0"/>
      <w:marBottom w:val="0"/>
      <w:divBdr>
        <w:top w:val="none" w:sz="0" w:space="0" w:color="auto"/>
        <w:left w:val="none" w:sz="0" w:space="0" w:color="auto"/>
        <w:bottom w:val="none" w:sz="0" w:space="0" w:color="auto"/>
        <w:right w:val="none" w:sz="0" w:space="0" w:color="auto"/>
      </w:divBdr>
    </w:div>
    <w:div w:id="705251501">
      <w:bodyDiv w:val="1"/>
      <w:marLeft w:val="0"/>
      <w:marRight w:val="0"/>
      <w:marTop w:val="0"/>
      <w:marBottom w:val="0"/>
      <w:divBdr>
        <w:top w:val="none" w:sz="0" w:space="0" w:color="auto"/>
        <w:left w:val="none" w:sz="0" w:space="0" w:color="auto"/>
        <w:bottom w:val="none" w:sz="0" w:space="0" w:color="auto"/>
        <w:right w:val="none" w:sz="0" w:space="0" w:color="auto"/>
      </w:divBdr>
    </w:div>
    <w:div w:id="1298989886">
      <w:bodyDiv w:val="1"/>
      <w:marLeft w:val="0"/>
      <w:marRight w:val="0"/>
      <w:marTop w:val="0"/>
      <w:marBottom w:val="0"/>
      <w:divBdr>
        <w:top w:val="none" w:sz="0" w:space="0" w:color="auto"/>
        <w:left w:val="none" w:sz="0" w:space="0" w:color="auto"/>
        <w:bottom w:val="none" w:sz="0" w:space="0" w:color="auto"/>
        <w:right w:val="none" w:sz="0" w:space="0" w:color="auto"/>
      </w:divBdr>
      <w:divsChild>
        <w:div w:id="427124240">
          <w:marLeft w:val="0"/>
          <w:marRight w:val="0"/>
          <w:marTop w:val="0"/>
          <w:marBottom w:val="0"/>
          <w:divBdr>
            <w:top w:val="none" w:sz="0" w:space="0" w:color="auto"/>
            <w:left w:val="none" w:sz="0" w:space="0" w:color="auto"/>
            <w:bottom w:val="none" w:sz="0" w:space="0" w:color="auto"/>
            <w:right w:val="none" w:sz="0" w:space="0" w:color="auto"/>
          </w:divBdr>
        </w:div>
        <w:div w:id="597757364">
          <w:marLeft w:val="0"/>
          <w:marRight w:val="0"/>
          <w:marTop w:val="0"/>
          <w:marBottom w:val="0"/>
          <w:divBdr>
            <w:top w:val="none" w:sz="0" w:space="0" w:color="auto"/>
            <w:left w:val="none" w:sz="0" w:space="0" w:color="auto"/>
            <w:bottom w:val="none" w:sz="0" w:space="0" w:color="auto"/>
            <w:right w:val="none" w:sz="0" w:space="0" w:color="auto"/>
          </w:divBdr>
        </w:div>
      </w:divsChild>
    </w:div>
    <w:div w:id="1302731293">
      <w:bodyDiv w:val="1"/>
      <w:marLeft w:val="0"/>
      <w:marRight w:val="0"/>
      <w:marTop w:val="0"/>
      <w:marBottom w:val="0"/>
      <w:divBdr>
        <w:top w:val="none" w:sz="0" w:space="0" w:color="auto"/>
        <w:left w:val="none" w:sz="0" w:space="0" w:color="auto"/>
        <w:bottom w:val="none" w:sz="0" w:space="0" w:color="auto"/>
        <w:right w:val="none" w:sz="0" w:space="0" w:color="auto"/>
      </w:divBdr>
    </w:div>
    <w:div w:id="1340891116">
      <w:bodyDiv w:val="1"/>
      <w:marLeft w:val="0"/>
      <w:marRight w:val="0"/>
      <w:marTop w:val="0"/>
      <w:marBottom w:val="0"/>
      <w:divBdr>
        <w:top w:val="none" w:sz="0" w:space="0" w:color="auto"/>
        <w:left w:val="none" w:sz="0" w:space="0" w:color="auto"/>
        <w:bottom w:val="none" w:sz="0" w:space="0" w:color="auto"/>
        <w:right w:val="none" w:sz="0" w:space="0" w:color="auto"/>
      </w:divBdr>
      <w:divsChild>
        <w:div w:id="511145337">
          <w:marLeft w:val="0"/>
          <w:marRight w:val="0"/>
          <w:marTop w:val="0"/>
          <w:marBottom w:val="0"/>
          <w:divBdr>
            <w:top w:val="none" w:sz="0" w:space="0" w:color="auto"/>
            <w:left w:val="none" w:sz="0" w:space="0" w:color="auto"/>
            <w:bottom w:val="none" w:sz="0" w:space="0" w:color="auto"/>
            <w:right w:val="none" w:sz="0" w:space="0" w:color="auto"/>
          </w:divBdr>
          <w:divsChild>
            <w:div w:id="2036610896">
              <w:marLeft w:val="0"/>
              <w:marRight w:val="0"/>
              <w:marTop w:val="0"/>
              <w:marBottom w:val="0"/>
              <w:divBdr>
                <w:top w:val="none" w:sz="0" w:space="0" w:color="auto"/>
                <w:left w:val="none" w:sz="0" w:space="0" w:color="auto"/>
                <w:bottom w:val="none" w:sz="0" w:space="0" w:color="auto"/>
                <w:right w:val="none" w:sz="0" w:space="0" w:color="auto"/>
              </w:divBdr>
              <w:divsChild>
                <w:div w:id="1359504241">
                  <w:marLeft w:val="0"/>
                  <w:marRight w:val="0"/>
                  <w:marTop w:val="0"/>
                  <w:marBottom w:val="0"/>
                  <w:divBdr>
                    <w:top w:val="none" w:sz="0" w:space="0" w:color="auto"/>
                    <w:left w:val="none" w:sz="0" w:space="0" w:color="auto"/>
                    <w:bottom w:val="none" w:sz="0" w:space="0" w:color="auto"/>
                    <w:right w:val="none" w:sz="0" w:space="0" w:color="auto"/>
                  </w:divBdr>
                  <w:divsChild>
                    <w:div w:id="154347441">
                      <w:marLeft w:val="0"/>
                      <w:marRight w:val="0"/>
                      <w:marTop w:val="0"/>
                      <w:marBottom w:val="0"/>
                      <w:divBdr>
                        <w:top w:val="none" w:sz="0" w:space="0" w:color="auto"/>
                        <w:left w:val="none" w:sz="0" w:space="0" w:color="auto"/>
                        <w:bottom w:val="none" w:sz="0" w:space="0" w:color="auto"/>
                        <w:right w:val="none" w:sz="0" w:space="0" w:color="auto"/>
                      </w:divBdr>
                      <w:divsChild>
                        <w:div w:id="2030259622">
                          <w:marLeft w:val="0"/>
                          <w:marRight w:val="0"/>
                          <w:marTop w:val="0"/>
                          <w:marBottom w:val="0"/>
                          <w:divBdr>
                            <w:top w:val="none" w:sz="0" w:space="0" w:color="auto"/>
                            <w:left w:val="none" w:sz="0" w:space="0" w:color="auto"/>
                            <w:bottom w:val="none" w:sz="0" w:space="0" w:color="auto"/>
                            <w:right w:val="none" w:sz="0" w:space="0" w:color="auto"/>
                          </w:divBdr>
                          <w:divsChild>
                            <w:div w:id="655958438">
                              <w:marLeft w:val="0"/>
                              <w:marRight w:val="0"/>
                              <w:marTop w:val="0"/>
                              <w:marBottom w:val="0"/>
                              <w:divBdr>
                                <w:top w:val="none" w:sz="0" w:space="0" w:color="auto"/>
                                <w:left w:val="none" w:sz="0" w:space="0" w:color="auto"/>
                                <w:bottom w:val="none" w:sz="0" w:space="0" w:color="auto"/>
                                <w:right w:val="none" w:sz="0" w:space="0" w:color="auto"/>
                              </w:divBdr>
                              <w:divsChild>
                                <w:div w:id="1366710136">
                                  <w:marLeft w:val="0"/>
                                  <w:marRight w:val="0"/>
                                  <w:marTop w:val="0"/>
                                  <w:marBottom w:val="0"/>
                                  <w:divBdr>
                                    <w:top w:val="none" w:sz="0" w:space="0" w:color="auto"/>
                                    <w:left w:val="none" w:sz="0" w:space="0" w:color="auto"/>
                                    <w:bottom w:val="none" w:sz="0" w:space="0" w:color="auto"/>
                                    <w:right w:val="none" w:sz="0" w:space="0" w:color="auto"/>
                                  </w:divBdr>
                                  <w:divsChild>
                                    <w:div w:id="580407357">
                                      <w:marLeft w:val="0"/>
                                      <w:marRight w:val="0"/>
                                      <w:marTop w:val="0"/>
                                      <w:marBottom w:val="0"/>
                                      <w:divBdr>
                                        <w:top w:val="none" w:sz="0" w:space="0" w:color="auto"/>
                                        <w:left w:val="none" w:sz="0" w:space="0" w:color="auto"/>
                                        <w:bottom w:val="none" w:sz="0" w:space="0" w:color="auto"/>
                                        <w:right w:val="none" w:sz="0" w:space="0" w:color="auto"/>
                                      </w:divBdr>
                                      <w:divsChild>
                                        <w:div w:id="1727989771">
                                          <w:marLeft w:val="0"/>
                                          <w:marRight w:val="0"/>
                                          <w:marTop w:val="0"/>
                                          <w:marBottom w:val="0"/>
                                          <w:divBdr>
                                            <w:top w:val="none" w:sz="0" w:space="0" w:color="auto"/>
                                            <w:left w:val="none" w:sz="0" w:space="0" w:color="auto"/>
                                            <w:bottom w:val="none" w:sz="0" w:space="0" w:color="auto"/>
                                            <w:right w:val="none" w:sz="0" w:space="0" w:color="auto"/>
                                          </w:divBdr>
                                          <w:divsChild>
                                            <w:div w:id="1700617889">
                                              <w:marLeft w:val="0"/>
                                              <w:marRight w:val="0"/>
                                              <w:marTop w:val="0"/>
                                              <w:marBottom w:val="0"/>
                                              <w:divBdr>
                                                <w:top w:val="none" w:sz="0" w:space="0" w:color="auto"/>
                                                <w:left w:val="none" w:sz="0" w:space="0" w:color="auto"/>
                                                <w:bottom w:val="none" w:sz="0" w:space="0" w:color="auto"/>
                                                <w:right w:val="none" w:sz="0" w:space="0" w:color="auto"/>
                                              </w:divBdr>
                                              <w:divsChild>
                                                <w:div w:id="661860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42008842">
      <w:bodyDiv w:val="1"/>
      <w:marLeft w:val="0"/>
      <w:marRight w:val="0"/>
      <w:marTop w:val="0"/>
      <w:marBottom w:val="0"/>
      <w:divBdr>
        <w:top w:val="none" w:sz="0" w:space="0" w:color="auto"/>
        <w:left w:val="none" w:sz="0" w:space="0" w:color="auto"/>
        <w:bottom w:val="none" w:sz="0" w:space="0" w:color="auto"/>
        <w:right w:val="none" w:sz="0" w:space="0" w:color="auto"/>
      </w:divBdr>
      <w:divsChild>
        <w:div w:id="400955705">
          <w:marLeft w:val="0"/>
          <w:marRight w:val="0"/>
          <w:marTop w:val="0"/>
          <w:marBottom w:val="0"/>
          <w:divBdr>
            <w:top w:val="none" w:sz="0" w:space="0" w:color="auto"/>
            <w:left w:val="none" w:sz="0" w:space="0" w:color="auto"/>
            <w:bottom w:val="none" w:sz="0" w:space="0" w:color="auto"/>
            <w:right w:val="none" w:sz="0" w:space="0" w:color="auto"/>
          </w:divBdr>
        </w:div>
        <w:div w:id="609237965">
          <w:marLeft w:val="0"/>
          <w:marRight w:val="0"/>
          <w:marTop w:val="0"/>
          <w:marBottom w:val="0"/>
          <w:divBdr>
            <w:top w:val="none" w:sz="0" w:space="0" w:color="auto"/>
            <w:left w:val="none" w:sz="0" w:space="0" w:color="auto"/>
            <w:bottom w:val="none" w:sz="0" w:space="0" w:color="auto"/>
            <w:right w:val="none" w:sz="0" w:space="0" w:color="auto"/>
          </w:divBdr>
        </w:div>
        <w:div w:id="633634666">
          <w:marLeft w:val="0"/>
          <w:marRight w:val="0"/>
          <w:marTop w:val="0"/>
          <w:marBottom w:val="0"/>
          <w:divBdr>
            <w:top w:val="none" w:sz="0" w:space="0" w:color="auto"/>
            <w:left w:val="none" w:sz="0" w:space="0" w:color="auto"/>
            <w:bottom w:val="none" w:sz="0" w:space="0" w:color="auto"/>
            <w:right w:val="none" w:sz="0" w:space="0" w:color="auto"/>
          </w:divBdr>
        </w:div>
        <w:div w:id="659651080">
          <w:marLeft w:val="0"/>
          <w:marRight w:val="0"/>
          <w:marTop w:val="0"/>
          <w:marBottom w:val="0"/>
          <w:divBdr>
            <w:top w:val="none" w:sz="0" w:space="0" w:color="auto"/>
            <w:left w:val="none" w:sz="0" w:space="0" w:color="auto"/>
            <w:bottom w:val="none" w:sz="0" w:space="0" w:color="auto"/>
            <w:right w:val="none" w:sz="0" w:space="0" w:color="auto"/>
          </w:divBdr>
        </w:div>
        <w:div w:id="698504205">
          <w:marLeft w:val="0"/>
          <w:marRight w:val="0"/>
          <w:marTop w:val="0"/>
          <w:marBottom w:val="0"/>
          <w:divBdr>
            <w:top w:val="none" w:sz="0" w:space="0" w:color="auto"/>
            <w:left w:val="none" w:sz="0" w:space="0" w:color="auto"/>
            <w:bottom w:val="none" w:sz="0" w:space="0" w:color="auto"/>
            <w:right w:val="none" w:sz="0" w:space="0" w:color="auto"/>
          </w:divBdr>
        </w:div>
        <w:div w:id="710423416">
          <w:marLeft w:val="0"/>
          <w:marRight w:val="0"/>
          <w:marTop w:val="0"/>
          <w:marBottom w:val="0"/>
          <w:divBdr>
            <w:top w:val="none" w:sz="0" w:space="0" w:color="auto"/>
            <w:left w:val="none" w:sz="0" w:space="0" w:color="auto"/>
            <w:bottom w:val="none" w:sz="0" w:space="0" w:color="auto"/>
            <w:right w:val="none" w:sz="0" w:space="0" w:color="auto"/>
          </w:divBdr>
        </w:div>
        <w:div w:id="2053651164">
          <w:marLeft w:val="0"/>
          <w:marRight w:val="0"/>
          <w:marTop w:val="0"/>
          <w:marBottom w:val="0"/>
          <w:divBdr>
            <w:top w:val="none" w:sz="0" w:space="0" w:color="auto"/>
            <w:left w:val="none" w:sz="0" w:space="0" w:color="auto"/>
            <w:bottom w:val="none" w:sz="0" w:space="0" w:color="auto"/>
            <w:right w:val="none" w:sz="0" w:space="0" w:color="auto"/>
          </w:divBdr>
        </w:div>
      </w:divsChild>
    </w:div>
    <w:div w:id="1346249677">
      <w:bodyDiv w:val="1"/>
      <w:marLeft w:val="0"/>
      <w:marRight w:val="0"/>
      <w:marTop w:val="0"/>
      <w:marBottom w:val="0"/>
      <w:divBdr>
        <w:top w:val="none" w:sz="0" w:space="0" w:color="auto"/>
        <w:left w:val="none" w:sz="0" w:space="0" w:color="auto"/>
        <w:bottom w:val="none" w:sz="0" w:space="0" w:color="auto"/>
        <w:right w:val="none" w:sz="0" w:space="0" w:color="auto"/>
      </w:divBdr>
    </w:div>
    <w:div w:id="1394045530">
      <w:bodyDiv w:val="1"/>
      <w:marLeft w:val="0"/>
      <w:marRight w:val="0"/>
      <w:marTop w:val="0"/>
      <w:marBottom w:val="0"/>
      <w:divBdr>
        <w:top w:val="none" w:sz="0" w:space="0" w:color="auto"/>
        <w:left w:val="none" w:sz="0" w:space="0" w:color="auto"/>
        <w:bottom w:val="none" w:sz="0" w:space="0" w:color="auto"/>
        <w:right w:val="none" w:sz="0" w:space="0" w:color="auto"/>
      </w:divBdr>
      <w:divsChild>
        <w:div w:id="291792328">
          <w:marLeft w:val="0"/>
          <w:marRight w:val="0"/>
          <w:marTop w:val="0"/>
          <w:marBottom w:val="0"/>
          <w:divBdr>
            <w:top w:val="none" w:sz="0" w:space="0" w:color="auto"/>
            <w:left w:val="none" w:sz="0" w:space="0" w:color="auto"/>
            <w:bottom w:val="none" w:sz="0" w:space="0" w:color="auto"/>
            <w:right w:val="none" w:sz="0" w:space="0" w:color="auto"/>
          </w:divBdr>
        </w:div>
        <w:div w:id="1171749439">
          <w:marLeft w:val="0"/>
          <w:marRight w:val="0"/>
          <w:marTop w:val="0"/>
          <w:marBottom w:val="0"/>
          <w:divBdr>
            <w:top w:val="none" w:sz="0" w:space="0" w:color="auto"/>
            <w:left w:val="none" w:sz="0" w:space="0" w:color="auto"/>
            <w:bottom w:val="none" w:sz="0" w:space="0" w:color="auto"/>
            <w:right w:val="none" w:sz="0" w:space="0" w:color="auto"/>
          </w:divBdr>
        </w:div>
        <w:div w:id="2029870068">
          <w:marLeft w:val="0"/>
          <w:marRight w:val="0"/>
          <w:marTop w:val="0"/>
          <w:marBottom w:val="0"/>
          <w:divBdr>
            <w:top w:val="none" w:sz="0" w:space="0" w:color="auto"/>
            <w:left w:val="none" w:sz="0" w:space="0" w:color="auto"/>
            <w:bottom w:val="none" w:sz="0" w:space="0" w:color="auto"/>
            <w:right w:val="none" w:sz="0" w:space="0" w:color="auto"/>
          </w:divBdr>
        </w:div>
      </w:divsChild>
    </w:div>
    <w:div w:id="1656295974">
      <w:bodyDiv w:val="1"/>
      <w:marLeft w:val="0"/>
      <w:marRight w:val="0"/>
      <w:marTop w:val="0"/>
      <w:marBottom w:val="0"/>
      <w:divBdr>
        <w:top w:val="none" w:sz="0" w:space="0" w:color="auto"/>
        <w:left w:val="none" w:sz="0" w:space="0" w:color="auto"/>
        <w:bottom w:val="none" w:sz="0" w:space="0" w:color="auto"/>
        <w:right w:val="none" w:sz="0" w:space="0" w:color="auto"/>
      </w:divBdr>
    </w:div>
    <w:div w:id="1675693361">
      <w:bodyDiv w:val="1"/>
      <w:marLeft w:val="0"/>
      <w:marRight w:val="0"/>
      <w:marTop w:val="0"/>
      <w:marBottom w:val="0"/>
      <w:divBdr>
        <w:top w:val="none" w:sz="0" w:space="0" w:color="auto"/>
        <w:left w:val="none" w:sz="0" w:space="0" w:color="auto"/>
        <w:bottom w:val="none" w:sz="0" w:space="0" w:color="auto"/>
        <w:right w:val="none" w:sz="0" w:space="0" w:color="auto"/>
      </w:divBdr>
    </w:div>
    <w:div w:id="1679503467">
      <w:bodyDiv w:val="1"/>
      <w:marLeft w:val="0"/>
      <w:marRight w:val="0"/>
      <w:marTop w:val="0"/>
      <w:marBottom w:val="0"/>
      <w:divBdr>
        <w:top w:val="none" w:sz="0" w:space="0" w:color="auto"/>
        <w:left w:val="none" w:sz="0" w:space="0" w:color="auto"/>
        <w:bottom w:val="none" w:sz="0" w:space="0" w:color="auto"/>
        <w:right w:val="none" w:sz="0" w:space="0" w:color="auto"/>
      </w:divBdr>
    </w:div>
    <w:div w:id="1829397637">
      <w:bodyDiv w:val="1"/>
      <w:marLeft w:val="0"/>
      <w:marRight w:val="0"/>
      <w:marTop w:val="0"/>
      <w:marBottom w:val="0"/>
      <w:divBdr>
        <w:top w:val="none" w:sz="0" w:space="0" w:color="auto"/>
        <w:left w:val="none" w:sz="0" w:space="0" w:color="auto"/>
        <w:bottom w:val="none" w:sz="0" w:space="0" w:color="auto"/>
        <w:right w:val="none" w:sz="0" w:space="0" w:color="auto"/>
      </w:divBdr>
      <w:divsChild>
        <w:div w:id="461922809">
          <w:marLeft w:val="0"/>
          <w:marRight w:val="0"/>
          <w:marTop w:val="0"/>
          <w:marBottom w:val="0"/>
          <w:divBdr>
            <w:top w:val="none" w:sz="0" w:space="0" w:color="auto"/>
            <w:left w:val="none" w:sz="0" w:space="0" w:color="auto"/>
            <w:bottom w:val="none" w:sz="0" w:space="0" w:color="auto"/>
            <w:right w:val="none" w:sz="0" w:space="0" w:color="auto"/>
          </w:divBdr>
        </w:div>
        <w:div w:id="1022825285">
          <w:marLeft w:val="0"/>
          <w:marRight w:val="0"/>
          <w:marTop w:val="0"/>
          <w:marBottom w:val="0"/>
          <w:divBdr>
            <w:top w:val="none" w:sz="0" w:space="0" w:color="auto"/>
            <w:left w:val="none" w:sz="0" w:space="0" w:color="auto"/>
            <w:bottom w:val="none" w:sz="0" w:space="0" w:color="auto"/>
            <w:right w:val="none" w:sz="0" w:space="0" w:color="auto"/>
          </w:divBdr>
        </w:div>
        <w:div w:id="1095328220">
          <w:marLeft w:val="0"/>
          <w:marRight w:val="0"/>
          <w:marTop w:val="0"/>
          <w:marBottom w:val="0"/>
          <w:divBdr>
            <w:top w:val="none" w:sz="0" w:space="0" w:color="auto"/>
            <w:left w:val="none" w:sz="0" w:space="0" w:color="auto"/>
            <w:bottom w:val="none" w:sz="0" w:space="0" w:color="auto"/>
            <w:right w:val="none" w:sz="0" w:space="0" w:color="auto"/>
          </w:divBdr>
        </w:div>
        <w:div w:id="1797140569">
          <w:marLeft w:val="0"/>
          <w:marRight w:val="0"/>
          <w:marTop w:val="0"/>
          <w:marBottom w:val="0"/>
          <w:divBdr>
            <w:top w:val="none" w:sz="0" w:space="0" w:color="auto"/>
            <w:left w:val="none" w:sz="0" w:space="0" w:color="auto"/>
            <w:bottom w:val="none" w:sz="0" w:space="0" w:color="auto"/>
            <w:right w:val="none" w:sz="0" w:space="0" w:color="auto"/>
          </w:divBdr>
        </w:div>
      </w:divsChild>
    </w:div>
    <w:div w:id="1882864422">
      <w:bodyDiv w:val="1"/>
      <w:marLeft w:val="0"/>
      <w:marRight w:val="0"/>
      <w:marTop w:val="0"/>
      <w:marBottom w:val="0"/>
      <w:divBdr>
        <w:top w:val="none" w:sz="0" w:space="0" w:color="auto"/>
        <w:left w:val="none" w:sz="0" w:space="0" w:color="auto"/>
        <w:bottom w:val="none" w:sz="0" w:space="0" w:color="auto"/>
        <w:right w:val="none" w:sz="0" w:space="0" w:color="auto"/>
      </w:divBdr>
    </w:div>
    <w:div w:id="1891382942">
      <w:bodyDiv w:val="1"/>
      <w:marLeft w:val="0"/>
      <w:marRight w:val="0"/>
      <w:marTop w:val="0"/>
      <w:marBottom w:val="0"/>
      <w:divBdr>
        <w:top w:val="none" w:sz="0" w:space="0" w:color="auto"/>
        <w:left w:val="none" w:sz="0" w:space="0" w:color="auto"/>
        <w:bottom w:val="none" w:sz="0" w:space="0" w:color="auto"/>
        <w:right w:val="none" w:sz="0" w:space="0" w:color="auto"/>
      </w:divBdr>
      <w:divsChild>
        <w:div w:id="53168706">
          <w:marLeft w:val="0"/>
          <w:marRight w:val="0"/>
          <w:marTop w:val="0"/>
          <w:marBottom w:val="0"/>
          <w:divBdr>
            <w:top w:val="none" w:sz="0" w:space="0" w:color="auto"/>
            <w:left w:val="none" w:sz="0" w:space="0" w:color="auto"/>
            <w:bottom w:val="none" w:sz="0" w:space="0" w:color="auto"/>
            <w:right w:val="none" w:sz="0" w:space="0" w:color="auto"/>
          </w:divBdr>
        </w:div>
        <w:div w:id="78061350">
          <w:marLeft w:val="0"/>
          <w:marRight w:val="0"/>
          <w:marTop w:val="0"/>
          <w:marBottom w:val="0"/>
          <w:divBdr>
            <w:top w:val="none" w:sz="0" w:space="0" w:color="auto"/>
            <w:left w:val="none" w:sz="0" w:space="0" w:color="auto"/>
            <w:bottom w:val="none" w:sz="0" w:space="0" w:color="auto"/>
            <w:right w:val="none" w:sz="0" w:space="0" w:color="auto"/>
          </w:divBdr>
        </w:div>
        <w:div w:id="1231765374">
          <w:marLeft w:val="0"/>
          <w:marRight w:val="0"/>
          <w:marTop w:val="0"/>
          <w:marBottom w:val="0"/>
          <w:divBdr>
            <w:top w:val="none" w:sz="0" w:space="0" w:color="auto"/>
            <w:left w:val="none" w:sz="0" w:space="0" w:color="auto"/>
            <w:bottom w:val="none" w:sz="0" w:space="0" w:color="auto"/>
            <w:right w:val="none" w:sz="0" w:space="0" w:color="auto"/>
          </w:divBdr>
        </w:div>
        <w:div w:id="1689720967">
          <w:marLeft w:val="0"/>
          <w:marRight w:val="0"/>
          <w:marTop w:val="0"/>
          <w:marBottom w:val="0"/>
          <w:divBdr>
            <w:top w:val="none" w:sz="0" w:space="0" w:color="auto"/>
            <w:left w:val="none" w:sz="0" w:space="0" w:color="auto"/>
            <w:bottom w:val="none" w:sz="0" w:space="0" w:color="auto"/>
            <w:right w:val="none" w:sz="0" w:space="0" w:color="auto"/>
          </w:divBdr>
        </w:div>
        <w:div w:id="1718510568">
          <w:marLeft w:val="0"/>
          <w:marRight w:val="0"/>
          <w:marTop w:val="0"/>
          <w:marBottom w:val="0"/>
          <w:divBdr>
            <w:top w:val="none" w:sz="0" w:space="0" w:color="auto"/>
            <w:left w:val="none" w:sz="0" w:space="0" w:color="auto"/>
            <w:bottom w:val="none" w:sz="0" w:space="0" w:color="auto"/>
            <w:right w:val="none" w:sz="0" w:space="0" w:color="auto"/>
          </w:divBdr>
        </w:div>
      </w:divsChild>
    </w:div>
    <w:div w:id="2062943806">
      <w:bodyDiv w:val="1"/>
      <w:marLeft w:val="0"/>
      <w:marRight w:val="0"/>
      <w:marTop w:val="0"/>
      <w:marBottom w:val="0"/>
      <w:divBdr>
        <w:top w:val="none" w:sz="0" w:space="0" w:color="auto"/>
        <w:left w:val="none" w:sz="0" w:space="0" w:color="auto"/>
        <w:bottom w:val="none" w:sz="0" w:space="0" w:color="auto"/>
        <w:right w:val="none" w:sz="0" w:space="0" w:color="auto"/>
      </w:divBdr>
    </w:div>
    <w:div w:id="2088503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3" ma:contentTypeDescription="Create a new document." ma:contentTypeScope="" ma:versionID="1861a30ab98678bb43709c19570b3593">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65477438a8dcf7bc50766488f89f6180"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Emilija Šaulytė</DisplayName>
        <AccountId>231</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lentele" DocPartId="1bd2f794c6db48debac1c097867ec896" PartId="3ae8c0e9bd2a4c84861383d37d97d979">
    <Part Type="signatura" DocPartId="da1571d7e0714ae4bbdf406593cdfe2a" PartId="de390987bfad4594988c705d44b1f1f1"/>
  </Part>
</Parts>
</file>

<file path=customXml/itemProps1.xml><?xml version="1.0" encoding="utf-8"?>
<ds:datastoreItem xmlns:ds="http://schemas.openxmlformats.org/officeDocument/2006/customXml" ds:itemID="{F2067530-804E-4ACA-941F-C6BA517DAE9A}">
  <ds:schemaRefs>
    <ds:schemaRef ds:uri="http://schemas.microsoft.com/sharepoint/v3/contenttype/forms"/>
  </ds:schemaRefs>
</ds:datastoreItem>
</file>

<file path=customXml/itemProps2.xml><?xml version="1.0" encoding="utf-8"?>
<ds:datastoreItem xmlns:ds="http://schemas.openxmlformats.org/officeDocument/2006/customXml" ds:itemID="{A9101BBB-A82A-4D6A-A5FA-8E9268CB48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9C5737B-6DEE-46C6-A77F-64C3B069505A}">
  <ds:schemaRefs>
    <ds:schemaRef ds:uri="http://schemas.microsoft.com/office/2006/metadata/properties"/>
    <ds:schemaRef ds:uri="http://schemas.microsoft.com/office/infopath/2007/PartnerControls"/>
    <ds:schemaRef ds:uri="19cf09c5-daa1-4028-a0ff-74a0be4ec5cc"/>
  </ds:schemaRefs>
</ds:datastoreItem>
</file>

<file path=customXml/itemProps4.xml><?xml version="1.0" encoding="utf-8"?>
<ds:datastoreItem xmlns:ds="http://schemas.openxmlformats.org/officeDocument/2006/customXml" ds:itemID="{BCD76896-1AED-4925-A4A1-74B873722539}">
  <ds:schemaRefs>
    <ds:schemaRef ds:uri="http://schemas.openxmlformats.org/officeDocument/2006/bibliography"/>
  </ds:schemaRefs>
</ds:datastoreItem>
</file>

<file path=customXml/itemProps5.xml><?xml version="1.0" encoding="utf-8"?>
<ds:datastoreItem xmlns:ds="http://schemas.openxmlformats.org/officeDocument/2006/customXml" ds:itemID="{D926AEE9-8F5E-4064-BEAC-617A0103CEA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619</Words>
  <Characters>4552</Characters>
  <Application>Microsoft Office Word</Application>
  <DocSecurity>4</DocSecurity>
  <Lines>98</Lines>
  <Paragraphs>36</Paragraphs>
  <ScaleCrop>false</ScaleCrop>
  <LinksUpToDate>false</LinksUpToDate>
  <CharactersWithSpaces>5135</CharactersWithSpaces>
  <SharedDoc>false</SharedDoc>
  <HyperlinkBase/>
  <HLinks>
    <vt:vector size="12" baseType="variant">
      <vt:variant>
        <vt:i4>8192027</vt:i4>
      </vt:variant>
      <vt:variant>
        <vt:i4>3</vt:i4>
      </vt:variant>
      <vt:variant>
        <vt:i4>0</vt:i4>
      </vt:variant>
      <vt:variant>
        <vt:i4>5</vt:i4>
      </vt:variant>
      <vt:variant>
        <vt:lpwstr>mailto:lina.ceicyte@am.lt</vt:lpwstr>
      </vt:variant>
      <vt:variant>
        <vt:lpwstr/>
      </vt:variant>
      <vt:variant>
        <vt:i4>7995406</vt:i4>
      </vt:variant>
      <vt:variant>
        <vt:i4>0</vt:i4>
      </vt:variant>
      <vt:variant>
        <vt:i4>0</vt:i4>
      </vt:variant>
      <vt:variant>
        <vt:i4>5</vt:i4>
      </vt:variant>
      <vt:variant>
        <vt:lpwstr>mailto:judita.liukaityte@am.lt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2022-05-06T12:13:00Z</dcterms:created>
  <dcterms:modified xsi:type="dcterms:W3CDTF">2022-05-06T12:13:00Z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