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f47047aa9dae4e688d96723d0a9ebba4"/>
        <w:lock w:val="sdtLocked"/>
        <w:richText/>
      </w:sdtPr>
      <w:sdtContent>
        <w:tbl>
          <w:tblPr>
            <w:tblW w:w="9804" w:type="dxa"/>
            <w:tblInd w:w="55" w:type="dxa"/>
            <w:tblLayout w:type="fixed"/>
            <w:tblCellMar>
              <w:top w:w="55" w:type="dxa"/>
              <w:left w:w="55" w:type="dxa"/>
              <w:bottom w:w="55" w:type="dxa"/>
              <w:right w:w="55" w:type="dxa"/>
            </w:tblCellMar>
            <w:tblLook w:val="0000" w:firstRow="0" w:lastRow="0" w:firstColumn="0" w:lastColumn="0" w:noHBand="0" w:noVBand="0"/>
          </w:tblPr>
          <w:tblGrid>
            <w:gridCol w:w="5245"/>
            <w:gridCol w:w="20"/>
            <w:gridCol w:w="1841"/>
            <w:gridCol w:w="565"/>
            <w:gridCol w:w="1967"/>
            <w:gridCol w:w="166"/>
          </w:tblGrid>
          <w:tr>
            <w:trPr>
              <w:gridAfter w:val="1"/>
              <w:wAfter w:w="166" w:type="dxa"/>
            </w:trPr>
            <w:tc>
              <w:tcPr>
                <w:tcW w:w="9638" w:type="dxa"/>
                <w:gridSpan w:val="5"/>
                <w:tcBorders>
                  <w:bottom w:val="single" w:sz="4" w:space="0" w:color="000000" w:themeColor="text1"/>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suppressAutoHyphen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319DF15C" wp14:editId="134130A3">
                      <wp:extent cx="523875" cy="628650"/>
                      <wp:effectExtent l="19050" t="0" r="952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523875" cy="628650"/>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4/9,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(8~5) 266 3661, faks. (8~5) 266 3663, el. p. info@am.lt, http://www.am.lt.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rPr>
              <w:gridAfter w:val="1"/>
              <w:wAfter w:w="166" w:type="dxa"/>
            </w:trPr>
            <w:tc>
              <w:tcPr>
                <w:tcW w:w="963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40"/>
            </w:trPr>
            <w:tc>
              <w:tcPr>
                <w:tcW w:w="5245" w:type="dxa"/>
                <w:vMerge w:val="restart"/>
                <w:tcMar>
                  <w:top w:w="0" w:type="dxa"/>
                  <w:left w:w="0" w:type="dxa"/>
                  <w:bottom w:w="0" w:type="dxa"/>
                  <w:right w:w="0" w:type="dxa"/>
                </w:tcMar>
              </w:tcPr>
              <w:p>
                <w:pPr>
                  <w:widowControl w:val="0"/>
                  <w:suppressLineNumbers/>
                  <w:suppressAutoHyphens/>
                  <w:rPr>
                    <w:rFonts w:eastAsia="Andale Sans UI" w:cs="Tahoma"/>
                    <w:szCs w:val="24"/>
                    <w:lang w:bidi="en-US"/>
                  </w:rPr>
                </w:pPr>
                <w:r>
                  <w:rPr>
                    <w:rFonts w:eastAsia="Andale Sans UI" w:cs="Tahoma"/>
                    <w:szCs w:val="24"/>
                    <w:lang w:bidi="en-US"/>
                  </w:rPr>
                  <w:t>Aplinkos projektų valdymo agentūrai</w:t>
                </w:r>
              </w:p>
              <w:p>
                <w:pPr>
                  <w:widowControl w:val="0"/>
                  <w:suppressLineNumbers/>
                  <w:suppressAutoHyphens/>
                  <w:rPr>
                    <w:rFonts w:eastAsia="Andale Sans UI" w:cs="Tahoma"/>
                    <w:szCs w:val="24"/>
                    <w:lang w:bidi="en-US"/>
                  </w:rPr>
                </w:pPr>
                <w:r>
                  <w:rPr>
                    <w:rFonts w:eastAsia="Andale Sans UI" w:cs="Tahoma"/>
                    <w:szCs w:val="24"/>
                    <w:lang w:bidi="en-US"/>
                  </w:rPr>
                  <w:t>Energetikos ministerijai</w:t>
                </w:r>
              </w:p>
              <w:p>
                <w:pPr>
                  <w:widowControl w:val="0"/>
                  <w:suppressLineNumbers/>
                  <w:suppressAutoHyphens/>
                  <w:rPr>
                    <w:rFonts w:eastAsia="Andale Sans UI" w:cs="Tahoma"/>
                    <w:szCs w:val="24"/>
                    <w:lang w:bidi="en-US"/>
                  </w:rPr>
                </w:pPr>
                <w:r>
                  <w:rPr>
                    <w:rFonts w:eastAsia="Andale Sans UI" w:cs="Tahoma"/>
                    <w:szCs w:val="24"/>
                    <w:lang w:bidi="en-US"/>
                  </w:rPr>
                  <w:t>Ekonomikos ir inovacijų ministerijai</w:t>
                </w:r>
              </w:p>
              <w:p>
                <w:pPr>
                  <w:widowControl w:val="0"/>
                  <w:suppressLineNumbers/>
                  <w:suppressAutoHyphens/>
                  <w:rPr>
                    <w:rFonts w:eastAsia="Andale Sans UI" w:cs="Tahoma"/>
                    <w:szCs w:val="24"/>
                    <w:lang w:bidi="en-US"/>
                  </w:rPr>
                </w:pPr>
                <w:r>
                  <w:rPr>
                    <w:rFonts w:eastAsia="Andale Sans UI" w:cs="Tahoma"/>
                    <w:szCs w:val="24"/>
                    <w:lang w:bidi="en-US"/>
                  </w:rPr>
                  <w:t>Finansų ministerijai</w:t>
                </w:r>
              </w:p>
              <w:p>
                <w:pPr>
                  <w:widowControl w:val="0"/>
                  <w:suppressLineNumbers/>
                  <w:suppressAutoHyphens/>
                  <w:rPr>
                    <w:rFonts w:eastAsia="Andale Sans UI" w:cs="Tahoma"/>
                    <w:szCs w:val="24"/>
                    <w:lang w:bidi="en-US"/>
                  </w:rPr>
                </w:pPr>
                <w:r>
                  <w:rPr>
                    <w:rFonts w:eastAsia="Andale Sans UI" w:cs="Tahoma"/>
                    <w:szCs w:val="24"/>
                    <w:lang w:bidi="en-US"/>
                  </w:rPr>
                  <w:t>Socialinės apsaugos ir darbo ministerijai</w:t>
                </w:r>
              </w:p>
              <w:p>
                <w:pPr>
                  <w:widowControl w:val="0"/>
                  <w:suppressAutoHyphens/>
                  <w:rPr>
                    <w:rFonts w:eastAsia="Andale Sans UI" w:cs="Tahoma"/>
                    <w:szCs w:val="24"/>
                    <w:lang w:bidi="en-US"/>
                  </w:rPr>
                </w:pPr>
                <w:r>
                  <w:rPr>
                    <w:rFonts w:eastAsia="Andale Sans UI" w:cs="Tahoma"/>
                    <w:szCs w:val="24"/>
                    <w:lang w:bidi="en-US"/>
                  </w:rPr>
                  <w:t>Lietuvos atsinaujinančių išteklių energetikos konfederacijai</w:t>
                </w:r>
              </w:p>
              <w:p>
                <w:pPr>
                  <w:widowControl w:val="0"/>
                  <w:suppressLineNumbers/>
                  <w:suppressAutoHyphens/>
                  <w:rPr>
                    <w:rFonts w:eastAsia="Andale Sans UI" w:cs="Tahoma"/>
                    <w:szCs w:val="24"/>
                    <w:lang w:bidi="en-US"/>
                  </w:rPr>
                </w:pPr>
                <w:r>
                  <w:rPr>
                    <w:rFonts w:eastAsia="Andale Sans UI" w:cs="Tahoma"/>
                    <w:szCs w:val="24"/>
                    <w:lang w:bidi="en-US"/>
                  </w:rPr>
                  <w:t>Lietuvos saulės energetikos asociacijai</w:t>
                </w:r>
              </w:p>
              <w:p>
                <w:pPr>
                  <w:widowControl w:val="0"/>
                  <w:suppressAutoHyphens/>
                  <w:jc w:val="both"/>
                  <w:rPr>
                    <w:rFonts w:eastAsia="Andale Sans UI"/>
                    <w:szCs w:val="24"/>
                    <w:lang w:bidi="en-US"/>
                  </w:rPr>
                </w:pPr>
                <w:r>
                  <w:rPr>
                    <w:rFonts w:eastAsia="Andale Sans UI"/>
                    <w:szCs w:val="24"/>
                    <w:lang w:bidi="en-US"/>
                  </w:rPr>
                  <w:t>Lietuvos savivaldybių asociacijai</w:t>
                </w:r>
              </w:p>
              <w:p>
                <w:pPr>
                  <w:widowControl w:val="0"/>
                  <w:suppressLineNumbers/>
                  <w:suppressAutoHyphens/>
                  <w:rPr>
                    <w:rFonts w:eastAsia="Andale Sans UI"/>
                    <w:szCs w:val="24"/>
                    <w:lang w:bidi="en-US"/>
                  </w:rPr>
                </w:pPr>
                <w:r>
                  <w:rPr>
                    <w:rFonts w:eastAsia="Andale Sans UI"/>
                    <w:szCs w:val="24"/>
                    <w:lang w:bidi="en-US"/>
                  </w:rPr>
                  <w:t xml:space="preserve">Lietuvos vartotojų organizacijų aljansui </w:t>
                </w:r>
              </w:p>
              <w:p>
                <w:pPr>
                  <w:widowControl w:val="0"/>
                  <w:suppressLineNumbers/>
                  <w:suppressAutoHyphens/>
                  <w:spacing w:line="276" w:lineRule="auto"/>
                  <w:rPr>
                    <w:rFonts w:eastAsia="Andale Sans UI" w:cs="Tahoma"/>
                    <w:szCs w:val="24"/>
                    <w:lang w:bidi="en-US"/>
                  </w:rPr>
                </w:pPr>
              </w:p>
            </w:tc>
            <w:tc>
              <w:tcPr>
                <w:tcW w:w="20" w:type="dxa"/>
                <w:tcMar>
                  <w:top w:w="0" w:type="dxa"/>
                  <w:left w:w="0" w:type="dxa"/>
                  <w:bottom w:w="0" w:type="dxa"/>
                  <w:right w:w="0" w:type="dxa"/>
                </w:tcMar>
              </w:tcPr>
              <w:p>
                <w:pPr>
                  <w:widowControl w:val="0"/>
                  <w:suppressAutoHyphens/>
                  <w:spacing w:line="276" w:lineRule="auto"/>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spacing w:line="276" w:lineRule="auto"/>
                  <w:ind w:left="146" w:right="67" w:firstLine="248"/>
                  <w:rPr>
                    <w:rFonts w:eastAsia="Andale Sans UI" w:cs="Tahoma"/>
                    <w:szCs w:val="24"/>
                    <w:lang w:bidi="en-US"/>
                  </w:rPr>
                </w:pPr>
                <w:r>
                  <w:rPr>
                    <w:rFonts w:eastAsia="Andale Sans UI" w:cs="Tahoma"/>
                    <w:szCs w:val="24"/>
                    <w:lang w:bidi="en-US"/>
                  </w:rPr>
                  <w:t>2021-</w:t>
                </w:r>
              </w:p>
            </w:tc>
            <w:tc>
              <w:tcPr>
                <w:tcW w:w="565" w:type="dxa"/>
              </w:tcPr>
              <w:p>
                <w:pPr>
                  <w:widowControl w:val="0"/>
                  <w:suppressAutoHyphens/>
                  <w:spacing w:line="276" w:lineRule="auto"/>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gridSpan w:val="2"/>
              </w:tcPr>
              <w:p>
                <w:pPr>
                  <w:widowControl w:val="0"/>
                  <w:suppressLineNumbers/>
                  <w:suppressAutoHyphens/>
                  <w:spacing w:line="276" w:lineRule="auto"/>
                  <w:ind w:right="67"/>
                  <w:rPr>
                    <w:rFonts w:eastAsia="Andale Sans UI" w:cs="Tahoma"/>
                    <w:szCs w:val="24"/>
                    <w:lang w:bidi="en-US"/>
                  </w:rPr>
                </w:pPr>
                <w:r>
                  <w:rPr>
                    <w:rFonts w:eastAsia="Andale Sans UI" w:cs="Tahoma"/>
                    <w:szCs w:val="24"/>
                    <w:lang w:bidi="en-US"/>
                  </w:rPr>
                  <w:t>(52)-D8(E)-</w:t>
                </w:r>
              </w:p>
            </w:tc>
          </w:tr>
          <w:tr>
            <w:trPr>
              <w:cantSplit/>
              <w:trHeight w:val="340"/>
            </w:trPr>
            <w:tc>
              <w:tcPr>
                <w:tcW w:w="5245" w:type="dxa"/>
                <w:vMerge/>
                <w:tcMar>
                  <w:top w:w="0" w:type="dxa"/>
                  <w:left w:w="0" w:type="dxa"/>
                  <w:bottom w:w="0" w:type="dxa"/>
                  <w:right w:w="0" w:type="dxa"/>
                </w:tcMar>
              </w:tcPr>
              <w:p>
                <w:pPr>
                  <w:widowControl w:val="0"/>
                  <w:suppressAutoHyphens/>
                  <w:spacing w:line="276" w:lineRule="auto"/>
                  <w:rPr>
                    <w:rFonts w:eastAsia="Andale Sans UI" w:cs="Tahoma"/>
                    <w:sz w:val="23"/>
                    <w:szCs w:val="23"/>
                    <w:lang w:bidi="en-US"/>
                  </w:rPr>
                </w:pPr>
              </w:p>
            </w:tc>
            <w:tc>
              <w:tcPr>
                <w:tcW w:w="20" w:type="dxa"/>
                <w:tcMar>
                  <w:top w:w="0" w:type="dxa"/>
                  <w:left w:w="0" w:type="dxa"/>
                  <w:bottom w:w="0" w:type="dxa"/>
                  <w:right w:w="0" w:type="dxa"/>
                </w:tcMar>
              </w:tcPr>
              <w:p>
                <w:pPr>
                  <w:widowControl w:val="0"/>
                  <w:tabs>
                    <w:tab w:val="left" w:pos="2869"/>
                  </w:tabs>
                  <w:suppressAutoHyphens/>
                  <w:spacing w:line="276" w:lineRule="auto"/>
                  <w:ind w:right="67"/>
                  <w:jc w:val="right"/>
                  <w:rPr>
                    <w:rFonts w:eastAsia="Andale Sans UI" w:cs="Tahoma"/>
                    <w:spacing w:val="10"/>
                    <w:sz w:val="23"/>
                    <w:szCs w:val="23"/>
                    <w:lang w:bidi="en-US"/>
                  </w:rPr>
                </w:pPr>
              </w:p>
            </w:tc>
            <w:tc>
              <w:tcPr>
                <w:tcW w:w="1841" w:type="dxa"/>
                <w:tcMar>
                  <w:top w:w="0" w:type="dxa"/>
                  <w:left w:w="0" w:type="dxa"/>
                  <w:bottom w:w="0" w:type="dxa"/>
                  <w:right w:w="0" w:type="dxa"/>
                </w:tcMar>
              </w:tcPr>
              <w:p>
                <w:pPr>
                  <w:widowControl w:val="0"/>
                  <w:suppressLineNumbers/>
                  <w:suppressAutoHyphens/>
                  <w:spacing w:line="276" w:lineRule="auto"/>
                  <w:ind w:right="67"/>
                  <w:rPr>
                    <w:rFonts w:eastAsia="Andale Sans UI" w:cs="Tahoma"/>
                    <w:sz w:val="23"/>
                    <w:szCs w:val="23"/>
                    <w:lang w:bidi="en-US"/>
                  </w:rPr>
                </w:pPr>
              </w:p>
            </w:tc>
            <w:tc>
              <w:tcPr>
                <w:tcW w:w="565" w:type="dxa"/>
              </w:tcPr>
              <w:p>
                <w:pPr>
                  <w:widowControl w:val="0"/>
                  <w:tabs>
                    <w:tab w:val="left" w:pos="2869"/>
                  </w:tabs>
                  <w:suppressAutoHyphens/>
                  <w:spacing w:line="276" w:lineRule="auto"/>
                  <w:ind w:right="67"/>
                  <w:jc w:val="right"/>
                  <w:rPr>
                    <w:rFonts w:eastAsia="Andale Sans UI" w:cs="Tahoma"/>
                    <w:spacing w:val="10"/>
                    <w:sz w:val="23"/>
                    <w:szCs w:val="23"/>
                    <w:lang w:bidi="en-US"/>
                  </w:rPr>
                </w:pPr>
              </w:p>
            </w:tc>
            <w:tc>
              <w:tcPr>
                <w:tcW w:w="2133" w:type="dxa"/>
                <w:gridSpan w:val="2"/>
              </w:tcPr>
              <w:p>
                <w:pPr>
                  <w:widowControl w:val="0"/>
                  <w:suppressLineNumbers/>
                  <w:suppressAutoHyphens/>
                  <w:spacing w:line="276" w:lineRule="auto"/>
                  <w:ind w:right="67"/>
                  <w:rPr>
                    <w:rFonts w:eastAsia="Andale Sans UI" w:cs="Tahoma"/>
                    <w:sz w:val="23"/>
                    <w:szCs w:val="23"/>
                    <w:lang w:bidi="en-US"/>
                  </w:rPr>
                </w:pPr>
              </w:p>
            </w:tc>
          </w:tr>
          <w:tr>
            <w:trPr>
              <w:gridAfter w:val="1"/>
              <w:wAfter w:w="166" w:type="dxa"/>
              <w:cantSplit/>
              <w:trHeight w:val="373"/>
            </w:trPr>
            <w:tc>
              <w:tcPr>
                <w:tcW w:w="5245" w:type="dxa"/>
                <w:vMerge/>
                <w:tcMar>
                  <w:top w:w="0" w:type="dxa"/>
                  <w:left w:w="0" w:type="dxa"/>
                  <w:bottom w:w="0" w:type="dxa"/>
                  <w:right w:w="0" w:type="dxa"/>
                </w:tcMar>
              </w:tcPr>
              <w:p>
                <w:pPr>
                  <w:widowControl w:val="0"/>
                  <w:suppressAutoHyphens/>
                  <w:spacing w:line="276" w:lineRule="auto"/>
                  <w:rPr>
                    <w:rFonts w:eastAsia="Andale Sans UI" w:cs="Tahoma"/>
                    <w:sz w:val="23"/>
                    <w:szCs w:val="23"/>
                    <w:lang w:bidi="en-US"/>
                  </w:rPr>
                </w:pPr>
              </w:p>
            </w:tc>
            <w:tc>
              <w:tcPr>
                <w:tcW w:w="4393" w:type="dxa"/>
                <w:gridSpan w:val="4"/>
                <w:tcMar>
                  <w:top w:w="0" w:type="dxa"/>
                  <w:left w:w="0" w:type="dxa"/>
                  <w:bottom w:w="0" w:type="dxa"/>
                  <w:right w:w="0" w:type="dxa"/>
                </w:tcMar>
              </w:tcPr>
              <w:p>
                <w:pPr>
                  <w:widowControl w:val="0"/>
                  <w:tabs>
                    <w:tab w:val="left" w:pos="2869"/>
                  </w:tabs>
                  <w:suppressAutoHyphens/>
                  <w:spacing w:line="276" w:lineRule="auto"/>
                  <w:ind w:right="67"/>
                  <w:rPr>
                    <w:rFonts w:eastAsia="Andale Sans UI" w:cs="Tahoma"/>
                    <w:spacing w:val="10"/>
                    <w:sz w:val="23"/>
                    <w:szCs w:val="23"/>
                    <w:lang w:bidi="en-US"/>
                  </w:rPr>
                </w:pPr>
              </w:p>
              <w:p>
                <w:pPr>
                  <w:widowControl w:val="0"/>
                  <w:tabs>
                    <w:tab w:val="left" w:pos="2869"/>
                  </w:tabs>
                  <w:suppressAutoHyphens/>
                  <w:spacing w:line="276" w:lineRule="auto"/>
                  <w:ind w:right="67"/>
                  <w:rPr>
                    <w:rFonts w:eastAsia="Andale Sans UI" w:cs="Tahoma"/>
                    <w:spacing w:val="10"/>
                    <w:sz w:val="23"/>
                    <w:szCs w:val="23"/>
                    <w:lang w:bidi="en-US"/>
                  </w:rPr>
                </w:pPr>
              </w:p>
            </w:tc>
          </w:tr>
          <w:tr>
            <w:trPr>
              <w:gridAfter w:val="1"/>
              <w:wAfter w:w="166" w:type="dxa"/>
              <w:trHeight w:val="54"/>
            </w:trPr>
            <w:tc>
              <w:tcPr>
                <w:tcW w:w="9638" w:type="dxa"/>
                <w:gridSpan w:val="5"/>
                <w:tcMar>
                  <w:top w:w="0" w:type="dxa"/>
                  <w:left w:w="0" w:type="dxa"/>
                  <w:bottom w:w="0" w:type="dxa"/>
                  <w:right w:w="0" w:type="dxa"/>
                </w:tcMar>
              </w:tcPr>
              <w:p>
                <w:pPr>
                  <w:widowControl w:val="0"/>
                  <w:suppressLineNumbers/>
                  <w:suppressAutoHyphens/>
                  <w:jc w:val="both"/>
                  <w:rPr>
                    <w:rFonts w:eastAsia="Andale Sans UI" w:cs="Tahoma"/>
                    <w:b/>
                    <w:bCs/>
                    <w:szCs w:val="24"/>
                    <w:lang w:bidi="en-US"/>
                  </w:rPr>
                </w:pPr>
                <w:r>
                  <w:rPr>
                    <w:rFonts w:eastAsia="Andale Sans UI" w:cs="Tahoma"/>
                    <w:b/>
                    <w:bCs/>
                    <w:szCs w:val="24"/>
                    <w:lang w:bidi="en-US"/>
                  </w:rPr>
                  <w:t>DĖL KLIMATO KAITOS PROGRAMOS PRIEMONĖS FIZINIAMS ASMENIMS „</w:t>
                </w:r>
                <w:r>
                  <w:rPr>
                    <w:rFonts w:eastAsia="Andale Sans UI" w:cs="Tahoma"/>
                    <w:b/>
                    <w:bCs/>
                    <w:iCs/>
                    <w:szCs w:val="24"/>
                    <w:lang w:bidi="en-US"/>
                  </w:rPr>
                  <w:t>ATSINAUJINANČIŲ ENERGIJOS IŠTEKLIŲ PANAUDOJIMAS NEPASITURINČIŲ FIZINIŲ ASMENŲ ELEKTROS ENERGIJOS REIKMĖMS</w:t>
                </w:r>
                <w:r>
                  <w:rPr>
                    <w:rFonts w:eastAsia="Andale Sans UI" w:cs="Tahoma"/>
                    <w:b/>
                    <w:bCs/>
                    <w:iCs/>
                    <w:color w:val="00B0F0"/>
                    <w:szCs w:val="24"/>
                    <w:shd w:val="clear" w:color="auto" w:fill="FFFFFF"/>
                    <w:lang w:bidi="en-US"/>
                  </w:rPr>
                  <w:t xml:space="preserve"> </w:t>
                </w:r>
                <w:r>
                  <w:rPr>
                    <w:rFonts w:eastAsia="Andale Sans UI" w:cs="Tahoma"/>
                    <w:b/>
                    <w:bCs/>
                    <w:iCs/>
                    <w:szCs w:val="24"/>
                    <w:shd w:val="clear" w:color="auto" w:fill="FFFFFF"/>
                    <w:lang w:bidi="en-US"/>
                  </w:rPr>
                  <w:t xml:space="preserve">IR </w:t>
                </w:r>
                <w:r>
                  <w:rPr>
                    <w:rFonts w:eastAsia="Andale Sans UI" w:cs="Tahoma"/>
                    <w:b/>
                    <w:bCs/>
                    <w:szCs w:val="24"/>
                    <w:shd w:val="clear" w:color="auto" w:fill="FFFFFF"/>
                    <w:lang w:bidi="en-US"/>
                  </w:rPr>
                  <w:t>IŠKASTINĮ KURĄ NAUDOJANČIŲ ŠILUMOS ĮRENGINIŲ PAKEITIMUI</w:t>
                </w:r>
                <w:r>
                  <w:rPr>
                    <w:rFonts w:eastAsia="Andale Sans UI" w:cs="Tahoma"/>
                    <w:b/>
                    <w:bCs/>
                    <w:szCs w:val="24"/>
                    <w:lang w:bidi="en-US"/>
                  </w:rPr>
                  <w:t>“ TVARKOS APRAŠO DERINIMO</w:t>
                </w:r>
              </w:p>
              <w:p>
                <w:pPr>
                  <w:widowControl w:val="0"/>
                  <w:suppressLineNumbers/>
                  <w:suppressAutoHyphens/>
                  <w:jc w:val="both"/>
                  <w:rPr>
                    <w:rFonts w:eastAsia="Andale Sans UI" w:cs="Tahoma"/>
                    <w:b/>
                    <w:bCs/>
                    <w:szCs w:val="24"/>
                    <w:lang w:bidi="en-US"/>
                  </w:rPr>
                </w:pPr>
              </w:p>
            </w:tc>
          </w:tr>
        </w:tbl>
        <w:p/>
      </w:sdtContent>
    </w:sdt>
    <w:sdt>
      <w:sdtPr>
        <w:alias w:val="pastraipa"/>
        <w:tag w:val="part_831a457f74184c8789b0aa6153be7e74"/>
        <w:lock w:val="sdtLocked"/>
        <w:richText/>
      </w:sdtPr>
      <w:sdtContent>
        <w:p>
          <w:pPr>
            <w:widowControl w:val="0"/>
            <w:suppressAutoHyphens/>
            <w:ind w:firstLine="709"/>
            <w:jc w:val="both"/>
            <w:rPr>
              <w:rFonts w:eastAsia="Andale Sans UI" w:cs="Tahoma"/>
              <w:bCs/>
              <w:szCs w:val="24"/>
              <w:lang w:bidi="en-US"/>
            </w:rPr>
          </w:pPr>
          <w:r>
            <w:rPr>
              <w:rFonts w:eastAsia="Andale Sans UI" w:cs="Tahoma"/>
              <w:szCs w:val="24"/>
              <w:lang w:bidi="en-US"/>
            </w:rPr>
            <w:t>Parengėme ir siunčiame derinti aplinkos ministro įsakymo pakeitimo projektą „</w:t>
          </w:r>
          <w:r>
            <w:rPr>
              <w:rFonts w:eastAsia="Andale Sans UI" w:cs="Tahoma"/>
              <w:bCs/>
              <w:szCs w:val="24"/>
              <w:shd w:val="clear" w:color="auto" w:fill="FFFFFF"/>
              <w:lang w:bidi="en-US"/>
            </w:rPr>
            <w:t>Dėl Klimato kaitos programos priemonės fiziniams asmenims „</w:t>
          </w:r>
          <w:r>
            <w:rPr>
              <w:rFonts w:eastAsia="Andale Sans UI" w:cs="Tahoma"/>
              <w:bCs/>
              <w:iCs/>
              <w:szCs w:val="24"/>
              <w:shd w:val="clear" w:color="auto" w:fill="FFFFFF"/>
              <w:lang w:bidi="en-US"/>
            </w:rPr>
            <w:t xml:space="preserve">Atsinaujinančių energijos išteklių  panaudojimas nepasiturinčių fizinių asmenų elektros energijos reikmėms ir iškastinį kurą naudojančių šilumos įrenginių pakeitimui</w:t>
          </w:r>
          <w:r>
            <w:rPr>
              <w:rFonts w:eastAsia="Andale Sans UI" w:cs="Tahoma"/>
              <w:bCs/>
              <w:szCs w:val="24"/>
              <w:shd w:val="clear" w:color="auto" w:fill="FFFFFF"/>
              <w:lang w:bidi="en-US"/>
            </w:rPr>
            <w:t>“ tvarkos aprašo patvirtinimo</w:t>
          </w:r>
          <w:r>
            <w:rPr>
              <w:rFonts w:eastAsia="Andale Sans UI" w:cs="Tahoma"/>
              <w:bCs/>
              <w:szCs w:val="24"/>
              <w:lang w:bidi="en-US"/>
            </w:rPr>
            <w:t>“ (toliau – projektas).</w:t>
          </w:r>
        </w:p>
      </w:sdtContent>
    </w:sdt>
    <w:sdt>
      <w:sdtPr>
        <w:alias w:val="pastraipa"/>
        <w:tag w:val="part_290e3085b690461ab1e2ee7ffc7426e2"/>
        <w:lock w:val="sdtLocked"/>
        <w:richText/>
      </w:sdtPr>
      <w:sdtContent>
        <w:p>
          <w:pPr>
            <w:widowControl w:val="0"/>
            <w:suppressAutoHyphens/>
            <w:ind w:firstLine="744"/>
            <w:jc w:val="both"/>
            <w:textAlignment w:val="baseline"/>
            <w:rPr>
              <w:rFonts w:eastAsia="Andale Sans UI" w:cs="Tahoma"/>
              <w:szCs w:val="24"/>
              <w:lang w:bidi="en-US"/>
            </w:rPr>
          </w:pPr>
          <w:r>
            <w:rPr>
              <w:rFonts w:eastAsia="Andale Sans UI" w:cs="Tahoma"/>
              <w:bCs/>
              <w:szCs w:val="24"/>
              <w:lang w:bidi="en-US"/>
            </w:rPr>
            <w:t>Priemonės tikslas –</w:t>
          </w:r>
          <w:r>
            <w:rPr>
              <w:rFonts w:eastAsia="Andale Sans UI" w:cs="Tahoma"/>
              <w:szCs w:val="24"/>
              <w:lang w:eastAsia="lt-LT" w:bidi="en-US"/>
            </w:rPr>
            <w:t xml:space="preserve"> mažinti išmetamų šiltnamio efektą sukeliančių dujų kiekį, sumažinti energijos nepriteklių, </w:t>
          </w:r>
          <w:r>
            <w:rPr>
              <w:rFonts w:eastAsia="Andale Sans UI" w:cs="Tahoma"/>
              <w:szCs w:val="24"/>
              <w:lang w:bidi="en-US"/>
            </w:rPr>
            <w:t xml:space="preserve">padidinti vietinės elektros energijos, pagamintos iš atsinaujinančių išteklių gamybos pajėgumus ir naudojimą. Taip pat mažinti iškastinio kuro naudojimą, skatinant iškastinį kurą </w:t>
          </w:r>
          <w:r>
            <w:rPr>
              <w:rFonts w:eastAsia="Andale Sans UI" w:cs="Tahoma"/>
              <w:szCs w:val="24"/>
              <w:lang w:eastAsia="lt-LT" w:bidi="en-US"/>
            </w:rPr>
            <w:t>naudojančių šilumos gamybos įrenginių keitimą.</w:t>
          </w:r>
          <w:r>
            <w:rPr>
              <w:rFonts w:eastAsia="Andale Sans UI" w:cs="Tahoma"/>
              <w:szCs w:val="24"/>
              <w:lang w:bidi="en-US"/>
            </w:rPr>
            <w:t> </w:t>
          </w:r>
        </w:p>
      </w:sdtContent>
    </w:sdt>
    <w:sdt>
      <w:sdtPr>
        <w:alias w:val="pastraipa"/>
        <w:tag w:val="part_84042170383f4551910fa5820a518850"/>
        <w:lock w:val="sdtLocked"/>
        <w:richText/>
      </w:sdtPr>
      <w:sdtContent>
        <w:p>
          <w:pPr>
            <w:widowControl w:val="0"/>
            <w:suppressAutoHyphens/>
            <w:ind w:firstLine="709"/>
            <w:jc w:val="both"/>
            <w:rPr>
              <w:rFonts w:eastAsia="Andale Sans UI" w:cs="Tahoma"/>
              <w:szCs w:val="24"/>
              <w:lang w:bidi="en-US"/>
            </w:rPr>
          </w:pPr>
          <w:r>
            <w:rPr>
              <w:rFonts w:eastAsia="Andale Sans UI" w:cs="Tahoma"/>
              <w:szCs w:val="24"/>
              <w:lang w:bidi="en-US"/>
            </w:rPr>
            <w:t xml:space="preserve">Priemonė suteiks galimybę nepasiturintiems gyventojams (kurie 6 mėn. nepertraukiamai iki Klimato kaitos programos metinės sąmatos patvirtinimo t. y. iki 2021 m. kovo 31 d. buvo nepasiturintys), sumažinti elektros energijos išlaidas, įsirengiant saulės elektrinę vartojimo vietoje, įrengiant geografiškai nutolusią saulės elektrine ar įsigyjant saulės elektrinės dalį iš saulės parko. Nepasiturintys gyventojai taip pat turės galimybę pasikeisti katilus į efektyvesnių šildymo technologijų įrenginius (šilumos siurblius: oras-vanduo, žemė-vanduo,  vanduo-vanduo; biokuro katilus).</w:t>
          </w:r>
        </w:p>
      </w:sdtContent>
    </w:sdt>
    <w:sdt>
      <w:sdtPr>
        <w:alias w:val="pastraipa"/>
        <w:tag w:val="part_67e25febed1b44d59c9ffdaf5220a08e"/>
        <w:lock w:val="sdtLocked"/>
        <w:richText/>
      </w:sdtPr>
      <w:sdtContent>
        <w:p>
          <w:pPr>
            <w:widowControl w:val="0"/>
            <w:suppressLineNumbers/>
            <w:tabs>
              <w:tab w:val="left" w:pos="709"/>
            </w:tabs>
            <w:suppressAutoHyphens/>
            <w:ind w:firstLine="709"/>
            <w:jc w:val="both"/>
            <w:rPr>
              <w:rFonts w:eastAsia="Andale Sans UI" w:cs="Tahoma"/>
              <w:bCs/>
              <w:szCs w:val="24"/>
              <w:lang w:bidi="en-US"/>
            </w:rPr>
          </w:pPr>
          <w:r>
            <w:rPr>
              <w:rFonts w:eastAsia="Andale Sans UI" w:cs="Tahoma"/>
              <w:bCs/>
              <w:szCs w:val="24"/>
              <w:lang w:bidi="en-US"/>
            </w:rPr>
            <w:t>2021 m. priemonei suplanuotas 1 mln. eurų Klimato kaitos programos lėšų.</w:t>
          </w:r>
        </w:p>
      </w:sdtContent>
    </w:sdt>
    <w:sdt>
      <w:sdtPr>
        <w:alias w:val="pastraipa"/>
        <w:tag w:val="part_52422c5b550c4f80a0ef244dc878f2c3"/>
        <w:lock w:val="sdtLocked"/>
        <w:richText/>
      </w:sdtPr>
      <w:sdtContent>
        <w:p>
          <w:pPr>
            <w:widowControl w:val="0"/>
            <w:suppressLineNumbers/>
            <w:tabs>
              <w:tab w:val="left" w:pos="709"/>
            </w:tabs>
            <w:suppressAutoHyphens/>
            <w:ind w:firstLine="709"/>
            <w:jc w:val="both"/>
            <w:rPr>
              <w:rFonts w:eastAsia="Andale Sans UI" w:cs="Tahoma"/>
              <w:bCs/>
              <w:szCs w:val="24"/>
              <w:lang w:bidi="en-US"/>
            </w:rPr>
          </w:pPr>
          <w:r>
            <w:rPr>
              <w:rFonts w:eastAsia="Andale Sans UI" w:cs="Tahoma"/>
              <w:bCs/>
              <w:szCs w:val="24"/>
              <w:lang w:bidi="en-US"/>
            </w:rPr>
            <w:t>Su visuomene konsultuojamasi projektą paskelbus Lietuvos Respublikos Seimo teisės aktų informacinės sistemos (TAIS) Projektų registravimo posistemėje. Visuomenė pastabas ir pasiūlymus gali teikti TAIS nustatytais terminais.</w:t>
          </w:r>
        </w:p>
      </w:sdtContent>
    </w:sdt>
    <w:sdt>
      <w:sdtPr>
        <w:alias w:val="pastraipa"/>
        <w:tag w:val="part_5ae00ab6d97f497da463d9ec5ee35111"/>
        <w:lock w:val="sdtLocked"/>
        <w:richText/>
      </w:sdtPr>
      <w:sdtContent>
        <w:p>
          <w:pPr>
            <w:widowControl w:val="0"/>
            <w:suppressLineNumbers/>
            <w:tabs>
              <w:tab w:val="left" w:pos="709"/>
            </w:tabs>
            <w:suppressAutoHyphens/>
            <w:ind w:firstLine="709"/>
            <w:jc w:val="both"/>
            <w:rPr>
              <w:rFonts w:eastAsia="Andale Sans UI" w:cs="Tahoma"/>
              <w:bCs/>
              <w:szCs w:val="24"/>
              <w:lang w:bidi="en-US"/>
            </w:rPr>
          </w:pPr>
          <w:r>
            <w:rPr>
              <w:rFonts w:eastAsia="Andale Sans UI" w:cs="Tahoma"/>
              <w:bCs/>
              <w:szCs w:val="24"/>
              <w:lang w:bidi="en-US"/>
            </w:rPr>
            <w:t xml:space="preserve">Prašome pastabas ir pasiūlymus pateikti </w:t>
          </w:r>
          <w:r>
            <w:rPr>
              <w:rFonts w:eastAsia="Andale Sans UI" w:cs="Tahoma"/>
              <w:b/>
              <w:bCs/>
              <w:szCs w:val="24"/>
              <w:lang w:bidi="en-US"/>
            </w:rPr>
            <w:t>per</w:t>
          </w:r>
          <w:r>
            <w:rPr>
              <w:rFonts w:eastAsia="Andale Sans UI" w:cs="Tahoma"/>
              <w:bCs/>
              <w:szCs w:val="24"/>
              <w:lang w:bidi="en-US"/>
            </w:rPr>
            <w:t xml:space="preserve"> </w:t>
          </w:r>
          <w:r>
            <w:rPr>
              <w:rFonts w:eastAsia="Andale Sans UI" w:cs="Tahoma"/>
              <w:b/>
              <w:bCs/>
              <w:szCs w:val="24"/>
              <w:lang w:bidi="en-US"/>
            </w:rPr>
            <w:t>10 darbo dienų</w:t>
          </w:r>
          <w:r>
            <w:rPr>
              <w:rFonts w:eastAsia="Andale Sans UI" w:cs="Tahoma"/>
              <w:bCs/>
              <w:szCs w:val="24"/>
              <w:lang w:bidi="en-US"/>
            </w:rPr>
            <w:t xml:space="preserve"> nuo projekto paskelbimo TAIS. Negavus argumentuotų pastabų ir pasiūlymų iki nurodyto laiko, bus laikoma, kad projektui pritarta.</w:t>
          </w:r>
        </w:p>
      </w:sdtContent>
    </w:sdt>
    <w:sdt>
      <w:sdtPr>
        <w:alias w:val="pastraipa"/>
        <w:tag w:val="part_324b73babe0c43a882867fb9facfd0f8"/>
        <w:lock w:val="sdtLocked"/>
        <w:richText/>
      </w:sdtPr>
      <w:sdtContent>
        <w:p>
          <w:pPr>
            <w:widowControl w:val="0"/>
            <w:suppressLineNumbers/>
            <w:tabs>
              <w:tab w:val="left" w:pos="709"/>
            </w:tabs>
            <w:suppressAutoHyphens/>
            <w:ind w:firstLine="709"/>
            <w:rPr>
              <w:rFonts w:eastAsia="Andale Sans UI" w:cs="Tahoma"/>
              <w:bCs/>
              <w:szCs w:val="24"/>
              <w:lang w:bidi="en-US"/>
            </w:rPr>
          </w:pPr>
          <w:r>
            <w:rPr>
              <w:rFonts w:eastAsia="Andale Sans UI" w:cs="Tahoma"/>
              <w:bCs/>
              <w:szCs w:val="24"/>
              <w:lang w:bidi="en-US"/>
            </w:rPr>
            <w:t>Projektas atitinka bendrinės lietuvių kalbos normas. Nauji terminai nenustatomi.</w:t>
          </w:r>
        </w:p>
      </w:sdtContent>
    </w:sdt>
    <w:sdt>
      <w:sdtPr>
        <w:alias w:val="pastraipa"/>
        <w:tag w:val="part_a19b2a1db1184fb29b95626f443103e5"/>
        <w:lock w:val="sdtLocked"/>
        <w:richText/>
      </w:sdtPr>
      <w:sdtContent>
        <w:p>
          <w:pPr>
            <w:widowControl w:val="0"/>
            <w:suppressLineNumbers/>
            <w:tabs>
              <w:tab w:val="left" w:pos="709"/>
            </w:tabs>
            <w:suppressAutoHyphens/>
            <w:ind w:firstLine="709"/>
            <w:jc w:val="both"/>
            <w:rPr>
              <w:rFonts w:eastAsia="Andale Sans UI" w:cs="Tahoma"/>
              <w:bCs/>
              <w:szCs w:val="24"/>
              <w:lang w:bidi="en-US"/>
            </w:rPr>
          </w:pPr>
          <w:r>
            <w:rPr>
              <w:rFonts w:eastAsia="Andale Sans UI" w:cs="Tahoma"/>
              <w:bCs/>
              <w:szCs w:val="24"/>
              <w:lang w:bidi="en-US"/>
            </w:rPr>
            <w:t xml:space="preserve">Projektą parengė Aplinkos ministerijos Klimato politikos grupės (vadovė Vilija Augutavičienė, tel. 8 686 17484, el. p. </w:t>
          </w:r>
          <w:r>
            <w:rPr>
              <w:rFonts w:eastAsia="Andale Sans UI" w:cs="Tahoma"/>
              <w:bCs/>
              <w:color w:val="0000FF"/>
              <w:szCs w:val="24"/>
              <w:u w:val="single"/>
              <w:lang w:bidi="en-US"/>
            </w:rPr>
            <w:t>vilija.augutavičienė@am.lt</w:t>
          </w:r>
          <w:r>
            <w:rPr>
              <w:rFonts w:eastAsia="Andale Sans UI" w:cs="Tahoma"/>
              <w:bCs/>
              <w:szCs w:val="24"/>
              <w:u w:val="single"/>
              <w:lang w:bidi="en-US"/>
            </w:rPr>
            <w:t>)</w:t>
          </w:r>
          <w:r>
            <w:rPr>
              <w:rFonts w:eastAsia="Andale Sans UI" w:cs="Tahoma"/>
              <w:bCs/>
              <w:szCs w:val="24"/>
              <w:lang w:bidi="en-US"/>
            </w:rPr>
            <w:t xml:space="preserve"> vyriausioji specialistė Emilija Šaulytė, tel. 8 696 18175, el. p. </w:t>
          </w:r>
          <w:r>
            <w:rPr>
              <w:rFonts w:eastAsia="Andale Sans UI" w:cs="Tahoma"/>
              <w:bCs/>
              <w:color w:val="0000FF"/>
              <w:szCs w:val="24"/>
              <w:u w:val="single"/>
              <w:lang w:bidi="en-US"/>
            </w:rPr>
            <w:t>emilija.saulyte@am.lt</w:t>
          </w:r>
          <w:r>
            <w:rPr>
              <w:rFonts w:eastAsia="Andale Sans UI" w:cs="Tahoma"/>
              <w:bCs/>
              <w:szCs w:val="24"/>
              <w:lang w:bidi="en-US"/>
            </w:rPr>
            <w:t>).</w:t>
          </w:r>
        </w:p>
      </w:sdtContent>
    </w:sdt>
    <w:sdt>
      <w:sdtPr>
        <w:alias w:val="pastraipa"/>
        <w:tag w:val="part_6c7da0ffa7dc4beead6983cacc52b5f2"/>
        <w:lock w:val="sdtLocked"/>
        <w:richText/>
      </w:sdtPr>
      <w:sdtContent>
        <w:p>
          <w:pPr>
            <w:widowControl w:val="0"/>
            <w:suppressLineNumbers/>
            <w:tabs>
              <w:tab w:val="left" w:pos="709"/>
            </w:tabs>
            <w:suppressAutoHyphens/>
            <w:ind w:firstLine="709"/>
            <w:rPr>
              <w:rFonts w:eastAsia="Andale Sans UI" w:cs="Tahoma"/>
              <w:szCs w:val="24"/>
              <w:lang w:bidi="en-US"/>
            </w:rPr>
          </w:pPr>
          <w:r>
            <w:rPr>
              <w:rFonts w:eastAsia="Andale Sans UI" w:cs="Tahoma"/>
              <w:szCs w:val="24"/>
              <w:lang w:bidi="en-US"/>
            </w:rPr>
            <w:t>PRIDEDAMA. Įsakymo projektas, 12 lapų.</w:t>
          </w:r>
        </w:p>
        <w:p>
          <w:pPr>
            <w:widowControl w:val="0"/>
            <w:suppressLineNumbers/>
            <w:tabs>
              <w:tab w:val="left" w:pos="709"/>
            </w:tabs>
            <w:suppressAutoHyphens/>
            <w:spacing w:line="360" w:lineRule="auto"/>
            <w:ind w:firstLine="771"/>
            <w:jc w:val="both"/>
            <w:rPr>
              <w:rFonts w:eastAsia="Andale Sans UI" w:cs="Tahoma"/>
              <w:szCs w:val="24"/>
              <w:lang w:bidi="en-US"/>
            </w:rPr>
          </w:pPr>
        </w:p>
        <w:sdt>
          <w:sdtPr>
            <w:alias w:val="signatura"/>
            <w:tag w:val="part_af65694702ae4c63be6940db00dcf76c"/>
            <w:lock w:val="sdtLocked"/>
            <w:richText/>
          </w:sdtPr>
          <w:sdtContent>
            <w:p>
              <w:pPr>
                <w:widowControl w:val="0"/>
                <w:suppressLineNumbers/>
                <w:suppressAutoHyphens/>
                <w:jc w:val="both"/>
                <w:rPr>
                  <w:rFonts w:eastAsia="Andale Sans UI" w:cs="Tahoma"/>
                  <w:szCs w:val="24"/>
                  <w:lang w:eastAsia="lt-LT" w:bidi="en-US"/>
                </w:rPr>
              </w:pPr>
              <w:r>
                <w:rPr>
                  <w:rFonts w:eastAsia="Andale Sans UI" w:cs="Tahoma"/>
                  <w:szCs w:val="24"/>
                  <w:lang w:eastAsia="lt-LT" w:bidi="en-US"/>
                </w:rPr>
                <w:t xml:space="preserve">Aplinkos viceministrė                                                                                             Gintarė Krušnienė</w:t>
              </w:r>
            </w:p>
            <w:p>
              <w:pPr>
                <w:widowControl w:val="0"/>
                <w:suppressLineNumbers/>
                <w:suppressAutoHyphens/>
                <w:rPr>
                  <w:rFonts w:eastAsia="Andale Sans UI" w:cs="Tahoma"/>
                  <w:szCs w:val="24"/>
                  <w:lang w:eastAsia="lt-LT" w:bidi="en-US"/>
                </w:rPr>
              </w:pPr>
            </w:p>
            <w:p>
              <w:pPr>
                <w:widowControl w:val="0"/>
                <w:suppressLineNumbers/>
                <w:suppressAutoHyphens/>
                <w:rPr>
                  <w:rFonts w:eastAsia="Andale Sans UI" w:cs="Tahoma"/>
                  <w:szCs w:val="24"/>
                  <w:lang w:eastAsia="lt-LT" w:bidi="en-US"/>
                </w:rPr>
              </w:pPr>
            </w:p>
            <w:p>
              <w:pPr>
                <w:widowControl w:val="0"/>
                <w:suppressLineNumbers/>
                <w:suppressAutoHyphens/>
                <w:rPr>
                  <w:rFonts w:eastAsia="Andale Sans UI" w:cs="Tahoma"/>
                  <w:szCs w:val="24"/>
                  <w:lang w:eastAsia="lt-LT" w:bidi="en-US"/>
                </w:rPr>
              </w:pPr>
            </w:p>
            <w:p>
              <w:pPr>
                <w:widowControl w:val="0"/>
                <w:suppressLineNumbers/>
                <w:suppressAutoHyphens/>
                <w:rPr>
                  <w:rFonts w:eastAsia="Andale Sans UI" w:cs="Tahoma"/>
                  <w:szCs w:val="24"/>
                  <w:lang w:eastAsia="lt-LT" w:bidi="en-US"/>
                </w:rPr>
              </w:pPr>
            </w:p>
          </w:sdtContent>
        </w:sdt>
      </w:sdtContent>
    </w:sdt>
    <w:sectPr>
      <w:headerReference w:type="even" r:id="rId14"/>
      <w:headerReference w:type="default" r:id="rId15"/>
      <w:footerReference w:type="even" r:id="rId16"/>
      <w:footerReference w:type="default" r:id="rId17"/>
      <w:headerReference w:type="first" r:id="rId18"/>
      <w:footerReference w:type="first" r:id="rId19"/>
      <w:footnotePr>
        <w:pos w:val="beneathText"/>
        <w:numRestart w:val="eachPage"/>
      </w:footnotePr>
      <w:endnotePr>
        <w:numFmt w:val="decimal"/>
      </w:endnotePr>
      <w:pgSz w:w="11905" w:h="16837"/>
      <w:pgMar w:top="993" w:right="567" w:bottom="709"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jc w:val="right"/>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eastAsia="Andale Sans UI" w:cs="Tahoma"/>
        <w:szCs w:val="24"/>
        <w:lang w:val="en-US" w:bidi="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defaultTabStop w:val="1296"/>
  <w:hyphenationZone w:val="396"/>
  <w:doNotHyphenateCaps/>
  <w:characterSpacingControl w:val="doNotCompress"/>
  <w:hdrShapeDefaults>
    <o:shapedefaults v:ext="edit" spidmax="75777"/>
  </w:hdrShapeDefaults>
  <w:footnotePr>
    <w:pos w:val="beneathText"/>
    <w:numRestart w:val="eachPage"/>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DF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25741529">
      <w:bodyDiv w:val="1"/>
      <w:marLeft w:val="0"/>
      <w:marRight w:val="0"/>
      <w:marTop w:val="0"/>
      <w:marBottom w:val="0"/>
      <w:divBdr>
        <w:top w:val="none" w:sz="0" w:space="0" w:color="auto"/>
        <w:left w:val="none" w:sz="0" w:space="0" w:color="auto"/>
        <w:bottom w:val="none" w:sz="0" w:space="0" w:color="auto"/>
        <w:right w:val="none" w:sz="0" w:space="0" w:color="auto"/>
      </w:divBdr>
      <w:divsChild>
        <w:div w:id="1354763942">
          <w:marLeft w:val="0"/>
          <w:marRight w:val="0"/>
          <w:marTop w:val="0"/>
          <w:marBottom w:val="0"/>
          <w:divBdr>
            <w:top w:val="none" w:sz="0" w:space="0" w:color="auto"/>
            <w:left w:val="none" w:sz="0" w:space="0" w:color="auto"/>
            <w:bottom w:val="none" w:sz="0" w:space="0" w:color="auto"/>
            <w:right w:val="none" w:sz="0" w:space="0" w:color="auto"/>
          </w:divBdr>
          <w:divsChild>
            <w:div w:id="123810198">
              <w:marLeft w:val="0"/>
              <w:marRight w:val="0"/>
              <w:marTop w:val="0"/>
              <w:marBottom w:val="0"/>
              <w:divBdr>
                <w:top w:val="none" w:sz="0" w:space="0" w:color="auto"/>
                <w:left w:val="none" w:sz="0" w:space="0" w:color="auto"/>
                <w:bottom w:val="none" w:sz="0" w:space="0" w:color="auto"/>
                <w:right w:val="none" w:sz="0" w:space="0" w:color="auto"/>
              </w:divBdr>
              <w:divsChild>
                <w:div w:id="541869711">
                  <w:marLeft w:val="0"/>
                  <w:marRight w:val="0"/>
                  <w:marTop w:val="0"/>
                  <w:marBottom w:val="0"/>
                  <w:divBdr>
                    <w:top w:val="none" w:sz="0" w:space="0" w:color="auto"/>
                    <w:left w:val="none" w:sz="0" w:space="0" w:color="auto"/>
                    <w:bottom w:val="none" w:sz="0" w:space="0" w:color="auto"/>
                    <w:right w:val="none" w:sz="0" w:space="0" w:color="auto"/>
                  </w:divBdr>
                  <w:divsChild>
                    <w:div w:id="449012126">
                      <w:marLeft w:val="0"/>
                      <w:marRight w:val="0"/>
                      <w:marTop w:val="0"/>
                      <w:marBottom w:val="0"/>
                      <w:divBdr>
                        <w:top w:val="none" w:sz="0" w:space="0" w:color="auto"/>
                        <w:left w:val="none" w:sz="0" w:space="0" w:color="auto"/>
                        <w:bottom w:val="none" w:sz="0" w:space="0" w:color="auto"/>
                        <w:right w:val="none" w:sz="0" w:space="0" w:color="auto"/>
                      </w:divBdr>
                      <w:divsChild>
                        <w:div w:id="242643326">
                          <w:marLeft w:val="0"/>
                          <w:marRight w:val="0"/>
                          <w:marTop w:val="0"/>
                          <w:marBottom w:val="0"/>
                          <w:divBdr>
                            <w:top w:val="none" w:sz="0" w:space="0" w:color="auto"/>
                            <w:left w:val="none" w:sz="0" w:space="0" w:color="auto"/>
                            <w:bottom w:val="none" w:sz="0" w:space="0" w:color="auto"/>
                            <w:right w:val="none" w:sz="0" w:space="0" w:color="auto"/>
                          </w:divBdr>
                          <w:divsChild>
                            <w:div w:id="1884439737">
                              <w:marLeft w:val="0"/>
                              <w:marRight w:val="0"/>
                              <w:marTop w:val="0"/>
                              <w:marBottom w:val="0"/>
                              <w:divBdr>
                                <w:top w:val="none" w:sz="0" w:space="0" w:color="auto"/>
                                <w:left w:val="none" w:sz="0" w:space="0" w:color="auto"/>
                                <w:bottom w:val="none" w:sz="0" w:space="0" w:color="auto"/>
                                <w:right w:val="none" w:sz="0" w:space="0" w:color="auto"/>
                              </w:divBdr>
                              <w:divsChild>
                                <w:div w:id="98375167">
                                  <w:marLeft w:val="0"/>
                                  <w:marRight w:val="0"/>
                                  <w:marTop w:val="0"/>
                                  <w:marBottom w:val="0"/>
                                  <w:divBdr>
                                    <w:top w:val="none" w:sz="0" w:space="0" w:color="auto"/>
                                    <w:left w:val="none" w:sz="0" w:space="0" w:color="auto"/>
                                    <w:bottom w:val="none" w:sz="0" w:space="0" w:color="auto"/>
                                    <w:right w:val="none" w:sz="0" w:space="0" w:color="auto"/>
                                  </w:divBdr>
                                  <w:divsChild>
                                    <w:div w:id="824662362">
                                      <w:marLeft w:val="0"/>
                                      <w:marRight w:val="0"/>
                                      <w:marTop w:val="0"/>
                                      <w:marBottom w:val="0"/>
                                      <w:divBdr>
                                        <w:top w:val="none" w:sz="0" w:space="0" w:color="auto"/>
                                        <w:left w:val="none" w:sz="0" w:space="0" w:color="auto"/>
                                        <w:bottom w:val="none" w:sz="0" w:space="0" w:color="auto"/>
                                        <w:right w:val="none" w:sz="0" w:space="0" w:color="auto"/>
                                      </w:divBdr>
                                      <w:divsChild>
                                        <w:div w:id="809830328">
                                          <w:marLeft w:val="0"/>
                                          <w:marRight w:val="0"/>
                                          <w:marTop w:val="0"/>
                                          <w:marBottom w:val="0"/>
                                          <w:divBdr>
                                            <w:top w:val="none" w:sz="0" w:space="0" w:color="auto"/>
                                            <w:left w:val="none" w:sz="0" w:space="0" w:color="auto"/>
                                            <w:bottom w:val="none" w:sz="0" w:space="0" w:color="auto"/>
                                            <w:right w:val="none" w:sz="0" w:space="0" w:color="auto"/>
                                          </w:divBdr>
                                          <w:divsChild>
                                            <w:div w:id="205542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03597178">
      <w:bodyDiv w:val="1"/>
      <w:marLeft w:val="0"/>
      <w:marRight w:val="0"/>
      <w:marTop w:val="0"/>
      <w:marBottom w:val="0"/>
      <w:divBdr>
        <w:top w:val="none" w:sz="0" w:space="0" w:color="auto"/>
        <w:left w:val="none" w:sz="0" w:space="0" w:color="auto"/>
        <w:bottom w:val="none" w:sz="0" w:space="0" w:color="auto"/>
        <w:right w:val="none" w:sz="0" w:space="0" w:color="auto"/>
      </w:divBdr>
    </w:div>
    <w:div w:id="841435279">
      <w:bodyDiv w:val="1"/>
      <w:marLeft w:val="0"/>
      <w:marRight w:val="0"/>
      <w:marTop w:val="0"/>
      <w:marBottom w:val="0"/>
      <w:divBdr>
        <w:top w:val="none" w:sz="0" w:space="0" w:color="auto"/>
        <w:left w:val="none" w:sz="0" w:space="0" w:color="auto"/>
        <w:bottom w:val="none" w:sz="0" w:space="0" w:color="auto"/>
        <w:right w:val="none" w:sz="0" w:space="0" w:color="auto"/>
      </w:divBdr>
    </w:div>
    <w:div w:id="953514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image" Target="media/image1.png"/>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3" ma:contentTypeDescription="Create a new document." ma:contentTypeScope="" ma:versionID="1861a30ab98678bb43709c19570b3593">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65477438a8dcf7bc50766488f89f618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9f54b3f0460b47eca781e386c33a22d5" PartId="f47047aa9dae4e688d96723d0a9ebba4"/>
  <Part Type="pastraipa" DocPartId="815bd4c1328e4079a02c81548034970c" PartId="831a457f74184c8789b0aa6153be7e74"/>
  <Part Type="pastraipa" DocPartId="4d217aaa5c554ba78d1afd2b95740c6e" PartId="290e3085b690461ab1e2ee7ffc7426e2"/>
  <Part Type="pastraipa" DocPartId="e009462d4bd84418bc150435e2fb4dc8" PartId="84042170383f4551910fa5820a518850"/>
  <Part Type="pastraipa" DocPartId="2162ad4750d249de93d28ef1ab3a8754" PartId="67e25febed1b44d59c9ffdaf5220a08e"/>
  <Part Type="pastraipa" DocPartId="01e5f77d4b334d8697e68c77ea9a9945" PartId="52422c5b550c4f80a0ef244dc878f2c3"/>
  <Part Type="pastraipa" DocPartId="1257b2a361944495bf15a95cc32170f1" PartId="5ae00ab6d97f497da463d9ec5ee35111"/>
  <Part Type="pastraipa" DocPartId="4b26caac143c46809186dbc652629c96" PartId="324b73babe0c43a882867fb9facfd0f8"/>
  <Part Type="pastraipa" DocPartId="1629a786cfe94c88bb35df69734d449a" PartId="a19b2a1db1184fb29b95626f443103e5"/>
  <Part Type="pastraipa" DocPartId="394ef76630724e3ba07f9079f6762088" PartId="6c7da0ffa7dc4beead6983cacc52b5f2">
    <Part Type="signatura" DocPartId="e3a18b79997a41d49cbb96800c64e618" PartId="af65694702ae4c63be6940db00dcf76c"/>
  </Part>
</Parts>
</file>

<file path=customXml/itemProps1.xml><?xml version="1.0" encoding="utf-8"?>
<ds:datastoreItem xmlns:ds="http://schemas.openxmlformats.org/officeDocument/2006/customXml" ds:itemID="{45F6FF2D-BF5E-49BE-944E-7C1F4F41D8C4}">
  <ds:schemaRefs>
    <ds:schemaRef ds:uri="19cf09c5-daa1-4028-a0ff-74a0be4ec5cc"/>
    <ds:schemaRef ds:uri="http://purl.org/dc/terms/"/>
    <ds:schemaRef ds:uri="http://schemas.microsoft.com/office/2006/documentManagement/types"/>
    <ds:schemaRef ds:uri="http://purl.org/dc/elements/1.1/"/>
    <ds:schemaRef ds:uri="http://schemas.microsoft.com/office/2006/metadata/properties"/>
    <ds:schemaRef ds:uri="f5aad5d0-9c26-490e-8743-a6c7ceabd501"/>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42553E7C-3D9D-4B27-93CE-D228BA1D85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0B30F3-1C94-498D-96EA-4307B4AEE091}">
  <ds:schemaRefs>
    <ds:schemaRef ds:uri="http://schemas.microsoft.com/sharepoint/v3/contenttype/forms"/>
  </ds:schemaRefs>
</ds:datastoreItem>
</file>

<file path=customXml/itemProps4.xml><?xml version="1.0" encoding="utf-8"?>
<ds:datastoreItem xmlns:ds="http://schemas.openxmlformats.org/officeDocument/2006/customXml" ds:itemID="{91A32F50-106E-4840-AD00-AED69D12F959}">
  <ds:schemaRefs>
    <ds:schemaRef ds:uri="http://schemas.openxmlformats.org/officeDocument/2006/bibliography"/>
  </ds:schemaRefs>
</ds:datastoreItem>
</file>

<file path=customXml/itemProps5.xml><?xml version="1.0" encoding="utf-8"?>
<ds:datastoreItem xmlns:ds="http://schemas.openxmlformats.org/officeDocument/2006/customXml" ds:itemID="{31C686B5-665B-4CB8-A633-E102DE7C8D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373</Words>
  <Characters>2852</Characters>
  <Application>Microsoft Office Word</Application>
  <DocSecurity>4</DocSecurity>
  <Lines>73</Lines>
  <Paragraphs>32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3193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2021-07-08T05:23:00Z</dcterms:created>
  <dc:creator>l.ceicyte</dc:creator>
  <lastModifiedBy>adlibuser</lastModifiedBy>
  <lastPrinted>2019-05-24T09:45:00Z</lastPrinted>
  <dcterms:modified xsi:type="dcterms:W3CDTF">2021-07-08T05:23:00Z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