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4cbab17980e4edfa5355fc1ca21d376"/>
        <w:lock w:val="sdtLocked"/>
        <w:richText/>
      </w:sdtPr>
      <w:sdtContent>
        <w:p w14:paraId="61516F12" w14:textId="77777777">
          <w:pPr>
            <w:tabs>
              <w:tab w:val="left" w:pos="7395"/>
            </w:tabs>
            <w:suppressAutoHyphens/>
            <w:spacing w:line="259" w:lineRule="auto"/>
            <w:ind w:left="7371"/>
            <w:rPr>
              <w:rFonts w:eastAsia="Calibri"/>
              <w:b/>
              <w:szCs w:val="24"/>
            </w:rPr>
          </w:pPr>
          <w:r>
            <w:rPr>
              <w:rFonts w:eastAsia="Calibri"/>
              <w:b/>
              <w:szCs w:val="24"/>
            </w:rPr>
            <w:t xml:space="preserve">Projekto </w:t>
          </w:r>
        </w:p>
        <w:p w14:paraId="0C1EF4D0" w14:textId="77777777">
          <w:pPr>
            <w:tabs>
              <w:tab w:val="left" w:pos="7395"/>
            </w:tabs>
            <w:suppressAutoHyphens/>
            <w:spacing w:line="259" w:lineRule="auto"/>
            <w:ind w:left="7371"/>
            <w:rPr>
              <w:rFonts w:eastAsia="Calibri"/>
              <w:b/>
              <w:szCs w:val="24"/>
            </w:rPr>
          </w:pPr>
          <w:r>
            <w:rPr>
              <w:rFonts w:eastAsia="Calibri"/>
              <w:b/>
              <w:szCs w:val="24"/>
            </w:rPr>
            <w:t>lyginamasis variantas</w:t>
          </w:r>
        </w:p>
        <w:p w14:paraId="1AA28690" w14:textId="77777777">
          <w:pPr>
            <w:tabs>
              <w:tab w:val="center" w:pos="4986"/>
              <w:tab w:val="right" w:pos="9972"/>
            </w:tabs>
            <w:suppressAutoHyphens/>
          </w:pPr>
        </w:p>
        <w:p w14:paraId="36C144E8" w14:textId="77777777">
          <w:pPr>
            <w:tabs>
              <w:tab w:val="center" w:pos="4819"/>
              <w:tab w:val="right" w:pos="9638"/>
            </w:tabs>
            <w:suppressAutoHyphens/>
            <w:jc w:val="center"/>
            <w:rPr>
              <w:b/>
              <w:szCs w:val="24"/>
              <w:lang w:eastAsia="lt-LT"/>
            </w:rPr>
          </w:pPr>
        </w:p>
        <w:p w14:paraId="2F7D5A83" w14:textId="77777777">
          <w:pPr>
            <w:tabs>
              <w:tab w:val="left" w:pos="4820"/>
              <w:tab w:val="left" w:pos="7229"/>
            </w:tabs>
            <w:suppressAutoHyphens/>
            <w:ind w:firstLine="62"/>
            <w:jc w:val="center"/>
            <w:rPr>
              <w:b/>
              <w:caps/>
              <w:szCs w:val="24"/>
            </w:rPr>
          </w:pPr>
          <w:r>
            <w:rPr>
              <w:b/>
              <w:caps/>
              <w:szCs w:val="24"/>
            </w:rPr>
            <w:t xml:space="preserve">VALSTYBINĖS MOKESČIŲ INSPEKCIJOS </w:t>
            <w:br/>
            <w:t xml:space="preserve">PRIE LIETUVOS RESPUBLIKOS FINANSŲ MINISTERIJOS </w:t>
            <w:br/>
            <w:t>VIRŠININKAS</w:t>
          </w:r>
        </w:p>
        <w:p w14:paraId="77063272" w14:textId="77777777">
          <w:pPr>
            <w:tabs>
              <w:tab w:val="center" w:pos="4819"/>
              <w:tab w:val="left" w:pos="7229"/>
              <w:tab w:val="left" w:pos="7440"/>
            </w:tabs>
            <w:suppressAutoHyphens/>
            <w:rPr>
              <w:b/>
              <w:caps/>
              <w:szCs w:val="24"/>
            </w:rPr>
          </w:pPr>
        </w:p>
        <w:p w14:paraId="43CA3DF8" w14:textId="77777777">
          <w:pPr>
            <w:tabs>
              <w:tab w:val="left" w:pos="4820"/>
              <w:tab w:val="left" w:pos="7229"/>
            </w:tabs>
            <w:suppressAutoHyphens/>
            <w:jc w:val="center"/>
            <w:rPr>
              <w:caps/>
              <w:szCs w:val="24"/>
            </w:rPr>
          </w:pPr>
          <w:r>
            <w:rPr>
              <w:b/>
              <w:caps/>
              <w:szCs w:val="24"/>
            </w:rPr>
            <w:t>ĮSAKYMAS</w:t>
          </w:r>
        </w:p>
        <w:p w14:paraId="40B824FE" w14:textId="77777777">
          <w:pPr>
            <w:tabs>
              <w:tab w:val="left" w:pos="851"/>
              <w:tab w:val="left" w:pos="4820"/>
              <w:tab w:val="left" w:pos="7229"/>
            </w:tabs>
            <w:suppressAutoHyphens/>
            <w:jc w:val="center"/>
            <w:rPr>
              <w:b/>
              <w:bCs/>
              <w:color w:val="000000"/>
              <w:szCs w:val="24"/>
              <w:shd w:val="clear" w:color="auto" w:fill="FFFFFF"/>
            </w:rPr>
          </w:pPr>
          <w:r>
            <w:rPr>
              <w:b/>
              <w:bCs/>
              <w:color w:val="000000"/>
              <w:szCs w:val="24"/>
              <w:shd w:val="clear" w:color="auto" w:fill="FFFFFF"/>
            </w:rPr>
            <w:t>DĖL VALSTYBINĖS MOKESČIŲ INSPEKCIJOS PRIE LIETUVOS RESPUBLIKOS FINANSŲ MINISTERIJOS VIRŠININKO 2004 M. KOVO 12 D. ĮSAKYMO NR. </w:t>
          </w:r>
          <w:r>
            <w:rPr>
              <w:b/>
              <w:bCs/>
              <w:iCs/>
              <w:color w:val="000000"/>
              <w:szCs w:val="24"/>
            </w:rPr>
            <w:t>VA-34</w:t>
          </w:r>
          <w:r>
            <w:rPr>
              <w:b/>
              <w:bCs/>
              <w:color w:val="000000"/>
              <w:szCs w:val="24"/>
              <w:shd w:val="clear" w:color="auto" w:fill="FFFFFF"/>
            </w:rPr>
            <w:t> „DĖL PREKIŲ TIEKIMO IR PASLAUGŲ TEIKIMO Į KITAS EUROPOS SĄJUNGOS VALSTYBES NARES ATASKAITOS FR0564 FORMOS IR JOS PRIEDŲ UŽPILDYMO, TEIKIMO IR TIKSLINIMO TAISYKLIŲ PATVIRTINIMO“ PAKEITIMO</w:t>
          </w:r>
        </w:p>
        <w:p w14:paraId="736FEC34" w14:textId="77777777">
          <w:pPr>
            <w:tabs>
              <w:tab w:val="left" w:pos="851"/>
              <w:tab w:val="left" w:pos="4820"/>
              <w:tab w:val="left" w:pos="7229"/>
            </w:tabs>
            <w:suppressAutoHyphens/>
            <w:jc w:val="center"/>
            <w:rPr>
              <w:b/>
              <w:caps/>
              <w:szCs w:val="24"/>
            </w:rPr>
          </w:pPr>
        </w:p>
        <w:sdt>
          <w:sdtPr>
            <w:alias w:val="preambule"/>
            <w:tag w:val="part_1b3461800401458bb58b7650469708c7"/>
            <w:lock w:val="sdtLocked"/>
            <w:richText/>
          </w:sdtPr>
          <w:sdtContent>
            <w:p w14:paraId="27C56F1E" w14:textId="77777777">
              <w:pPr>
                <w:tabs>
                  <w:tab w:val="left" w:pos="195"/>
                  <w:tab w:val="left" w:pos="547"/>
                  <w:tab w:val="center" w:pos="4819"/>
                  <w:tab w:val="left" w:pos="6850"/>
                  <w:tab w:val="left" w:pos="7229"/>
                </w:tabs>
                <w:suppressAutoHyphens/>
                <w:ind w:firstLine="547"/>
                <w:rPr>
                  <w:b/>
                  <w:szCs w:val="24"/>
                </w:rPr>
              </w:pPr>
              <w:r>
                <w:rPr>
                  <w:szCs w:val="24"/>
                </w:rPr>
                <w:tab/>
                <w:t xml:space="preserve">Nr. </w:t>
              </w:r>
            </w:p>
          </w:sdtContent>
        </w:sdt>
        <w:sdt>
          <w:sdtPr>
            <w:alias w:val="pastraipa"/>
            <w:tag w:val="part_dd195d73af474794a0d55cfe15032a18"/>
            <w:lock w:val="sdtLocked"/>
            <w:richText/>
          </w:sdtPr>
          <w:sdtContent>
            <w:p w14:paraId="5C449ED9" w14:textId="77777777">
              <w:pPr>
                <w:tabs>
                  <w:tab w:val="left" w:pos="4820"/>
                  <w:tab w:val="left" w:pos="7229"/>
                </w:tabs>
                <w:suppressAutoHyphens/>
                <w:jc w:val="center"/>
                <w:rPr>
                  <w:b/>
                  <w:szCs w:val="24"/>
                </w:rPr>
              </w:pPr>
              <w:r>
                <w:rPr>
                  <w:szCs w:val="24"/>
                </w:rPr>
                <w:t>Vilnius</w:t>
              </w:r>
            </w:p>
            <w:p w14:paraId="4F8ED993" w14:textId="77777777">
              <w:pPr>
                <w:tabs>
                  <w:tab w:val="left" w:pos="4820"/>
                  <w:tab w:val="left" w:pos="7229"/>
                </w:tabs>
                <w:suppressAutoHyphens/>
                <w:jc w:val="center"/>
                <w:rPr>
                  <w:szCs w:val="24"/>
                </w:rPr>
              </w:pPr>
            </w:p>
            <w:p w14:paraId="363DC813" w14:textId="77777777">
              <w:pPr>
                <w:tabs>
                  <w:tab w:val="left" w:pos="4820"/>
                  <w:tab w:val="left" w:pos="7229"/>
                </w:tabs>
                <w:suppressAutoHyphens/>
                <w:jc w:val="center"/>
                <w:rPr>
                  <w:szCs w:val="24"/>
                </w:rPr>
              </w:pPr>
            </w:p>
            <w:p w14:paraId="7B315B6A" w14:textId="072C96C0">
              <w:pPr>
                <w:tabs>
                  <w:tab w:val="left" w:pos="0"/>
                  <w:tab w:val="left" w:pos="709"/>
                  <w:tab w:val="left" w:pos="993"/>
                  <w:tab w:val="left" w:pos="2268"/>
                </w:tabs>
                <w:suppressAutoHyphens/>
                <w:ind w:firstLine="709"/>
                <w:jc w:val="both"/>
                <w:rPr>
                  <w:color w:val="000000"/>
                  <w:spacing w:val="-1"/>
                  <w:szCs w:val="24"/>
                  <w:lang w:eastAsia="lt-LT"/>
                </w:rPr>
              </w:pPr>
              <w:r>
                <w:rPr>
                  <w:spacing w:val="80"/>
                  <w:szCs w:val="24"/>
                  <w:lang w:eastAsia="lt-LT"/>
                </w:rPr>
                <w:t>Pakeiči</w:t>
              </w:r>
              <w:r>
                <w:rPr>
                  <w:szCs w:val="24"/>
                  <w:lang w:eastAsia="lt-LT"/>
                </w:rPr>
                <w:t xml:space="preserve">u </w:t>
              </w:r>
              <w:r>
                <w:rPr>
                  <w:color w:val="000000"/>
                  <w:szCs w:val="24"/>
                  <w:lang w:eastAsia="lt-LT"/>
                </w:rPr>
                <w:t>Valstybinės mokesčių inspekcijos prie Lietuvos Respublikos finansų ministerijos viršininko 2004 m. kovo 12 d. įsakymą Nr. VA-34 „D</w:t>
              </w:r>
              <w:r>
                <w:rPr>
                  <w:szCs w:val="24"/>
                  <w:lang w:eastAsia="lt-LT"/>
                </w:rPr>
                <w:t>ėl Prekių tiekimo ir paslaugų teikimo į kitas Europos Sąjungos valstybes nares ataskaitos FR0564 formos ir jos priedų užpildymo, teikimo ir tikslinimo taisyklių patvirtinimo“</w:t>
              </w:r>
              <w:r>
                <w:rPr>
                  <w:color w:val="000000"/>
                  <w:spacing w:val="-1"/>
                  <w:szCs w:val="24"/>
                  <w:lang w:eastAsia="lt-LT"/>
                </w:rPr>
                <w:t>:</w:t>
              </w:r>
            </w:p>
          </w:sdtContent>
        </w:sdt>
        <w:sdt>
          <w:sdtPr>
            <w:alias w:val="1 p."/>
            <w:tag w:val="part_9b71734d94bc489bb274311f2aa15bec"/>
            <w:lock w:val="sdtLocked"/>
            <w:richText/>
          </w:sdtPr>
          <w:sdtContent>
            <w:p w14:paraId="2F8CDB88" w14:textId="3D25C341">
              <w:pPr>
                <w:tabs>
                  <w:tab w:val="left" w:pos="709"/>
                  <w:tab w:val="left" w:pos="993"/>
                  <w:tab w:val="left" w:pos="2268"/>
                </w:tabs>
                <w:suppressAutoHyphens/>
                <w:ind w:left="1069" w:hanging="360"/>
                <w:jc w:val="both"/>
                <w:rPr>
                  <w:color w:val="000000"/>
                  <w:spacing w:val="-1"/>
                  <w:szCs w:val="24"/>
                  <w:lang w:eastAsia="lt-LT"/>
                </w:rPr>
              </w:pPr>
              <w:sdt>
                <w:sdtPr>
                  <w:alias w:val="Numeris"/>
                  <w:tag w:val="nr_9b71734d94bc489bb274311f2aa15bec"/>
                  <w:lock w:val="sdtLocked"/>
                  <w:richText/>
                </w:sdtPr>
                <w:sdtContent>
                  <w:r>
                    <w:rPr>
                      <w:rFonts w:eastAsia="Calibri"/>
                      <w:color w:val="000000"/>
                      <w:spacing w:val="-1"/>
                      <w:szCs w:val="24"/>
                      <w:lang w:eastAsia="lt-LT"/>
                    </w:rPr>
                    <w:t>1</w:t>
                  </w:r>
                </w:sdtContent>
              </w:sdt>
              <w:r>
                <w:rPr>
                  <w:rFonts w:eastAsia="Calibri"/>
                  <w:color w:val="000000"/>
                  <w:spacing w:val="-1"/>
                  <w:szCs w:val="24"/>
                  <w:lang w:eastAsia="lt-LT"/>
                </w:rPr>
                <w:t>.</w:t>
                <w:tab/>
              </w:r>
              <w:r>
                <w:rPr>
                  <w:color w:val="000000"/>
                  <w:spacing w:val="-1"/>
                  <w:szCs w:val="24"/>
                  <w:lang w:eastAsia="lt-LT"/>
                </w:rPr>
                <w:t>Pakeičiu preambulę ir ją išdėstau taip:</w:t>
              </w:r>
            </w:p>
            <w:sdt>
              <w:sdtPr>
                <w:alias w:val="citata"/>
                <w:tag w:val="part_ccb6ca20164c47d3938314ca432b036e"/>
                <w:lock w:val="sdtLocked"/>
                <w:richText/>
              </w:sdtPr>
              <w:sdtContent>
                <w:sdt>
                  <w:sdtPr>
                    <w:alias w:val="pastraipa"/>
                    <w:tag w:val="part_4df475a2c27f4744a52027ac2695e130"/>
                    <w:lock w:val="sdtLocked"/>
                    <w:richText/>
                  </w:sdtPr>
                  <w:sdtContent>
                    <w:p w14:paraId="49CECB25" w14:textId="7CBB4344">
                      <w:pPr>
                        <w:tabs>
                          <w:tab w:val="left" w:pos="0"/>
                          <w:tab w:val="left" w:pos="851"/>
                          <w:tab w:val="left" w:pos="993"/>
                          <w:tab w:val="left" w:pos="1134"/>
                          <w:tab w:val="left" w:pos="2268"/>
                        </w:tabs>
                        <w:suppressAutoHyphens/>
                        <w:ind w:firstLine="709"/>
                        <w:jc w:val="both"/>
                        <w:rPr>
                          <w:color w:val="000000"/>
                          <w:spacing w:val="-1"/>
                          <w:szCs w:val="24"/>
                          <w:lang w:eastAsia="lt-LT"/>
                        </w:rPr>
                      </w:pPr>
                      <w:r>
                        <w:rPr>
                          <w:color w:val="000000"/>
                          <w:spacing w:val="-1"/>
                          <w:szCs w:val="24"/>
                          <w:lang w:eastAsia="lt-LT"/>
                        </w:rPr>
                        <w:t>„Vadovaudamasi Lietuvos Respublikos pridėtinės vertės mokesčio įstatymo 88</w:t>
                      </w:r>
                      <w:r>
                        <w:rPr>
                          <w:color w:val="000000"/>
                          <w:spacing w:val="-1"/>
                          <w:szCs w:val="24"/>
                          <w:vertAlign w:val="superscript"/>
                          <w:lang w:eastAsia="lt-LT"/>
                        </w:rPr>
                        <w:t>1</w:t>
                      </w:r>
                      <w:r>
                        <w:rPr>
                          <w:color w:val="000000"/>
                          <w:spacing w:val="-1"/>
                          <w:szCs w:val="24"/>
                          <w:lang w:eastAsia="lt-LT"/>
                        </w:rPr>
                        <w:t xml:space="preserve"> </w:t>
                      </w:r>
                      <w:r>
                        <w:rPr>
                          <w:strike/>
                          <w:color w:val="000000"/>
                          <w:spacing w:val="-1"/>
                          <w:szCs w:val="24"/>
                          <w:lang w:eastAsia="lt-LT"/>
                        </w:rPr>
                        <w:t>straipsniu</w:t>
                      </w:r>
                      <w:r>
                        <w:rPr>
                          <w:color w:val="000000"/>
                          <w:spacing w:val="-1"/>
                          <w:szCs w:val="24"/>
                          <w:lang w:eastAsia="lt-LT"/>
                        </w:rPr>
                        <w:t xml:space="preserve"> </w:t>
                      </w:r>
                      <w:r>
                        <w:rPr>
                          <w:b/>
                          <w:color w:val="000000"/>
                          <w:spacing w:val="-1"/>
                          <w:szCs w:val="24"/>
                          <w:lang w:eastAsia="lt-LT"/>
                        </w:rPr>
                        <w:t>straipsnio 3 dalimi</w:t>
                      </w:r>
                      <w:r>
                        <w:rPr>
                          <w:color w:val="000000"/>
                          <w:spacing w:val="-1"/>
                          <w:szCs w:val="24"/>
                          <w:lang w:eastAsia="lt-LT"/>
                        </w:rPr>
                        <w:t>,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w:t>
                      </w:r>
                      <w:r>
                        <w:rPr>
                          <w:strike/>
                          <w:color w:val="000000"/>
                          <w:spacing w:val="-1"/>
                          <w:szCs w:val="24"/>
                          <w:lang w:eastAsia="lt-LT"/>
                        </w:rPr>
                        <w:t xml:space="preserve"> 18.11.</w:t>
                      </w:r>
                      <w:r>
                        <w:rPr>
                          <w:color w:val="000000"/>
                          <w:spacing w:val="-1"/>
                          <w:szCs w:val="24"/>
                          <w:lang w:eastAsia="lt-LT"/>
                        </w:rPr>
                        <w:t xml:space="preserve"> 22.9 papunkčiu,“. </w:t>
                      </w:r>
                    </w:p>
                  </w:sdtContent>
                </w:sdt>
              </w:sdtContent>
            </w:sdt>
          </w:sdtContent>
        </w:sdt>
        <w:sdt>
          <w:sdtPr>
            <w:alias w:val="2 p."/>
            <w:tag w:val="part_e850f81c89b24f1688c7046f6cd90837"/>
            <w:lock w:val="sdtLocked"/>
            <w:richText/>
          </w:sdtPr>
          <w:sdtContent>
            <w:p w14:paraId="1D542302" w14:textId="6DD5C64F">
              <w:pPr>
                <w:tabs>
                  <w:tab w:val="left" w:pos="993"/>
                  <w:tab w:val="left" w:pos="1418"/>
                  <w:tab w:val="left" w:pos="2268"/>
                </w:tabs>
                <w:suppressAutoHyphens/>
                <w:ind w:firstLine="709"/>
                <w:jc w:val="both"/>
                <w:rPr>
                  <w:color w:val="000000"/>
                  <w:spacing w:val="-1"/>
                  <w:szCs w:val="24"/>
                  <w:lang w:eastAsia="lt-LT"/>
                </w:rPr>
              </w:pPr>
              <w:sdt>
                <w:sdtPr>
                  <w:alias w:val="Numeris"/>
                  <w:tag w:val="nr_e850f81c89b24f1688c7046f6cd90837"/>
                  <w:lock w:val="sdtLocked"/>
                  <w:richText/>
                </w:sdtPr>
                <w:sdtContent>
                  <w:r>
                    <w:rPr>
                      <w:rFonts w:eastAsia="Calibri"/>
                      <w:color w:val="000000"/>
                      <w:spacing w:val="-1"/>
                      <w:szCs w:val="24"/>
                      <w:lang w:eastAsia="lt-LT"/>
                    </w:rPr>
                    <w:t>2</w:t>
                  </w:r>
                </w:sdtContent>
              </w:sdt>
              <w:r>
                <w:rPr>
                  <w:rFonts w:eastAsia="Calibri"/>
                  <w:color w:val="000000"/>
                  <w:spacing w:val="-1"/>
                  <w:szCs w:val="24"/>
                  <w:lang w:eastAsia="lt-LT"/>
                </w:rPr>
                <w:t>.</w:t>
                <w:tab/>
              </w:r>
              <w:r>
                <w:rPr>
                  <w:color w:val="000000"/>
                  <w:spacing w:val="-1"/>
                  <w:szCs w:val="24"/>
                  <w:lang w:eastAsia="lt-LT"/>
                </w:rPr>
                <w:t>Pakeičiu nurodytu įsakymu patvirtintas Prekių tiekimo ir paslaugų teikimo į kitas Europos Sąjungos valstybes nares ataskaitos FR0564 formos ir jos priedų užpildymo, teikimo ir tikslinimo taisykles:</w:t>
              </w:r>
            </w:p>
            <w:sdt>
              <w:sdtPr>
                <w:alias w:val="2.1 pp."/>
                <w:tag w:val="part_e30fa69149ee469ab7004994053c2a2f"/>
                <w:lock w:val="sdtLocked"/>
                <w:richText/>
              </w:sdtPr>
              <w:sdtContent>
                <w:p w14:paraId="3FCFD207" w14:textId="3308A604">
                  <w:pPr>
                    <w:tabs>
                      <w:tab w:val="left" w:pos="993"/>
                      <w:tab w:val="left" w:pos="1418"/>
                      <w:tab w:val="left" w:pos="2268"/>
                    </w:tabs>
                    <w:suppressAutoHyphens/>
                    <w:ind w:left="1069" w:hanging="360"/>
                    <w:jc w:val="both"/>
                    <w:rPr>
                      <w:color w:val="000000"/>
                      <w:spacing w:val="-1"/>
                      <w:szCs w:val="24"/>
                      <w:lang w:eastAsia="lt-LT"/>
                    </w:rPr>
                  </w:pPr>
                  <w:sdt>
                    <w:sdtPr>
                      <w:alias w:val="Numeris"/>
                      <w:tag w:val="nr_e30fa69149ee469ab7004994053c2a2f"/>
                      <w:lock w:val="sdtLocked"/>
                      <w:richText/>
                    </w:sdtPr>
                    <w:sdtContent>
                      <w:r>
                        <w:rPr>
                          <w:color w:val="000000"/>
                          <w:spacing w:val="-1"/>
                          <w:szCs w:val="24"/>
                          <w:lang w:eastAsia="lt-LT"/>
                        </w:rPr>
                        <w:t>2.1</w:t>
                      </w:r>
                    </w:sdtContent>
                  </w:sdt>
                  <w:r>
                    <w:rPr>
                      <w:color w:val="000000"/>
                      <w:spacing w:val="-1"/>
                      <w:szCs w:val="24"/>
                      <w:lang w:eastAsia="lt-LT"/>
                    </w:rPr>
                    <w:t>.</w:t>
                    <w:tab/>
                    <w:t xml:space="preserve"> Pakeičiu 1 punktą ir jį išdėstau taip:</w:t>
                  </w:r>
                </w:p>
                <w:sdt>
                  <w:sdtPr>
                    <w:alias w:val="citata"/>
                    <w:tag w:val="part_38740c66c8bb4ad8a7d7fccf138655fc"/>
                    <w:lock w:val="sdtLocked"/>
                    <w:richText/>
                  </w:sdtPr>
                  <w:sdtContent>
                    <w:sdt>
                      <w:sdtPr>
                        <w:alias w:val="1 p."/>
                        <w:tag w:val="part_a2478911e5c74285b1f7a3e6c0945f17"/>
                        <w:lock w:val="sdtLocked"/>
                        <w:richText/>
                      </w:sdtPr>
                      <w:sdtContent>
                        <w:p w14:paraId="22B92944" w14:textId="77777777">
                          <w:pPr>
                            <w:tabs>
                              <w:tab w:val="left" w:pos="0"/>
                              <w:tab w:val="left" w:pos="993"/>
                              <w:tab w:val="left" w:pos="1418"/>
                              <w:tab w:val="left" w:pos="2268"/>
                            </w:tabs>
                            <w:suppressAutoHyphens/>
                            <w:ind w:firstLine="709"/>
                            <w:jc w:val="both"/>
                            <w:rPr>
                              <w:color w:val="000000"/>
                              <w:spacing w:val="-1"/>
                              <w:szCs w:val="24"/>
                              <w:lang w:eastAsia="lt-LT"/>
                            </w:rPr>
                          </w:pPr>
                          <w:r>
                            <w:rPr>
                              <w:color w:val="000000"/>
                              <w:spacing w:val="-1"/>
                              <w:szCs w:val="24"/>
                              <w:lang w:eastAsia="lt-LT"/>
                            </w:rPr>
                            <w:t>„</w:t>
                          </w:r>
                          <w:sdt>
                            <w:sdtPr>
                              <w:alias w:val="Numeris"/>
                              <w:tag w:val="nr_a2478911e5c74285b1f7a3e6c0945f17"/>
                              <w:lock w:val="sdtLocked"/>
                              <w:richText/>
                            </w:sdtPr>
                            <w:sdtContent>
                              <w:r>
                                <w:rPr>
                                  <w:color w:val="000000"/>
                                  <w:spacing w:val="-1"/>
                                  <w:szCs w:val="24"/>
                                  <w:lang w:eastAsia="lt-LT"/>
                                </w:rPr>
                                <w:t>1</w:t>
                              </w:r>
                            </w:sdtContent>
                          </w:sdt>
                          <w:r>
                            <w:rPr>
                              <w:color w:val="000000"/>
                              <w:spacing w:val="-1"/>
                              <w:szCs w:val="24"/>
                              <w:lang w:eastAsia="lt-LT"/>
                            </w:rPr>
                            <w:t xml:space="preserve">. </w:t>
                          </w:r>
                          <w:r>
                            <w:rPr>
                              <w:strike/>
                              <w:color w:val="000000"/>
                              <w:spacing w:val="-1"/>
                              <w:szCs w:val="24"/>
                              <w:lang w:eastAsia="lt-LT"/>
                            </w:rPr>
                            <w:t>Šios</w:t>
                          </w:r>
                          <w:r>
                            <w:rPr>
                              <w:color w:val="000000"/>
                              <w:spacing w:val="-1"/>
                              <w:szCs w:val="24"/>
                              <w:lang w:eastAsia="lt-LT"/>
                            </w:rPr>
                            <w:t xml:space="preserve"> Prekių tiekimo ir paslaugų teikimo į kitas Europos Sąjungos valstybes nares ataskaitos FR0564 formos ir jos priedų užpildymo, teikimo ir tikslinimo taisyklės (toliau – Taisyklės) nustato Prekių tiekimo ir paslaugų teikimo į kitas Europos Sąjungos valstybes </w:t>
                          </w:r>
                          <w:r>
                            <w:rPr>
                              <w:strike/>
                              <w:color w:val="000000"/>
                              <w:spacing w:val="-1"/>
                              <w:szCs w:val="24"/>
                              <w:lang w:eastAsia="lt-LT"/>
                            </w:rPr>
                            <w:t xml:space="preserve">(toliau  ES)</w:t>
                          </w:r>
                          <w:r>
                            <w:rPr>
                              <w:color w:val="000000"/>
                              <w:spacing w:val="-1"/>
                              <w:szCs w:val="24"/>
                              <w:lang w:eastAsia="lt-LT"/>
                            </w:rPr>
                            <w:t xml:space="preserve"> nares ataskaitos </w:t>
                          </w:r>
                          <w:r>
                            <w:rPr>
                              <w:strike/>
                              <w:color w:val="000000"/>
                              <w:spacing w:val="-1"/>
                              <w:szCs w:val="24"/>
                              <w:lang w:eastAsia="lt-LT"/>
                            </w:rPr>
                            <w:t>formos</w:t>
                          </w:r>
                          <w:r>
                            <w:rPr>
                              <w:b/>
                              <w:color w:val="000000"/>
                              <w:spacing w:val="-1"/>
                              <w:szCs w:val="24"/>
                              <w:lang w:eastAsia="lt-LT"/>
                            </w:rPr>
                            <w:t>,</w:t>
                          </w:r>
                          <w:r>
                            <w:rPr>
                              <w:color w:val="000000"/>
                              <w:spacing w:val="-1"/>
                              <w:szCs w:val="24"/>
                              <w:lang w:eastAsia="lt-LT"/>
                            </w:rPr>
                            <w:t xml:space="preserve"> </w:t>
                          </w:r>
                          <w:r>
                            <w:rPr>
                              <w:b/>
                              <w:color w:val="000000"/>
                              <w:spacing w:val="-1"/>
                              <w:szCs w:val="24"/>
                              <w:lang w:eastAsia="lt-LT"/>
                            </w:rPr>
                            <w:t>kurios forma</w:t>
                          </w:r>
                          <w:r>
                            <w:rPr>
                              <w:color w:val="000000"/>
                              <w:spacing w:val="-1"/>
                              <w:szCs w:val="24"/>
                              <w:lang w:eastAsia="lt-LT"/>
                            </w:rPr>
                            <w:t xml:space="preserve"> FR0564 ir jos </w:t>
                          </w:r>
                          <w:r>
                            <w:rPr>
                              <w:strike/>
                              <w:color w:val="000000"/>
                              <w:spacing w:val="-1"/>
                              <w:szCs w:val="24"/>
                              <w:lang w:eastAsia="lt-LT"/>
                            </w:rPr>
                            <w:t>priedų FR0564R ir FR0564T</w:t>
                          </w:r>
                          <w:r>
                            <w:rPr>
                              <w:color w:val="000000"/>
                              <w:spacing w:val="-1"/>
                              <w:szCs w:val="24"/>
                              <w:lang w:eastAsia="lt-LT"/>
                            </w:rPr>
                            <w:t xml:space="preserve"> </w:t>
                          </w:r>
                          <w:r>
                            <w:rPr>
                              <w:b/>
                              <w:color w:val="000000"/>
                              <w:spacing w:val="-1"/>
                              <w:szCs w:val="24"/>
                              <w:lang w:eastAsia="lt-LT"/>
                            </w:rPr>
                            <w:t>priedai patvirtinti šiuo Valstybinės mokesčių inspekcijos prie Lietuvos Respublikos finansų ministerijos viršininko įsakymu</w:t>
                          </w:r>
                          <w:r>
                            <w:rPr>
                              <w:color w:val="000000"/>
                              <w:spacing w:val="-1"/>
                              <w:szCs w:val="24"/>
                              <w:lang w:eastAsia="lt-LT"/>
                            </w:rPr>
                            <w:t xml:space="preserve"> (toliau </w:t>
                          </w:r>
                          <w:r>
                            <w:rPr>
                              <w:strike/>
                              <w:color w:val="000000"/>
                              <w:spacing w:val="-1"/>
                              <w:szCs w:val="24"/>
                              <w:lang w:eastAsia="lt-LT"/>
                            </w:rPr>
                            <w:t>visi kartu</w:t>
                          </w:r>
                          <w:r>
                            <w:rPr>
                              <w:color w:val="000000"/>
                              <w:spacing w:val="-1"/>
                              <w:szCs w:val="24"/>
                              <w:lang w:eastAsia="lt-LT"/>
                            </w:rPr>
                            <w:t xml:space="preserve"> – ataskaita), užpildymo, teikimo ir tikslinimo tvarką.“</w:t>
                          </w:r>
                        </w:p>
                      </w:sdtContent>
                    </w:sdt>
                  </w:sdtContent>
                </w:sdt>
              </w:sdtContent>
            </w:sdt>
            <w:sdt>
              <w:sdtPr>
                <w:alias w:val="2.2 pp."/>
                <w:tag w:val="part_8eb841ea20f048aabf5e30bd626e49ba"/>
                <w:lock w:val="sdtLocked"/>
                <w:richText/>
              </w:sdtPr>
              <w:sdtContent>
                <w:p w14:paraId="3470DD8F" w14:textId="0A9FE45E">
                  <w:pPr>
                    <w:tabs>
                      <w:tab w:val="left" w:pos="0"/>
                      <w:tab w:val="left" w:pos="1134"/>
                    </w:tabs>
                    <w:suppressAutoHyphens/>
                    <w:ind w:firstLine="709"/>
                    <w:jc w:val="both"/>
                    <w:rPr>
                      <w:szCs w:val="24"/>
                      <w:lang w:eastAsia="lt-LT"/>
                    </w:rPr>
                  </w:pPr>
                  <w:sdt>
                    <w:sdtPr>
                      <w:alias w:val="Numeris"/>
                      <w:tag w:val="nr_8eb841ea20f048aabf5e30bd626e49ba"/>
                      <w:lock w:val="sdtLocked"/>
                      <w:richText/>
                    </w:sdtPr>
                    <w:sdtContent>
                      <w:r>
                        <w:rPr>
                          <w:szCs w:val="24"/>
                          <w:lang w:eastAsia="lt-LT"/>
                        </w:rPr>
                        <w:t>2.2</w:t>
                      </w:r>
                    </w:sdtContent>
                  </w:sdt>
                  <w:r>
                    <w:rPr>
                      <w:szCs w:val="24"/>
                      <w:lang w:eastAsia="lt-LT"/>
                    </w:rPr>
                    <w:t>.</w:t>
                    <w:tab/>
                  </w:r>
                  <w:r>
                    <w:rPr>
                      <w:szCs w:val="24"/>
                    </w:rPr>
                    <w:t>Pakeičiu 3 punktą ir jį išdėstau taip:</w:t>
                  </w:r>
                </w:p>
                <w:sdt>
                  <w:sdtPr>
                    <w:alias w:val="citata"/>
                    <w:tag w:val="part_8b96e88ef7744dbba49f756f5da5dfbd"/>
                    <w:lock w:val="sdtLocked"/>
                    <w:richText/>
                  </w:sdtPr>
                  <w:sdtContent>
                    <w:sdt>
                      <w:sdtPr>
                        <w:alias w:val="3 p."/>
                        <w:tag w:val="part_8f1c6a9e54f34f27b66bb45692944385"/>
                        <w:lock w:val="sdtLocked"/>
                        <w:richText/>
                      </w:sdtPr>
                      <w:sdtContent>
                        <w:p w14:paraId="68F09834" w14:textId="77777777">
                          <w:pPr>
                            <w:suppressAutoHyphens/>
                            <w:ind w:firstLine="709"/>
                            <w:jc w:val="both"/>
                            <w:rPr>
                              <w:szCs w:val="24"/>
                            </w:rPr>
                          </w:pPr>
                          <w:r>
                            <w:rPr>
                              <w:szCs w:val="24"/>
                              <w:lang w:eastAsia="lt-LT"/>
                            </w:rPr>
                            <w:t>„</w:t>
                          </w:r>
                          <w:sdt>
                            <w:sdtPr>
                              <w:alias w:val="Numeris"/>
                              <w:tag w:val="nr_8f1c6a9e54f34f27b66bb45692944385"/>
                              <w:lock w:val="sdtLocked"/>
                              <w:richText/>
                            </w:sdtPr>
                            <w:sdtContent>
                              <w:r>
                                <w:rPr>
                                  <w:szCs w:val="24"/>
                                </w:rPr>
                                <w:t>3</w:t>
                              </w:r>
                            </w:sdtContent>
                          </w:sdt>
                          <w:r>
                            <w:rPr>
                              <w:szCs w:val="24"/>
                            </w:rPr>
                            <w:t>. Taisyklėse vartojamos sąvokos:</w:t>
                          </w:r>
                        </w:p>
                        <w:sdt>
                          <w:sdtPr>
                            <w:alias w:val="3.1 pp."/>
                            <w:tag w:val="part_2f34492110d74ad9b4d26747fcc024a8"/>
                            <w:lock w:val="sdtLocked"/>
                            <w:richText/>
                          </w:sdtPr>
                          <w:sdtContent>
                            <w:p w14:paraId="710BFA40" w14:textId="192771C9">
                              <w:pPr>
                                <w:suppressAutoHyphens/>
                                <w:ind w:firstLine="709"/>
                                <w:jc w:val="both"/>
                                <w:rPr>
                                  <w:szCs w:val="24"/>
                                </w:rPr>
                              </w:pPr>
                              <w:sdt>
                                <w:sdtPr>
                                  <w:alias w:val="Numeris"/>
                                  <w:tag w:val="nr_2f34492110d74ad9b4d26747fcc024a8"/>
                                  <w:lock w:val="sdtLocked"/>
                                  <w:richText/>
                                </w:sdtPr>
                                <w:sdtContent>
                                  <w:r>
                                    <w:rPr>
                                      <w:szCs w:val="24"/>
                                    </w:rPr>
                                    <w:t>3.1</w:t>
                                  </w:r>
                                </w:sdtContent>
                              </w:sdt>
                              <w:r>
                                <w:rPr>
                                  <w:szCs w:val="24"/>
                                </w:rPr>
                                <w:t xml:space="preserve">. Ataskaitos pagrindinis lapas – </w:t>
                              </w:r>
                              <w:r>
                                <w:rPr>
                                  <w:b/>
                                  <w:szCs w:val="24"/>
                                </w:rPr>
                                <w:t>Prekių tiekimo ir paslaugų teikimo į kitas Europos Sąjungos valstybes nares ataskaitos</w:t>
                              </w:r>
                              <w:r>
                                <w:rPr>
                                  <w:szCs w:val="24"/>
                                </w:rPr>
                                <w:t xml:space="preserve"> forma FR0564</w:t>
                              </w:r>
                              <w:r>
                                <w:rPr>
                                  <w:strike/>
                                  <w:szCs w:val="24"/>
                                </w:rPr>
                                <w:t>;</w:t>
                              </w:r>
                              <w:r>
                                <w:rPr>
                                  <w:b/>
                                  <w:szCs w:val="24"/>
                                </w:rPr>
                                <w:t>,</w:t>
                              </w:r>
                              <w:r>
                                <w:rPr>
                                  <w:szCs w:val="24"/>
                                </w:rPr>
                                <w:t xml:space="preserve"> </w:t>
                              </w:r>
                              <w:r>
                                <w:rPr>
                                  <w:b/>
                                  <w:szCs w:val="24"/>
                                </w:rPr>
                                <w:t>patvirtinta</w:t>
                              </w:r>
                              <w:r>
                                <w:rPr>
                                  <w:b/>
                                </w:rPr>
                                <w:t xml:space="preserve"> </w:t>
                              </w:r>
                              <w:r>
                                <w:rPr>
                                  <w:b/>
                                  <w:szCs w:val="24"/>
                                </w:rPr>
                                <w:t>šiuo Valstybinės mokesčių inspekcijos prie Lietuvos Respublikos finansų ministerijos viršininko įsakymu.</w:t>
                              </w:r>
                            </w:p>
                          </w:sdtContent>
                        </w:sdt>
                        <w:sdt>
                          <w:sdtPr>
                            <w:alias w:val="3.2 pp."/>
                            <w:tag w:val="part_94215c569238499ab9c5ca221c2ac24b"/>
                            <w:lock w:val="sdtLocked"/>
                            <w:richText/>
                          </w:sdtPr>
                          <w:sdtContent>
                            <w:p w14:paraId="738C50A6" w14:textId="57831DE2">
                              <w:pPr>
                                <w:suppressAutoHyphens/>
                                <w:ind w:firstLine="709"/>
                                <w:jc w:val="both"/>
                                <w:rPr>
                                  <w:szCs w:val="24"/>
                                </w:rPr>
                              </w:pPr>
                              <w:sdt>
                                <w:sdtPr>
                                  <w:alias w:val="Numeris"/>
                                  <w:tag w:val="nr_94215c569238499ab9c5ca221c2ac24b"/>
                                  <w:lock w:val="sdtLocked"/>
                                  <w:richText/>
                                </w:sdtPr>
                                <w:sdtContent>
                                  <w:r>
                                    <w:rPr>
                                      <w:szCs w:val="24"/>
                                    </w:rPr>
                                    <w:t>3.2</w:t>
                                  </w:r>
                                </w:sdtContent>
                              </w:sdt>
                              <w:r>
                                <w:rPr>
                                  <w:szCs w:val="24"/>
                                </w:rPr>
                                <w:t xml:space="preserve">. Ataskaitos pagrindinio lapo papildomas lapas – </w:t>
                              </w:r>
                              <w:r>
                                <w:rPr>
                                  <w:b/>
                                  <w:szCs w:val="24"/>
                                </w:rPr>
                                <w:t>Prekių tiekimo ir paslaugų teikimo į kitas Europos Sąjungos valstybes nares ataskaitos formos FR0564, patvirtintos šiuo Valstybinės mokesčių inspekcijos prie Lietuvos Respublikos finansų ministerijos viršininko įsakymu, papildomas lapas</w:t>
                              </w:r>
                              <w:r>
                                <w:rPr>
                                  <w:szCs w:val="24"/>
                                </w:rPr>
                                <w:t xml:space="preserve"> </w:t>
                              </w:r>
                              <w:r>
                                <w:rPr>
                                  <w:strike/>
                                  <w:szCs w:val="24"/>
                                </w:rPr>
                                <w:t>forma</w:t>
                              </w:r>
                              <w:r>
                                <w:rPr>
                                  <w:szCs w:val="24"/>
                                </w:rPr>
                                <w:t xml:space="preserve"> FR0564P</w:t>
                              </w:r>
                              <w:r>
                                <w:rPr>
                                  <w:strike/>
                                  <w:szCs w:val="24"/>
                                </w:rPr>
                                <w:t>;</w:t>
                              </w:r>
                              <w:r>
                                <w:rPr>
                                  <w:b/>
                                  <w:szCs w:val="24"/>
                                </w:rPr>
                                <w:t>.</w:t>
                              </w:r>
                            </w:p>
                          </w:sdtContent>
                        </w:sdt>
                        <w:sdt>
                          <w:sdtPr>
                            <w:alias w:val="3.3 pp."/>
                            <w:tag w:val="part_c3c0fc32050747329afb44a79263c345"/>
                            <w:lock w:val="sdtLocked"/>
                            <w:richText/>
                          </w:sdtPr>
                          <w:sdtContent>
                            <w:p w14:paraId="68FEE39E" w14:textId="59495A34">
                              <w:pPr>
                                <w:suppressAutoHyphens/>
                                <w:ind w:firstLine="709"/>
                                <w:jc w:val="both"/>
                                <w:rPr>
                                  <w:szCs w:val="24"/>
                                </w:rPr>
                              </w:pPr>
                              <w:sdt>
                                <w:sdtPr>
                                  <w:alias w:val="Numeris"/>
                                  <w:tag w:val="nr_c3c0fc32050747329afb44a79263c345"/>
                                  <w:lock w:val="sdtLocked"/>
                                  <w:richText/>
                                </w:sdtPr>
                                <w:sdtContent>
                                  <w:r>
                                    <w:rPr>
                                      <w:szCs w:val="24"/>
                                    </w:rPr>
                                    <w:t>3.3</w:t>
                                  </w:r>
                                </w:sdtContent>
                              </w:sdt>
                              <w:r>
                                <w:rPr>
                                  <w:szCs w:val="24"/>
                                </w:rPr>
                                <w:t xml:space="preserve">. </w:t>
                              </w:r>
                              <w:r>
                                <w:rPr>
                                  <w:strike/>
                                  <w:szCs w:val="24"/>
                                </w:rPr>
                                <w:t>ES</w:t>
                              </w:r>
                              <w:r>
                                <w:rPr>
                                  <w:szCs w:val="24"/>
                                </w:rPr>
                                <w:t xml:space="preserve"> </w:t>
                              </w:r>
                              <w:r>
                                <w:rPr>
                                  <w:b/>
                                  <w:bCs/>
                                  <w:szCs w:val="24"/>
                                </w:rPr>
                                <w:t xml:space="preserve">Europos Sąjungos </w:t>
                              </w:r>
                              <w:r>
                                <w:rPr>
                                  <w:bCs/>
                                  <w:szCs w:val="24"/>
                                </w:rPr>
                                <w:t>valstybės narės pridėtinės vertės mokesčio mokėtojas</w:t>
                              </w:r>
                              <w:r>
                                <w:rPr>
                                  <w:b/>
                                  <w:szCs w:val="24"/>
                                </w:rPr>
                                <w:t xml:space="preserve"> (toliau – ES valstybės narės PVM mokėtojas)</w:t>
                              </w:r>
                              <w:r>
                                <w:rPr>
                                  <w:szCs w:val="24"/>
                                </w:rPr>
                                <w:t xml:space="preserve"> – kitoje </w:t>
                              </w:r>
                              <w:r>
                                <w:rPr>
                                  <w:strike/>
                                  <w:szCs w:val="24"/>
                                </w:rPr>
                                <w:t>ES</w:t>
                              </w:r>
                              <w:r>
                                <w:rPr>
                                  <w:szCs w:val="24"/>
                                </w:rPr>
                                <w:t xml:space="preserve"> </w:t>
                              </w:r>
                              <w:r>
                                <w:rPr>
                                  <w:b/>
                                  <w:szCs w:val="24"/>
                                </w:rPr>
                                <w:t>Europos Sąjungos</w:t>
                              </w:r>
                              <w:r>
                                <w:rPr>
                                  <w:szCs w:val="24"/>
                                </w:rPr>
                                <w:t xml:space="preserve"> valstybėje narėje pridėtinės vertės mokesčio </w:t>
                              </w:r>
                              <w:r>
                                <w:rPr>
                                  <w:strike/>
                                  <w:szCs w:val="24"/>
                                </w:rPr>
                                <w:t xml:space="preserve">(toliau  PVM)</w:t>
                              </w:r>
                              <w:r>
                                <w:rPr>
                                  <w:szCs w:val="24"/>
                                </w:rPr>
                                <w:t xml:space="preserve"> mokėtoju registruotas asmuo, kuriam suteiktas tos </w:t>
                              </w:r>
                              <w:r>
                                <w:rPr>
                                  <w:strike/>
                                  <w:szCs w:val="24"/>
                                </w:rPr>
                                <w:t>ES</w:t>
                              </w:r>
                              <w:r>
                                <w:rPr>
                                  <w:szCs w:val="24"/>
                                </w:rPr>
                                <w:t xml:space="preserve"> </w:t>
                              </w:r>
                              <w:r>
                                <w:rPr>
                                  <w:b/>
                                  <w:szCs w:val="24"/>
                                </w:rPr>
                                <w:t>Europos Sąjungos</w:t>
                              </w:r>
                              <w:r>
                                <w:rPr>
                                  <w:szCs w:val="24"/>
                                </w:rPr>
                                <w:t xml:space="preserve"> valstybės narės </w:t>
                              </w:r>
                              <w:r>
                                <w:rPr>
                                  <w:strike/>
                                  <w:szCs w:val="24"/>
                                </w:rPr>
                                <w:t>PVM</w:t>
                              </w:r>
                              <w:r>
                                <w:rPr>
                                  <w:szCs w:val="24"/>
                                </w:rPr>
                                <w:t xml:space="preserve"> </w:t>
                              </w:r>
                              <w:r>
                                <w:rPr>
                                  <w:b/>
                                  <w:szCs w:val="24"/>
                                </w:rPr>
                                <w:t>pridėtinės vertės mokesčio</w:t>
                              </w:r>
                              <w:r>
                                <w:rPr>
                                  <w:szCs w:val="24"/>
                                </w:rPr>
                                <w:t xml:space="preserve"> mokėtojo kodas</w:t>
                              </w:r>
                              <w:r>
                                <w:rPr>
                                  <w:strike/>
                                  <w:szCs w:val="24"/>
                                </w:rPr>
                                <w:t>;</w:t>
                              </w:r>
                              <w:r>
                                <w:rPr>
                                  <w:b/>
                                  <w:szCs w:val="24"/>
                                </w:rPr>
                                <w:t>.</w:t>
                              </w:r>
                            </w:p>
                          </w:sdtContent>
                        </w:sdt>
                        <w:sdt>
                          <w:sdtPr>
                            <w:alias w:val="3.4 pp."/>
                            <w:tag w:val="part_f47d7617f7de42e48448d6c8cd289051"/>
                            <w:lock w:val="sdtLocked"/>
                            <w:richText/>
                          </w:sdtPr>
                          <w:sdtContent>
                            <w:p w14:paraId="156F1338" w14:textId="72D10F6A">
                              <w:pPr>
                                <w:suppressAutoHyphens/>
                                <w:ind w:firstLine="709"/>
                                <w:jc w:val="both"/>
                                <w:rPr>
                                  <w:szCs w:val="24"/>
                                </w:rPr>
                              </w:pPr>
                              <w:sdt>
                                <w:sdtPr>
                                  <w:alias w:val="Numeris"/>
                                  <w:tag w:val="nr_f47d7617f7de42e48448d6c8cd289051"/>
                                  <w:lock w:val="sdtLocked"/>
                                  <w:richText/>
                                </w:sdtPr>
                                <w:sdtContent>
                                  <w:r>
                                    <w:rPr>
                                      <w:bCs/>
                                      <w:szCs w:val="24"/>
                                    </w:rPr>
                                    <w:t>3.4</w:t>
                                  </w:r>
                                </w:sdtContent>
                              </w:sdt>
                              <w:r>
                                <w:rPr>
                                  <w:bCs/>
                                  <w:szCs w:val="24"/>
                                </w:rPr>
                                <w:t>.</w:t>
                              </w:r>
                              <w:r>
                                <w:rPr>
                                  <w:b/>
                                  <w:bCs/>
                                  <w:szCs w:val="24"/>
                                </w:rPr>
                                <w:t xml:space="preserve"> </w:t>
                              </w:r>
                              <w:r>
                                <w:rPr>
                                  <w:bCs/>
                                  <w:strike/>
                                  <w:szCs w:val="24"/>
                                </w:rPr>
                                <w:t xml:space="preserve">ES </w:t>
                              </w:r>
                              <w:r>
                                <w:rPr>
                                  <w:b/>
                                  <w:bCs/>
                                  <w:szCs w:val="24"/>
                                </w:rPr>
                                <w:t xml:space="preserve">Europos Sąjungos </w:t>
                              </w:r>
                              <w:r>
                                <w:rPr>
                                  <w:bCs/>
                                  <w:szCs w:val="24"/>
                                </w:rPr>
                                <w:t>valstybės narės pridėtinės vertės mokesčio mokėtojo kodas</w:t>
                              </w:r>
                              <w:r>
                                <w:rPr>
                                  <w:b/>
                                  <w:bCs/>
                                  <w:szCs w:val="24"/>
                                </w:rPr>
                                <w:t xml:space="preserve"> (toliau – ES valstybės narės PVM mokėtojo kodas)</w:t>
                              </w:r>
                              <w:r>
                                <w:rPr>
                                  <w:szCs w:val="24"/>
                                </w:rPr>
                                <w:t xml:space="preserve"> – atskiras kodas, kurį suteikia valstybės narės, nepažeisdamos </w:t>
                              </w:r>
                              <w:r>
                                <w:rPr>
                                  <w:strike/>
                                  <w:szCs w:val="24"/>
                                </w:rPr>
                                <w:t xml:space="preserve">Direktyvos </w:t>
                              </w:r>
                              <w:fldSimple w:instr="HYPERLINK http://eur-lex.europa.eu/legal-content/LIT/TXT/?uri=CELEX:32006L0112&amp;locale=lt \t _blank">
                                <w:r>
                                  <w:rPr>
                                    <w:strike/>
                                    <w:szCs w:val="24"/>
                                    <w:u w:val="single"/>
                                    <w:color w:val="0000FF" w:themeColor="hyperlink"/>
                                  </w:rPr>
                                  <w:t>2006/112/EB</w:t>
                                </w:r>
                              </w:fldSimple>
                              <w:r>
                                <w:rPr>
                                  <w:szCs w:val="24"/>
                                </w:rPr>
                                <w:t xml:space="preserve"> </w:t>
                              </w:r>
                              <w:r>
                                <w:rPr>
                                  <w:b/>
                                  <w:szCs w:val="24"/>
                                </w:rPr>
                                <w:t xml:space="preserve">2006 m. lapkričio 28 d. Tarybos direktyvos </w:t>
                              </w:r>
                              <w:fldSimple w:instr="HYPERLINK http://eur-lex.europa.eu/legal-content/LIT/TXT/?uri=CELEX:32006L0112&amp;locale=lt \t _blank">
                                <w:r>
                                  <w:rPr>
                                    <w:b/>
                                    <w:szCs w:val="24"/>
                                    <w:u w:val="single"/>
                                    <w:color w:val="0000FF" w:themeColor="hyperlink"/>
                                  </w:rPr>
                                  <w:t>2006/112/EB</w:t>
                                </w:r>
                              </w:fldSimple>
                              <w:r>
                                <w:rPr>
                                  <w:b/>
                                  <w:szCs w:val="24"/>
                                </w:rPr>
                                <w:t xml:space="preserve"> dėl pridėtinės vertės mokesčio bendros sistemos</w:t>
                              </w:r>
                              <w:r>
                                <w:rPr>
                                  <w:szCs w:val="24"/>
                                </w:rPr>
                                <w:t xml:space="preserve"> 213-216 straipsnių nuostatų, ir kuris yra naudojamas, sudarant sandorius </w:t>
                              </w:r>
                              <w:r>
                                <w:rPr>
                                  <w:strike/>
                                  <w:szCs w:val="24"/>
                                </w:rPr>
                                <w:t>ES</w:t>
                              </w:r>
                              <w:r>
                                <w:rPr>
                                  <w:szCs w:val="24"/>
                                </w:rPr>
                                <w:t xml:space="preserve"> </w:t>
                              </w:r>
                              <w:r>
                                <w:rPr>
                                  <w:b/>
                                  <w:szCs w:val="24"/>
                                </w:rPr>
                                <w:t>Europos Sąjungoje</w:t>
                              </w:r>
                              <w:r>
                                <w:rPr>
                                  <w:strike/>
                                  <w:szCs w:val="24"/>
                                </w:rPr>
                                <w:t>;</w:t>
                              </w:r>
                              <w:r>
                                <w:rPr>
                                  <w:b/>
                                  <w:szCs w:val="24"/>
                                </w:rPr>
                                <w:t>.</w:t>
                              </w:r>
                            </w:p>
                          </w:sdtContent>
                        </w:sdt>
                        <w:sdt>
                          <w:sdtPr>
                            <w:alias w:val="3.5 pp."/>
                            <w:tag w:val="part_60d5be82b1394cb5b00571a43c2f2915"/>
                            <w:lock w:val="sdtLocked"/>
                            <w:richText/>
                          </w:sdtPr>
                          <w:sdtContent>
                            <w:p w14:paraId="6141179E" w14:textId="3178F895">
                              <w:pPr>
                                <w:suppressAutoHyphens/>
                                <w:ind w:firstLine="709"/>
                                <w:jc w:val="both"/>
                                <w:rPr>
                                  <w:szCs w:val="24"/>
                                </w:rPr>
                              </w:pPr>
                              <w:sdt>
                                <w:sdtPr>
                                  <w:alias w:val="Numeris"/>
                                  <w:tag w:val="nr_60d5be82b1394cb5b00571a43c2f2915"/>
                                  <w:lock w:val="sdtLocked"/>
                                  <w:richText/>
                                </w:sdtPr>
                                <w:sdtContent>
                                  <w:r>
                                    <w:rPr>
                                      <w:bCs/>
                                      <w:szCs w:val="24"/>
                                    </w:rPr>
                                    <w:t>3.5</w:t>
                                  </w:r>
                                </w:sdtContent>
                              </w:sdt>
                              <w:r>
                                <w:rPr>
                                  <w:bCs/>
                                  <w:szCs w:val="24"/>
                                </w:rPr>
                                <w:t>.</w:t>
                              </w:r>
                              <w:r>
                                <w:rPr>
                                  <w:b/>
                                  <w:bCs/>
                                  <w:szCs w:val="24"/>
                                </w:rPr>
                                <w:t xml:space="preserve"> </w:t>
                              </w:r>
                              <w:r>
                                <w:rPr>
                                  <w:bCs/>
                                  <w:szCs w:val="24"/>
                                </w:rPr>
                                <w:t>Trikampė prekyba</w:t>
                              </w:r>
                              <w:r>
                                <w:rPr>
                                  <w:szCs w:val="24"/>
                                </w:rPr>
                                <w:t xml:space="preserve"> – tokie prekių tiekimo sandoriai, kai juose dalyvauja trijų </w:t>
                              </w:r>
                              <w:r>
                                <w:rPr>
                                  <w:strike/>
                                  <w:szCs w:val="24"/>
                                </w:rPr>
                                <w:t>ES</w:t>
                              </w:r>
                              <w:r>
                                <w:rPr>
                                  <w:szCs w:val="24"/>
                                </w:rPr>
                                <w:t xml:space="preserve"> </w:t>
                              </w:r>
                              <w:r>
                                <w:rPr>
                                  <w:b/>
                                  <w:szCs w:val="24"/>
                                </w:rPr>
                                <w:t>Europos Sąjungos</w:t>
                              </w:r>
                              <w:r>
                                <w:rPr>
                                  <w:szCs w:val="24"/>
                                </w:rPr>
                                <w:t xml:space="preserve"> valstybių narių </w:t>
                              </w:r>
                              <w:r>
                                <w:rPr>
                                  <w:strike/>
                                  <w:szCs w:val="24"/>
                                </w:rPr>
                                <w:t>PVM</w:t>
                              </w:r>
                              <w:r>
                                <w:rPr>
                                  <w:szCs w:val="24"/>
                                </w:rPr>
                                <w:t xml:space="preserve"> </w:t>
                              </w:r>
                              <w:r>
                                <w:rPr>
                                  <w:b/>
                                  <w:szCs w:val="24"/>
                                </w:rPr>
                                <w:t>pridėtinės vertės mokesčio</w:t>
                              </w:r>
                              <w:r>
                                <w:rPr>
                                  <w:szCs w:val="24"/>
                                </w:rPr>
                                <w:t xml:space="preserve"> mokėtojai, o vienos </w:t>
                              </w:r>
                              <w:r>
                                <w:rPr>
                                  <w:strike/>
                                  <w:szCs w:val="24"/>
                                </w:rPr>
                                <w:t>ES</w:t>
                              </w:r>
                              <w:r>
                                <w:rPr>
                                  <w:szCs w:val="24"/>
                                </w:rPr>
                                <w:t xml:space="preserve"> </w:t>
                              </w:r>
                              <w:r>
                                <w:rPr>
                                  <w:b/>
                                  <w:szCs w:val="24"/>
                                </w:rPr>
                                <w:t>Europos Sąjungos</w:t>
                              </w:r>
                              <w:r>
                                <w:rPr>
                                  <w:szCs w:val="24"/>
                                </w:rPr>
                                <w:t xml:space="preserve"> valstybės narės </w:t>
                              </w:r>
                              <w:r>
                                <w:rPr>
                                  <w:strike/>
                                  <w:szCs w:val="24"/>
                                </w:rPr>
                                <w:t>PVM</w:t>
                              </w:r>
                              <w:r>
                                <w:rPr>
                                  <w:szCs w:val="24"/>
                                </w:rPr>
                                <w:t xml:space="preserve"> </w:t>
                              </w:r>
                              <w:r>
                                <w:rPr>
                                  <w:b/>
                                  <w:szCs w:val="24"/>
                                </w:rPr>
                                <w:t>pridėtinės vertės mokesčio</w:t>
                              </w:r>
                              <w:r>
                                <w:rPr>
                                  <w:szCs w:val="24"/>
                                </w:rPr>
                                <w:t xml:space="preserve"> mokėtojo įsigyjamos prekės iš kitos </w:t>
                              </w:r>
                              <w:r>
                                <w:rPr>
                                  <w:strike/>
                                  <w:szCs w:val="24"/>
                                </w:rPr>
                                <w:t>ES</w:t>
                              </w:r>
                              <w:r>
                                <w:rPr>
                                  <w:szCs w:val="24"/>
                                </w:rPr>
                                <w:t xml:space="preserve"> </w:t>
                              </w:r>
                              <w:r>
                                <w:rPr>
                                  <w:b/>
                                  <w:szCs w:val="24"/>
                                </w:rPr>
                                <w:t>Europos Sąjungos</w:t>
                              </w:r>
                              <w:r>
                                <w:rPr>
                                  <w:szCs w:val="24"/>
                                </w:rPr>
                                <w:t xml:space="preserve"> valstybės narės </w:t>
                              </w:r>
                              <w:r>
                                <w:rPr>
                                  <w:strike/>
                                  <w:szCs w:val="24"/>
                                </w:rPr>
                                <w:t>PVM</w:t>
                              </w:r>
                              <w:r>
                                <w:rPr>
                                  <w:szCs w:val="24"/>
                                </w:rPr>
                                <w:t xml:space="preserve"> </w:t>
                              </w:r>
                              <w:r>
                                <w:rPr>
                                  <w:b/>
                                  <w:szCs w:val="24"/>
                                </w:rPr>
                                <w:t>pridėtinės vertės mokesčio</w:t>
                              </w:r>
                              <w:r>
                                <w:rPr>
                                  <w:szCs w:val="24"/>
                                </w:rPr>
                                <w:t xml:space="preserve"> mokėtojo nugabenamos į trečią </w:t>
                              </w:r>
                              <w:r>
                                <w:rPr>
                                  <w:strike/>
                                  <w:szCs w:val="24"/>
                                </w:rPr>
                                <w:t>ES</w:t>
                              </w:r>
                              <w:r>
                                <w:rPr>
                                  <w:szCs w:val="24"/>
                                </w:rPr>
                                <w:t xml:space="preserve"> </w:t>
                              </w:r>
                              <w:r>
                                <w:rPr>
                                  <w:b/>
                                  <w:szCs w:val="24"/>
                                </w:rPr>
                                <w:t>Europos Sąjungos</w:t>
                              </w:r>
                              <w:r>
                                <w:rPr>
                                  <w:szCs w:val="24"/>
                                </w:rPr>
                                <w:t xml:space="preserve"> valstybę narę, kurioje iš karto patiekiamos tos </w:t>
                              </w:r>
                              <w:r>
                                <w:rPr>
                                  <w:strike/>
                                  <w:szCs w:val="24"/>
                                </w:rPr>
                                <w:t>ES</w:t>
                              </w:r>
                              <w:r>
                                <w:rPr>
                                  <w:szCs w:val="24"/>
                                </w:rPr>
                                <w:t xml:space="preserve"> </w:t>
                              </w:r>
                              <w:r>
                                <w:rPr>
                                  <w:b/>
                                  <w:szCs w:val="24"/>
                                </w:rPr>
                                <w:t>Europos Sąjungos</w:t>
                              </w:r>
                              <w:r>
                                <w:rPr>
                                  <w:szCs w:val="24"/>
                                </w:rPr>
                                <w:t xml:space="preserve"> valstybės narės </w:t>
                              </w:r>
                              <w:r>
                                <w:rPr>
                                  <w:strike/>
                                  <w:szCs w:val="24"/>
                                </w:rPr>
                                <w:t>PVM</w:t>
                              </w:r>
                              <w:r>
                                <w:rPr>
                                  <w:szCs w:val="24"/>
                                </w:rPr>
                                <w:t xml:space="preserve"> </w:t>
                              </w:r>
                              <w:r>
                                <w:rPr>
                                  <w:b/>
                                  <w:szCs w:val="24"/>
                                </w:rPr>
                                <w:t>pridėtinės vertės mokesčio</w:t>
                              </w:r>
                              <w:r>
                                <w:rPr>
                                  <w:szCs w:val="24"/>
                                </w:rPr>
                                <w:t xml:space="preserve"> mokėtojui</w:t>
                              </w:r>
                              <w:r>
                                <w:rPr>
                                  <w:strike/>
                                  <w:szCs w:val="24"/>
                                </w:rPr>
                                <w:t>;</w:t>
                              </w:r>
                              <w:r>
                                <w:rPr>
                                  <w:b/>
                                  <w:szCs w:val="24"/>
                                </w:rPr>
                                <w:t>.</w:t>
                              </w:r>
                            </w:p>
                          </w:sdtContent>
                        </w:sdt>
                        <w:sdt>
                          <w:sdtPr>
                            <w:alias w:val="3.6 pp."/>
                            <w:tag w:val="part_96604f732a724cfc88d1276d58c1cce5"/>
                            <w:lock w:val="sdtLocked"/>
                            <w:richText/>
                          </w:sdtPr>
                          <w:sdtContent>
                            <w:p w14:paraId="19340528" w14:textId="32B65E30">
                              <w:pPr>
                                <w:suppressAutoHyphens/>
                                <w:ind w:firstLine="709"/>
                                <w:jc w:val="both"/>
                                <w:rPr>
                                  <w:b/>
                                  <w:szCs w:val="24"/>
                                </w:rPr>
                              </w:pPr>
                              <w:sdt>
                                <w:sdtPr>
                                  <w:alias w:val="Numeris"/>
                                  <w:tag w:val="nr_96604f732a724cfc88d1276d58c1cce5"/>
                                  <w:lock w:val="sdtLocked"/>
                                  <w:richText/>
                                </w:sdtPr>
                                <w:sdtContent>
                                  <w:r>
                                    <w:rPr>
                                      <w:szCs w:val="24"/>
                                    </w:rPr>
                                    <w:t>3.6</w:t>
                                  </w:r>
                                </w:sdtContent>
                              </w:sdt>
                              <w:r>
                                <w:rPr>
                                  <w:szCs w:val="24"/>
                                </w:rPr>
                                <w:t>.</w:t>
                              </w:r>
                              <w:r>
                                <w:rPr>
                                  <w:b/>
                                  <w:szCs w:val="24"/>
                                </w:rPr>
                                <w:t xml:space="preserve"> </w:t>
                              </w:r>
                              <w:r>
                                <w:rPr>
                                  <w:strike/>
                                  <w:szCs w:val="24"/>
                                </w:rPr>
                                <w:t>Kitos Taisyklėse vartojamos sąvokos atitinka PVM įstatyme vartojamas sąvokas</w:t>
                              </w:r>
                              <w:r>
                                <w:rPr>
                                  <w:szCs w:val="24"/>
                                </w:rPr>
                                <w:t xml:space="preserve"> </w:t>
                              </w:r>
                              <w:r>
                                <w:rPr>
                                  <w:b/>
                                  <w:szCs w:val="24"/>
                                </w:rPr>
                                <w:t xml:space="preserve">Smulkiojo verslo schema Lietuvoje (toliau – SVS Lietuvoje) – schema, kai </w:t>
                              </w:r>
                              <w:r>
                                <w:rPr>
                                  <w:b/>
                                  <w:color w:val="000000"/>
                                  <w:szCs w:val="24"/>
                                  <w:shd w:val="clear" w:color="auto" w:fill="FFFFFF"/>
                                </w:rPr>
                                <w:t xml:space="preserve">apmokestinamieji asmenys, kurie atitinka Lietuvos Respublikos pridėtinės vertės mokesčio įstatymo </w:t>
                              </w:r>
                              <w:r>
                                <w:rPr>
                                  <w:b/>
                                  <w:szCs w:val="24"/>
                                  <w:lang w:eastAsia="lt-LT"/>
                                </w:rPr>
                                <w:t>71 straipsnio 2 ir 2</w:t>
                              </w:r>
                              <w:r>
                                <w:rPr>
                                  <w:b/>
                                  <w:szCs w:val="24"/>
                                  <w:vertAlign w:val="superscript"/>
                                  <w:lang w:eastAsia="lt-LT"/>
                                </w:rPr>
                                <w:t xml:space="preserve">1 </w:t>
                              </w:r>
                              <w:r>
                                <w:rPr>
                                  <w:b/>
                                  <w:szCs w:val="24"/>
                                  <w:lang w:eastAsia="lt-LT"/>
                                </w:rPr>
                                <w:t xml:space="preserve">dalyse nustatytas sąlygas, gali </w:t>
                              </w:r>
                              <w:r>
                                <w:rPr>
                                  <w:b/>
                                  <w:szCs w:val="24"/>
                                </w:rPr>
                                <w:t>už tiekiamas prekes (išskyrus į kitas valstybes nares tiekiamas naujas transporto priemones) ir (arba) teikiamas paslaugas Lietuvos Respublikos pridėtinės vertės mokesčio įstatymo nustatyta tvarka neskaičiuoti ir nemokėti pridėtinės vertės mokesčio</w:t>
                              </w:r>
                              <w:r>
                                <w:rPr>
                                  <w:szCs w:val="24"/>
                                </w:rPr>
                                <w:t>.</w:t>
                              </w:r>
                            </w:p>
                          </w:sdtContent>
                        </w:sdt>
                        <w:sdt>
                          <w:sdtPr>
                            <w:alias w:val="3.7 pp."/>
                            <w:tag w:val="part_d11da3c930264b6890dea71942d5cb46"/>
                            <w:lock w:val="sdtLocked"/>
                            <w:richText/>
                          </w:sdtPr>
                          <w:sdtContent>
                            <w:p w14:paraId="7BB69390" w14:textId="77777777">
                              <w:pPr>
                                <w:suppressAutoHyphens/>
                                <w:ind w:firstLine="709"/>
                                <w:jc w:val="both"/>
                                <w:rPr>
                                  <w:szCs w:val="24"/>
                                  <w:lang w:eastAsia="lt-LT"/>
                                </w:rPr>
                              </w:pPr>
                              <w:sdt>
                                <w:sdtPr>
                                  <w:alias w:val="Numeris"/>
                                  <w:tag w:val="nr_d11da3c930264b6890dea71942d5cb46"/>
                                  <w:lock w:val="sdtLocked"/>
                                  <w:richText/>
                                </w:sdtPr>
                                <w:sdtContent>
                                  <w:r>
                                    <w:rPr>
                                      <w:b/>
                                      <w:szCs w:val="24"/>
                                    </w:rPr>
                                    <w:t>3.7</w:t>
                                  </w:r>
                                </w:sdtContent>
                              </w:sdt>
                              <w:r>
                                <w:rPr>
                                  <w:b/>
                                  <w:szCs w:val="24"/>
                                </w:rPr>
                                <w:t>. Kitos Taisyklėse vartojamos sąvokos atitinka PVM įstatyme vartojamas sąvokas.</w:t>
                              </w:r>
                              <w:r>
                                <w:rPr>
                                  <w:szCs w:val="24"/>
                                  <w:lang w:eastAsia="lt-LT"/>
                                </w:rPr>
                                <w:t>“</w:t>
                              </w:r>
                            </w:p>
                          </w:sdtContent>
                        </w:sdt>
                      </w:sdtContent>
                    </w:sdt>
                  </w:sdtContent>
                </w:sdt>
              </w:sdtContent>
            </w:sdt>
            <w:sdt>
              <w:sdtPr>
                <w:alias w:val="2.3 pp."/>
                <w:tag w:val="part_04fa35610df445d484efe2541d073939"/>
                <w:lock w:val="sdtLocked"/>
                <w:richText/>
              </w:sdtPr>
              <w:sdtContent>
                <w:p w14:paraId="2647F8D2" w14:textId="77777777">
                  <w:pPr>
                    <w:suppressAutoHyphens/>
                    <w:ind w:firstLine="709"/>
                    <w:jc w:val="both"/>
                    <w:rPr>
                      <w:szCs w:val="24"/>
                    </w:rPr>
                  </w:pPr>
                  <w:sdt>
                    <w:sdtPr>
                      <w:alias w:val="Numeris"/>
                      <w:tag w:val="nr_04fa35610df445d484efe2541d073939"/>
                      <w:lock w:val="sdtLocked"/>
                      <w:richText/>
                    </w:sdtPr>
                    <w:sdtContent>
                      <w:r>
                        <w:rPr>
                          <w:szCs w:val="24"/>
                        </w:rPr>
                        <w:t>2.3</w:t>
                      </w:r>
                    </w:sdtContent>
                  </w:sdt>
                  <w:r>
                    <w:rPr>
                      <w:szCs w:val="24"/>
                    </w:rPr>
                    <w:t>. Pakeičiu 4 punkto pirmąją pastraipą ir ją išdėstau taip:</w:t>
                  </w:r>
                </w:p>
                <w:sdt>
                  <w:sdtPr>
                    <w:alias w:val="citata"/>
                    <w:tag w:val="part_35de6852bfac45e7972c42b89a7bcbff"/>
                    <w:lock w:val="sdtLocked"/>
                    <w:richText/>
                  </w:sdtPr>
                  <w:sdtContent>
                    <w:sdt>
                      <w:sdtPr>
                        <w:alias w:val="4 p."/>
                        <w:tag w:val="part_37bfdf7c4e244bd1a7548eb751a4a9a8"/>
                        <w:lock w:val="sdtLocked"/>
                        <w:richText/>
                      </w:sdtPr>
                      <w:sdtContent>
                        <w:p w14:paraId="32214D5B" w14:textId="28F00CB6">
                          <w:pPr>
                            <w:suppressAutoHyphens/>
                            <w:ind w:firstLine="709"/>
                            <w:jc w:val="both"/>
                            <w:rPr>
                              <w:szCs w:val="24"/>
                            </w:rPr>
                          </w:pPr>
                          <w:r>
                            <w:rPr>
                              <w:szCs w:val="24"/>
                            </w:rPr>
                            <w:t>„</w:t>
                          </w:r>
                          <w:sdt>
                            <w:sdtPr>
                              <w:alias w:val="Numeris"/>
                              <w:tag w:val="nr_37bfdf7c4e244bd1a7548eb751a4a9a8"/>
                              <w:lock w:val="sdtLocked"/>
                              <w:richText/>
                            </w:sdtPr>
                            <w:sdtContent>
                              <w:r>
                                <w:rPr>
                                  <w:szCs w:val="24"/>
                                </w:rPr>
                                <w:t>4</w:t>
                              </w:r>
                            </w:sdtContent>
                          </w:sdt>
                          <w:r>
                            <w:rPr>
                              <w:szCs w:val="24"/>
                            </w:rPr>
                            <w:t xml:space="preserve">. Ataskaitas privalo pateikti Lietuvos Respublikoje </w:t>
                          </w:r>
                          <w:r>
                            <w:rPr>
                              <w:strike/>
                              <w:szCs w:val="24"/>
                            </w:rPr>
                            <w:t>PVM</w:t>
                          </w:r>
                          <w:r>
                            <w:rPr>
                              <w:szCs w:val="24"/>
                            </w:rPr>
                            <w:t xml:space="preserve"> </w:t>
                          </w:r>
                          <w:r>
                            <w:rPr>
                              <w:b/>
                              <w:szCs w:val="24"/>
                            </w:rPr>
                            <w:t>pridėtinės vertės mokesčio</w:t>
                          </w:r>
                          <w:r>
                            <w:rPr>
                              <w:szCs w:val="24"/>
                            </w:rPr>
                            <w:t xml:space="preserve"> </w:t>
                          </w:r>
                          <w:r>
                            <w:rPr>
                              <w:b/>
                              <w:szCs w:val="24"/>
                            </w:rPr>
                            <w:t>(toliau – PVM)</w:t>
                          </w:r>
                          <w:r>
                            <w:rPr>
                              <w:szCs w:val="24"/>
                            </w:rPr>
                            <w:t xml:space="preserve"> mokėtojais įregistruoti asmenys (toliau – PVM mokėtojai) per kalendorinį mėnesį:“.</w:t>
                          </w:r>
                        </w:p>
                      </w:sdtContent>
                    </w:sdt>
                  </w:sdtContent>
                </w:sdt>
              </w:sdtContent>
            </w:sdt>
            <w:sdt>
              <w:sdtPr>
                <w:alias w:val="2.4 pp."/>
                <w:tag w:val="part_5c739cba9288449695a06f5ad6d1426f"/>
                <w:lock w:val="sdtLocked"/>
                <w:richText/>
              </w:sdtPr>
              <w:sdtContent>
                <w:p w14:paraId="42A17752" w14:textId="77777777">
                  <w:pPr>
                    <w:suppressAutoHyphens/>
                    <w:ind w:firstLine="709"/>
                    <w:jc w:val="both"/>
                    <w:rPr>
                      <w:szCs w:val="24"/>
                    </w:rPr>
                  </w:pPr>
                  <w:sdt>
                    <w:sdtPr>
                      <w:alias w:val="Numeris"/>
                      <w:tag w:val="nr_5c739cba9288449695a06f5ad6d1426f"/>
                      <w:lock w:val="sdtLocked"/>
                      <w:richText/>
                    </w:sdtPr>
                    <w:sdtContent>
                      <w:r>
                        <w:rPr>
                          <w:szCs w:val="24"/>
                        </w:rPr>
                        <w:t>2.4</w:t>
                      </w:r>
                    </w:sdtContent>
                  </w:sdt>
                  <w:r>
                    <w:rPr>
                      <w:szCs w:val="24"/>
                    </w:rPr>
                    <w:t>. Pakeičiu 4.1 papunkčio pirmąją pastraipą ir ją išdėstau taip:</w:t>
                  </w:r>
                </w:p>
                <w:sdt>
                  <w:sdtPr>
                    <w:alias w:val="citata"/>
                    <w:tag w:val="part_42716b02d21f48879612bd09e1a3faeb"/>
                    <w:lock w:val="sdtLocked"/>
                    <w:richText/>
                  </w:sdtPr>
                  <w:sdtContent>
                    <w:sdt>
                      <w:sdtPr>
                        <w:alias w:val="4.1 pp."/>
                        <w:tag w:val="part_c1972b26c8fa44cc8614076c264f993e"/>
                        <w:lock w:val="sdtLocked"/>
                        <w:richText/>
                      </w:sdtPr>
                      <w:sdtContent>
                        <w:p w14:paraId="476B67C5" w14:textId="4A28D2B1">
                          <w:pPr>
                            <w:suppressAutoHyphens/>
                            <w:ind w:firstLine="709"/>
                            <w:jc w:val="both"/>
                          </w:pPr>
                          <w:r>
                            <w:t>„</w:t>
                          </w:r>
                          <w:sdt>
                            <w:sdtPr>
                              <w:alias w:val="Numeris"/>
                              <w:tag w:val="nr_c1972b26c8fa44cc8614076c264f993e"/>
                              <w:lock w:val="sdtLocked"/>
                              <w:richText/>
                            </w:sdtPr>
                            <w:sdtContent>
                              <w:r>
                                <w:t>4.1</w:t>
                              </w:r>
                            </w:sdtContent>
                          </w:sdt>
                          <w:r>
                            <w:t xml:space="preserve">. PVM įstatymo 49 straipsnio 1 dalyje nustatyta tvarka, taikydami 0 procentų PVM tarifą, kitos </w:t>
                          </w:r>
                          <w:r>
                            <w:rPr>
                              <w:strike/>
                            </w:rPr>
                            <w:t>ES</w:t>
                          </w:r>
                          <w:r>
                            <w:t xml:space="preserve"> </w:t>
                          </w:r>
                          <w:r>
                            <w:rPr>
                              <w:b/>
                            </w:rPr>
                            <w:t>Europos Sąjungos (toliau – ES)</w:t>
                          </w:r>
                          <w:r>
                            <w:t xml:space="preserve"> valstybės narės PVM mokėtojams patiekę iš šalies teritorijos į kitą ES valstybę narę išgabenamas prekes, neatsižvelgdami į tai, kas (prekių tiekėjas, pirkėjas ar bet kurio iš jų užsakymu trečioji šalis) prekes gabeno, įskaitydami:“.</w:t>
                          </w:r>
                        </w:p>
                      </w:sdtContent>
                    </w:sdt>
                  </w:sdtContent>
                </w:sdt>
              </w:sdtContent>
            </w:sdt>
            <w:sdt>
              <w:sdtPr>
                <w:alias w:val="2.5 pp."/>
                <w:tag w:val="part_e6b0e24ec4d3454a888a72b0a87fce02"/>
                <w:lock w:val="sdtLocked"/>
                <w:richText/>
              </w:sdtPr>
              <w:sdtContent>
                <w:p w14:paraId="7E78C861" w14:textId="274018E7">
                  <w:pPr>
                    <w:tabs>
                      <w:tab w:val="left" w:pos="0"/>
                      <w:tab w:val="left" w:pos="1134"/>
                    </w:tabs>
                    <w:suppressAutoHyphens/>
                    <w:ind w:left="1069" w:hanging="360"/>
                    <w:jc w:val="both"/>
                    <w:rPr>
                      <w:vertAlign w:val="superscript"/>
                      <w:lang w:eastAsia="lt-LT"/>
                    </w:rPr>
                  </w:pPr>
                  <w:sdt>
                    <w:sdtPr>
                      <w:alias w:val="Numeris"/>
                      <w:tag w:val="nr_e6b0e24ec4d3454a888a72b0a87fce02"/>
                      <w:lock w:val="sdtLocked"/>
                      <w:richText/>
                    </w:sdtPr>
                    <w:sdtContent>
                      <w:r>
                        <w:rPr>
                          <w:lang w:eastAsia="lt-LT"/>
                        </w:rPr>
                        <w:t>2.5</w:t>
                      </w:r>
                    </w:sdtContent>
                  </w:sdt>
                  <w:r>
                    <w:rPr>
                      <w:lang w:eastAsia="lt-LT"/>
                    </w:rPr>
                    <w:t>.</w:t>
                    <w:tab/>
                  </w:r>
                  <w:r>
                    <w:t xml:space="preserve"> Papildau 4</w:t>
                  </w:r>
                  <w:r>
                    <w:rPr>
                      <w:vertAlign w:val="superscript"/>
                      <w:lang w:eastAsia="lt-LT"/>
                    </w:rPr>
                    <w:t>1</w:t>
                  </w:r>
                  <w:r>
                    <w:t xml:space="preserve"> punktu:</w:t>
                  </w:r>
                </w:p>
                <w:sdt>
                  <w:sdtPr>
                    <w:alias w:val="citata"/>
                    <w:tag w:val="part_94266c1912664cb0ad1efa39be35a4bc"/>
                    <w:lock w:val="sdtLocked"/>
                    <w:richText/>
                  </w:sdtPr>
                  <w:sdtContent>
                    <w:sdt>
                      <w:sdtPr>
                        <w:alias w:val="4-1 p."/>
                        <w:tag w:val="part_77ed69c804314517ab964fc3966f71fe"/>
                        <w:lock w:val="sdtLocked"/>
                        <w:richText/>
                      </w:sdtPr>
                      <w:sdtContent>
                        <w:p w14:paraId="7AAC2CF1" w14:textId="1C49FDE1">
                          <w:pPr>
                            <w:tabs>
                              <w:tab w:val="left" w:pos="1134"/>
                            </w:tabs>
                            <w:suppressAutoHyphens/>
                            <w:ind w:firstLine="709"/>
                            <w:jc w:val="both"/>
                            <w:rPr>
                              <w:b/>
                              <w:szCs w:val="24"/>
                              <w:lang w:eastAsia="lt-LT"/>
                            </w:rPr>
                          </w:pPr>
                          <w:r>
                            <w:rPr>
                              <w:szCs w:val="24"/>
                              <w:lang w:eastAsia="lt-LT"/>
                            </w:rPr>
                            <w:t>„</w:t>
                          </w:r>
                          <w:sdt>
                            <w:sdtPr>
                              <w:alias w:val="Numeris"/>
                              <w:tag w:val="nr_77ed69c804314517ab964fc3966f71fe"/>
                              <w:lock w:val="sdtLocked"/>
                              <w:richText/>
                            </w:sdtPr>
                            <w:sdtContent>
                              <w:r>
                                <w:rPr>
                                  <w:b/>
                                  <w:szCs w:val="24"/>
                                </w:rPr>
                                <w:t>4</w:t>
                              </w:r>
                              <w:r>
                                <w:rPr>
                                  <w:b/>
                                  <w:szCs w:val="24"/>
                                  <w:vertAlign w:val="superscript"/>
                                  <w:lang w:eastAsia="lt-LT"/>
                                </w:rPr>
                                <w:t>1</w:t>
                              </w:r>
                            </w:sdtContent>
                          </w:sdt>
                          <w:r>
                            <w:rPr>
                              <w:b/>
                              <w:szCs w:val="24"/>
                              <w:lang w:eastAsia="lt-LT"/>
                            </w:rPr>
                            <w:t>.</w:t>
                          </w:r>
                          <w:r>
                            <w:rPr>
                              <w:b/>
                              <w:szCs w:val="24"/>
                            </w:rPr>
                            <w:t xml:space="preserve"> PVM mokėtojai, taikantys SVS Lietuvoje, ataskaitas privalo pateikti Taisyklių 4.4-4.5 papunkčiuose nurodytais atvejais.</w:t>
                          </w:r>
                          <w:r>
                            <w:rPr>
                              <w:szCs w:val="24"/>
                            </w:rPr>
                            <w:t>“</w:t>
                          </w:r>
                        </w:p>
                      </w:sdtContent>
                    </w:sdt>
                  </w:sdtContent>
                </w:sdt>
              </w:sdtContent>
            </w:sdt>
            <w:sdt>
              <w:sdtPr>
                <w:alias w:val="2.6 pp."/>
                <w:tag w:val="part_37c48ddffa334e9d8d2daa59dc56b849"/>
                <w:lock w:val="sdtLocked"/>
                <w:richText/>
              </w:sdtPr>
              <w:sdtContent>
                <w:p w14:paraId="3A45158F" w14:textId="32E4D20D">
                  <w:pPr>
                    <w:tabs>
                      <w:tab w:val="left" w:pos="0"/>
                      <w:tab w:val="left" w:pos="1134"/>
                    </w:tabs>
                    <w:suppressAutoHyphens/>
                    <w:ind w:firstLine="709"/>
                    <w:jc w:val="both"/>
                    <w:rPr>
                      <w:szCs w:val="24"/>
                      <w:lang w:eastAsia="lt-LT"/>
                    </w:rPr>
                  </w:pPr>
                  <w:sdt>
                    <w:sdtPr>
                      <w:alias w:val="Numeris"/>
                      <w:tag w:val="nr_37c48ddffa334e9d8d2daa59dc56b849"/>
                      <w:lock w:val="sdtLocked"/>
                      <w:richText/>
                    </w:sdtPr>
                    <w:sdtContent>
                      <w:r>
                        <w:rPr>
                          <w:szCs w:val="24"/>
                          <w:lang w:eastAsia="lt-LT"/>
                        </w:rPr>
                        <w:t>2.6</w:t>
                      </w:r>
                    </w:sdtContent>
                  </w:sdt>
                  <w:r>
                    <w:rPr>
                      <w:szCs w:val="24"/>
                      <w:lang w:eastAsia="lt-LT"/>
                    </w:rPr>
                    <w:t>.</w:t>
                    <w:tab/>
                    <w:t>Pakeičiu 5 punktą ir jį išdėstau taip:</w:t>
                  </w:r>
                </w:p>
                <w:sdt>
                  <w:sdtPr>
                    <w:alias w:val="citata"/>
                    <w:tag w:val="part_b783c400bd334e88a0d5b38e591abc40"/>
                    <w:lock w:val="sdtLocked"/>
                    <w:richText/>
                  </w:sdtPr>
                  <w:sdtContent>
                    <w:sdt>
                      <w:sdtPr>
                        <w:alias w:val="5 p."/>
                        <w:tag w:val="part_99310a351af24487bda3b79799cbfae9"/>
                        <w:lock w:val="sdtLocked"/>
                        <w:richText/>
                      </w:sdtPr>
                      <w:sdtContent>
                        <w:p w14:paraId="0758DA1B" w14:textId="77777777">
                          <w:pPr>
                            <w:tabs>
                              <w:tab w:val="left" w:pos="1134"/>
                            </w:tabs>
                            <w:suppressAutoHyphens/>
                            <w:ind w:firstLine="709"/>
                            <w:jc w:val="both"/>
                            <w:rPr>
                              <w:szCs w:val="24"/>
                              <w:lang w:eastAsia="lt-LT"/>
                            </w:rPr>
                          </w:pPr>
                          <w:r>
                            <w:rPr>
                              <w:szCs w:val="24"/>
                            </w:rPr>
                            <w:t>„</w:t>
                          </w:r>
                          <w:sdt>
                            <w:sdtPr>
                              <w:alias w:val="Numeris"/>
                              <w:tag w:val="nr_99310a351af24487bda3b79799cbfae9"/>
                              <w:lock w:val="sdtLocked"/>
                              <w:richText/>
                            </w:sdtPr>
                            <w:sdtContent>
                              <w:r>
                                <w:rPr>
                                  <w:szCs w:val="24"/>
                                </w:rPr>
                                <w:t>5</w:t>
                              </w:r>
                            </w:sdtContent>
                          </w:sdt>
                          <w:r>
                            <w:rPr>
                              <w:szCs w:val="24"/>
                            </w:rPr>
                            <w:t>. Ataskaitos nepateikimas, įskaitant atvejus, kai yra parengta preliminari ataskaita, laikomas PVM mokėtojo patvirtinimu, kad jis netiekė prekių ir / ar neteikė paslaugų į kitas ES valstybes nares kitų ES valstybių narių PVM mokėtojams Taisyklių 4.1–4.4 papunkčiuose nurodytais atvejais ir / ar negavo viso ar dalies atlygio (avanso) Taisyklių 4.5 papunktyje nurodytu atveju, ir / ar iš šalies teritorijos neišgabeno prekių, skirtų pristatyti, kad jos būtų patiektos pagal pareikalavimą Taisyklių 4.6 papunktyje nurodytu atveju, ir / ar nepargabeno prekių atgal į valstybę narę, iš kurios jos buvo išgabentos, kaip nustatyta PVM įstatymo 5</w:t>
                          </w:r>
                          <w:r>
                            <w:rPr>
                              <w:szCs w:val="24"/>
                              <w:vertAlign w:val="superscript"/>
                            </w:rPr>
                            <w:t>1</w:t>
                          </w:r>
                          <w:r>
                            <w:rPr>
                              <w:szCs w:val="24"/>
                            </w:rPr>
                            <w:t xml:space="preserve"> straipsnio 2 dalies 10 punkte </w:t>
                          </w:r>
                          <w:r>
                            <w:rPr>
                              <w:b/>
                              <w:szCs w:val="24"/>
                            </w:rPr>
                            <w:t>ar PVM mokėtojo, taikančio SVS Lietuvoje, patvirtinimu, kad jis neteikė paslaugų į kitas ES valstybes nares kitų ES valstybių narių PVM mokėtojams Taisyklių 4.4 papunktyje nurodytu atveju ir / ar negavo viso ar dalies atlygio (avanso) Taisyklių 4.5 papunktyje nurodytu atveju</w:t>
                          </w:r>
                          <w:r>
                            <w:rPr>
                              <w:szCs w:val="24"/>
                            </w:rPr>
                            <w:t>.“</w:t>
                          </w:r>
                        </w:p>
                      </w:sdtContent>
                    </w:sdt>
                  </w:sdtContent>
                </w:sdt>
              </w:sdtContent>
            </w:sdt>
            <w:sdt>
              <w:sdtPr>
                <w:alias w:val="2.7 pp."/>
                <w:tag w:val="part_17333b9cf33a494bbac169a809ba01e5"/>
                <w:lock w:val="sdtLocked"/>
                <w:richText/>
              </w:sdtPr>
              <w:sdtContent>
                <w:p w14:paraId="76B3F866" w14:textId="1A5EC6F6">
                  <w:pPr>
                    <w:tabs>
                      <w:tab w:val="left" w:pos="0"/>
                      <w:tab w:val="left" w:pos="1134"/>
                    </w:tabs>
                    <w:suppressAutoHyphens/>
                    <w:ind w:firstLine="709"/>
                    <w:jc w:val="both"/>
                    <w:rPr>
                      <w:szCs w:val="24"/>
                      <w:lang w:eastAsia="lt-LT"/>
                    </w:rPr>
                  </w:pPr>
                  <w:sdt>
                    <w:sdtPr>
                      <w:alias w:val="Numeris"/>
                      <w:tag w:val="nr_17333b9cf33a494bbac169a809ba01e5"/>
                      <w:lock w:val="sdtLocked"/>
                      <w:richText/>
                    </w:sdtPr>
                    <w:sdtContent>
                      <w:r>
                        <w:rPr>
                          <w:szCs w:val="24"/>
                          <w:lang w:eastAsia="lt-LT"/>
                        </w:rPr>
                        <w:t>2.7</w:t>
                      </w:r>
                    </w:sdtContent>
                  </w:sdt>
                  <w:r>
                    <w:rPr>
                      <w:szCs w:val="24"/>
                      <w:lang w:eastAsia="lt-LT"/>
                    </w:rPr>
                    <w:t>.</w:t>
                    <w:tab/>
                  </w:r>
                  <w:r>
                    <w:rPr>
                      <w:szCs w:val="24"/>
                    </w:rPr>
                    <w:t>Pakeičiu 6 punktą ir jį išdėstau taip:</w:t>
                  </w:r>
                </w:p>
                <w:sdt>
                  <w:sdtPr>
                    <w:alias w:val="citata"/>
                    <w:tag w:val="part_46d4dad9490242659c799203ba4c9543"/>
                    <w:lock w:val="sdtLocked"/>
                    <w:richText/>
                  </w:sdtPr>
                  <w:sdtContent>
                    <w:sdt>
                      <w:sdtPr>
                        <w:alias w:val="6 p."/>
                        <w:tag w:val="part_1e56fde91fb54203b1565066b6517f17"/>
                        <w:lock w:val="sdtLocked"/>
                        <w:richText/>
                      </w:sdtPr>
                      <w:sdtContent>
                        <w:p w14:paraId="714D62E7" w14:textId="77777777">
                          <w:pPr>
                            <w:tabs>
                              <w:tab w:val="left" w:pos="1134"/>
                            </w:tabs>
                            <w:suppressAutoHyphens/>
                            <w:ind w:firstLine="709"/>
                            <w:jc w:val="both"/>
                            <w:rPr>
                              <w:szCs w:val="24"/>
                              <w:lang w:eastAsia="lt-LT"/>
                            </w:rPr>
                          </w:pPr>
                          <w:r>
                            <w:rPr>
                              <w:szCs w:val="24"/>
                            </w:rPr>
                            <w:t>„</w:t>
                          </w:r>
                          <w:sdt>
                            <w:sdtPr>
                              <w:alias w:val="Numeris"/>
                              <w:tag w:val="nr_1e56fde91fb54203b1565066b6517f17"/>
                              <w:lock w:val="sdtLocked"/>
                              <w:richText/>
                            </w:sdtPr>
                            <w:sdtContent>
                              <w:r>
                                <w:rPr>
                                  <w:szCs w:val="24"/>
                                </w:rPr>
                                <w:t>6</w:t>
                              </w:r>
                            </w:sdtContent>
                          </w:sdt>
                          <w:r>
                            <w:rPr>
                              <w:szCs w:val="24"/>
                            </w:rPr>
                            <w:t xml:space="preserve">. Ataskaita yra mėnesinė ir turi būti pateikiama iki kito kalendorinio mėnesio 25 dienos, išskyrus tuos atvejus, kai PVM mokėtojas </w:t>
                          </w:r>
                          <w:r>
                            <w:rPr>
                              <w:b/>
                              <w:szCs w:val="24"/>
                            </w:rPr>
                            <w:t>ar PVM mokėtojas, taikantis SVS Lietuvoje,</w:t>
                          </w:r>
                          <w:r>
                            <w:rPr>
                              <w:szCs w:val="24"/>
                            </w:rPr>
                            <w:t xml:space="preserve"> ataskaitinį kalendorinį mėnesį:</w:t>
                          </w:r>
                        </w:p>
                        <w:sdt>
                          <w:sdtPr>
                            <w:alias w:val="6.1 pp."/>
                            <w:tag w:val="part_bdf6c506a6594b848a2e1bb9d4f648ae"/>
                            <w:lock w:val="sdtLocked"/>
                            <w:richText/>
                          </w:sdtPr>
                          <w:sdtContent>
                            <w:p w14:paraId="40D82FE1" w14:textId="77777777">
                              <w:pPr>
                                <w:tabs>
                                  <w:tab w:val="left" w:pos="1134"/>
                                </w:tabs>
                                <w:suppressAutoHyphens/>
                                <w:ind w:firstLine="709"/>
                                <w:jc w:val="both"/>
                                <w:rPr>
                                  <w:szCs w:val="24"/>
                                  <w:lang w:eastAsia="lt-LT"/>
                                </w:rPr>
                              </w:pPr>
                              <w:sdt>
                                <w:sdtPr>
                                  <w:alias w:val="Numeris"/>
                                  <w:tag w:val="nr_bdf6c506a6594b848a2e1bb9d4f648ae"/>
                                  <w:lock w:val="sdtLocked"/>
                                  <w:richText/>
                                </w:sdtPr>
                                <w:sdtContent>
                                  <w:r>
                                    <w:rPr>
                                      <w:szCs w:val="24"/>
                                    </w:rPr>
                                    <w:t>6.1</w:t>
                                  </w:r>
                                </w:sdtContent>
                              </w:sdt>
                              <w:r>
                                <w:rPr>
                                  <w:szCs w:val="24"/>
                                </w:rPr>
                                <w:t xml:space="preserve">. išregistruojamas iš PVM mokėtojų </w:t>
                              </w:r>
                              <w:r>
                                <w:rPr>
                                  <w:b/>
                                  <w:szCs w:val="24"/>
                                </w:rPr>
                                <w:t>ar PVM mokėtojų, taikančių SVS Lietuvoje,</w:t>
                              </w:r>
                              <w:r>
                                <w:rPr>
                                  <w:szCs w:val="24"/>
                                </w:rPr>
                                <w:t xml:space="preserve"> to (paskutinio) kalendorinio mėnesio ataskaita pateikiama per 20 dienų po išregistravimo;</w:t>
                              </w:r>
                            </w:p>
                          </w:sdtContent>
                        </w:sdt>
                        <w:sdt>
                          <w:sdtPr>
                            <w:alias w:val="6.2 pp."/>
                            <w:tag w:val="part_6f9fab20b8e44d3fb157735cf598e04f"/>
                            <w:lock w:val="sdtLocked"/>
                            <w:richText/>
                          </w:sdtPr>
                          <w:sdtContent>
                            <w:p w14:paraId="40B19D3C" w14:textId="77777777">
                              <w:pPr>
                                <w:suppressAutoHyphens/>
                                <w:ind w:firstLine="709"/>
                                <w:jc w:val="both"/>
                                <w:rPr>
                                  <w:szCs w:val="24"/>
                                </w:rPr>
                              </w:pPr>
                              <w:sdt>
                                <w:sdtPr>
                                  <w:alias w:val="Numeris"/>
                                  <w:tag w:val="nr_6f9fab20b8e44d3fb157735cf598e04f"/>
                                  <w:lock w:val="sdtLocked"/>
                                  <w:richText/>
                                </w:sdtPr>
                                <w:sdtContent>
                                  <w:r>
                                    <w:rPr>
                                      <w:szCs w:val="24"/>
                                    </w:rPr>
                                    <w:t>6.2</w:t>
                                  </w:r>
                                </w:sdtContent>
                              </w:sdt>
                              <w:r>
                                <w:rPr>
                                  <w:szCs w:val="24"/>
                                </w:rPr>
                                <w:t>. yra likviduojamas, to (paskutinio) kalendorinio mėnesio ataskaita pateikiama iki likvidavimo.“</w:t>
                              </w:r>
                            </w:p>
                          </w:sdtContent>
                        </w:sdt>
                      </w:sdtContent>
                    </w:sdt>
                  </w:sdtContent>
                </w:sdt>
              </w:sdtContent>
            </w:sdt>
            <w:sdt>
              <w:sdtPr>
                <w:alias w:val="2.8 pp."/>
                <w:tag w:val="part_a534a5ffdf6e4eae8764759313b14536"/>
                <w:lock w:val="sdtLocked"/>
                <w:richText/>
              </w:sdtPr>
              <w:sdtContent>
                <w:p w14:paraId="78E9E01C" w14:textId="6A2DDE15">
                  <w:pPr>
                    <w:tabs>
                      <w:tab w:val="left" w:pos="0"/>
                      <w:tab w:val="left" w:pos="1134"/>
                    </w:tabs>
                    <w:suppressAutoHyphens/>
                    <w:ind w:firstLine="709"/>
                    <w:jc w:val="both"/>
                    <w:rPr>
                      <w:szCs w:val="24"/>
                      <w:lang w:eastAsia="lt-LT"/>
                    </w:rPr>
                  </w:pPr>
                  <w:sdt>
                    <w:sdtPr>
                      <w:alias w:val="Numeris"/>
                      <w:tag w:val="nr_a534a5ffdf6e4eae8764759313b14536"/>
                      <w:lock w:val="sdtLocked"/>
                      <w:richText/>
                    </w:sdtPr>
                    <w:sdtContent>
                      <w:r>
                        <w:rPr>
                          <w:szCs w:val="24"/>
                          <w:lang w:eastAsia="lt-LT"/>
                        </w:rPr>
                        <w:t>2.8</w:t>
                      </w:r>
                    </w:sdtContent>
                  </w:sdt>
                  <w:r>
                    <w:rPr>
                      <w:szCs w:val="24"/>
                      <w:lang w:eastAsia="lt-LT"/>
                    </w:rPr>
                    <w:t>.</w:t>
                    <w:tab/>
                  </w:r>
                  <w:r>
                    <w:rPr>
                      <w:szCs w:val="24"/>
                    </w:rPr>
                    <w:t>Pakeičiu 12 punktą ir jį išdėstau taip:</w:t>
                  </w:r>
                </w:p>
                <w:sdt>
                  <w:sdtPr>
                    <w:alias w:val="citata"/>
                    <w:tag w:val="part_41ce54f2d9b546fdad3f9723f4db2994"/>
                    <w:lock w:val="sdtLocked"/>
                    <w:richText/>
                  </w:sdtPr>
                  <w:sdtContent>
                    <w:sdt>
                      <w:sdtPr>
                        <w:alias w:val="12 p."/>
                        <w:tag w:val="part_7ce9c8c9e03a491dbd01848d9befc033"/>
                        <w:lock w:val="sdtLocked"/>
                        <w:richText/>
                      </w:sdtPr>
                      <w:sdtContent>
                        <w:p w14:paraId="3F477FCB" w14:textId="77777777">
                          <w:pPr>
                            <w:suppressAutoHyphens/>
                            <w:ind w:firstLine="709"/>
                            <w:jc w:val="both"/>
                            <w:rPr>
                              <w:szCs w:val="24"/>
                            </w:rPr>
                          </w:pPr>
                          <w:r>
                            <w:rPr>
                              <w:szCs w:val="24"/>
                            </w:rPr>
                            <w:t>„</w:t>
                          </w:r>
                          <w:sdt>
                            <w:sdtPr>
                              <w:alias w:val="Numeris"/>
                              <w:tag w:val="nr_7ce9c8c9e03a491dbd01848d9befc033"/>
                              <w:lock w:val="sdtLocked"/>
                              <w:richText/>
                            </w:sdtPr>
                            <w:sdtContent>
                              <w:r>
                                <w:rPr>
                                  <w:szCs w:val="24"/>
                                </w:rPr>
                                <w:t>12</w:t>
                              </w:r>
                            </w:sdtContent>
                          </w:sdt>
                          <w:r>
                            <w:rPr>
                              <w:szCs w:val="24"/>
                            </w:rPr>
                            <w:t>.</w:t>
                          </w:r>
                          <w:r>
                            <w:rPr>
                              <w:b/>
                              <w:bCs/>
                              <w:szCs w:val="24"/>
                            </w:rPr>
                            <w:t xml:space="preserve"> </w:t>
                          </w:r>
                          <w:r>
                            <w:rPr>
                              <w:bCs/>
                              <w:szCs w:val="24"/>
                            </w:rPr>
                            <w:t>1 laukelyje</w:t>
                          </w:r>
                          <w:r>
                            <w:rPr>
                              <w:b/>
                              <w:bCs/>
                              <w:szCs w:val="24"/>
                            </w:rPr>
                            <w:t xml:space="preserve"> </w:t>
                          </w:r>
                          <w:r>
                            <w:rPr>
                              <w:szCs w:val="24"/>
                            </w:rPr>
                            <w:t>įrašomas</w:t>
                          </w:r>
                          <w:r>
                            <w:rPr>
                              <w:b/>
                              <w:bCs/>
                              <w:szCs w:val="24"/>
                            </w:rPr>
                            <w:t xml:space="preserve"> </w:t>
                          </w:r>
                          <w:r>
                            <w:rPr>
                              <w:szCs w:val="24"/>
                            </w:rPr>
                            <w:t xml:space="preserve">PVM mokėtojo </w:t>
                          </w:r>
                          <w:r>
                            <w:rPr>
                              <w:b/>
                              <w:szCs w:val="24"/>
                            </w:rPr>
                            <w:t>ar PVM mokėtojo, taikančio SVS Lietuvoje,</w:t>
                          </w:r>
                          <w:r>
                            <w:rPr>
                              <w:szCs w:val="24"/>
                            </w:rPr>
                            <w:t xml:space="preserve"> pavadinimas arba vardas, pavardė.“</w:t>
                          </w:r>
                        </w:p>
                      </w:sdtContent>
                    </w:sdt>
                  </w:sdtContent>
                </w:sdt>
              </w:sdtContent>
            </w:sdt>
            <w:sdt>
              <w:sdtPr>
                <w:alias w:val="2.9 pp."/>
                <w:tag w:val="part_a9997ef7e05d42ab8dd71d778a664d4b"/>
                <w:lock w:val="sdtLocked"/>
                <w:richText/>
              </w:sdtPr>
              <w:sdtContent>
                <w:p w14:paraId="34FE5EB2" w14:textId="2FE8A94A">
                  <w:pPr>
                    <w:tabs>
                      <w:tab w:val="left" w:pos="0"/>
                      <w:tab w:val="left" w:pos="1134"/>
                    </w:tabs>
                    <w:suppressAutoHyphens/>
                    <w:ind w:firstLine="709"/>
                    <w:jc w:val="both"/>
                    <w:rPr>
                      <w:szCs w:val="24"/>
                      <w:lang w:eastAsia="lt-LT"/>
                    </w:rPr>
                  </w:pPr>
                  <w:sdt>
                    <w:sdtPr>
                      <w:alias w:val="Numeris"/>
                      <w:tag w:val="nr_a9997ef7e05d42ab8dd71d778a664d4b"/>
                      <w:lock w:val="sdtLocked"/>
                      <w:richText/>
                    </w:sdtPr>
                    <w:sdtContent>
                      <w:r>
                        <w:rPr>
                          <w:szCs w:val="24"/>
                          <w:lang w:eastAsia="lt-LT"/>
                        </w:rPr>
                        <w:t>2.9</w:t>
                      </w:r>
                    </w:sdtContent>
                  </w:sdt>
                  <w:r>
                    <w:rPr>
                      <w:szCs w:val="24"/>
                      <w:lang w:eastAsia="lt-LT"/>
                    </w:rPr>
                    <w:t>.</w:t>
                    <w:tab/>
                  </w:r>
                  <w:r>
                    <w:rPr>
                      <w:szCs w:val="24"/>
                    </w:rPr>
                    <w:t>Pakeičiu 14 punktą ir jį išdėstau taip:</w:t>
                  </w:r>
                </w:p>
                <w:sdt>
                  <w:sdtPr>
                    <w:alias w:val="citata"/>
                    <w:tag w:val="part_1038ce6acf164de39ce224bc622a0e74"/>
                    <w:lock w:val="sdtLocked"/>
                    <w:richText/>
                  </w:sdtPr>
                  <w:sdtContent>
                    <w:sdt>
                      <w:sdtPr>
                        <w:alias w:val="14 p."/>
                        <w:tag w:val="part_cdbfd20e1427457a8d0139def597b61e"/>
                        <w:lock w:val="sdtLocked"/>
                        <w:richText/>
                      </w:sdtPr>
                      <w:sdtContent>
                        <w:p w14:paraId="1D83A53D" w14:textId="77777777">
                          <w:pPr>
                            <w:suppressAutoHyphens/>
                            <w:ind w:firstLine="709"/>
                            <w:jc w:val="both"/>
                            <w:rPr>
                              <w:szCs w:val="24"/>
                            </w:rPr>
                          </w:pPr>
                          <w:r>
                            <w:rPr>
                              <w:szCs w:val="24"/>
                            </w:rPr>
                            <w:t>„</w:t>
                          </w:r>
                          <w:sdt>
                            <w:sdtPr>
                              <w:alias w:val="Numeris"/>
                              <w:tag w:val="nr_cdbfd20e1427457a8d0139def597b61e"/>
                              <w:lock w:val="sdtLocked"/>
                              <w:richText/>
                            </w:sdtPr>
                            <w:sdtContent>
                              <w:r>
                                <w:rPr>
                                  <w:szCs w:val="24"/>
                                </w:rPr>
                                <w:t>14</w:t>
                              </w:r>
                            </w:sdtContent>
                          </w:sdt>
                          <w:r>
                            <w:rPr>
                              <w:szCs w:val="24"/>
                            </w:rPr>
                            <w:t xml:space="preserve">. </w:t>
                          </w:r>
                          <w:r>
                            <w:rPr>
                              <w:bCs/>
                              <w:szCs w:val="24"/>
                            </w:rPr>
                            <w:t>3 laukelyje</w:t>
                          </w:r>
                          <w:r>
                            <w:rPr>
                              <w:szCs w:val="24"/>
                            </w:rPr>
                            <w:t xml:space="preserve"> įrašomas PVM mokėtojo </w:t>
                          </w:r>
                          <w:r>
                            <w:rPr>
                              <w:b/>
                              <w:szCs w:val="24"/>
                            </w:rPr>
                            <w:t>ar PVM mokėtojo, taikančio SVS Lietuvoje,</w:t>
                          </w:r>
                          <w:r>
                            <w:rPr>
                              <w:szCs w:val="24"/>
                            </w:rPr>
                            <w:t xml:space="preserve"> kodas be prefikso „LT“.“</w:t>
                          </w:r>
                        </w:p>
                      </w:sdtContent>
                    </w:sdt>
                  </w:sdtContent>
                </w:sdt>
              </w:sdtContent>
            </w:sdt>
            <w:sdt>
              <w:sdtPr>
                <w:alias w:val="2.10 pp."/>
                <w:tag w:val="part_1c068aa49cb344798c4d35c0fea966b0"/>
                <w:lock w:val="sdtLocked"/>
                <w:richText/>
              </w:sdtPr>
              <w:sdtContent>
                <w:p w14:paraId="5E66CF14" w14:textId="4CCD8E51">
                  <w:pPr>
                    <w:tabs>
                      <w:tab w:val="left" w:pos="0"/>
                      <w:tab w:val="left" w:pos="1134"/>
                    </w:tabs>
                    <w:suppressAutoHyphens/>
                    <w:ind w:firstLine="709"/>
                    <w:jc w:val="both"/>
                    <w:rPr>
                      <w:szCs w:val="24"/>
                      <w:lang w:eastAsia="lt-LT"/>
                    </w:rPr>
                  </w:pPr>
                  <w:sdt>
                    <w:sdtPr>
                      <w:alias w:val="Numeris"/>
                      <w:tag w:val="nr_1c068aa49cb344798c4d35c0fea966b0"/>
                      <w:lock w:val="sdtLocked"/>
                      <w:richText/>
                    </w:sdtPr>
                    <w:sdtContent>
                      <w:r>
                        <w:rPr>
                          <w:szCs w:val="24"/>
                          <w:lang w:eastAsia="lt-LT"/>
                        </w:rPr>
                        <w:t>2.10</w:t>
                      </w:r>
                    </w:sdtContent>
                  </w:sdt>
                  <w:r>
                    <w:rPr>
                      <w:szCs w:val="24"/>
                      <w:lang w:eastAsia="lt-LT"/>
                    </w:rPr>
                    <w:t>.</w:t>
                    <w:tab/>
                  </w:r>
                  <w:r>
                    <w:rPr>
                      <w:szCs w:val="24"/>
                    </w:rPr>
                    <w:t>Pakeičiu 25 punktą ir jį išdėstau taip:</w:t>
                  </w:r>
                </w:p>
                <w:sdt>
                  <w:sdtPr>
                    <w:alias w:val="citata"/>
                    <w:tag w:val="part_16e5fad9df404afc83afdbd14c8e4958"/>
                    <w:lock w:val="sdtLocked"/>
                    <w:richText/>
                  </w:sdtPr>
                  <w:sdtContent>
                    <w:sdt>
                      <w:sdtPr>
                        <w:alias w:val="25 p."/>
                        <w:tag w:val="part_ce2c83aa3cfa47199601446a9c98843f"/>
                        <w:lock w:val="sdtLocked"/>
                        <w:richText/>
                      </w:sdtPr>
                      <w:sdtContent>
                        <w:p w14:paraId="29231BC4" w14:textId="77777777">
                          <w:pPr>
                            <w:suppressAutoHyphens/>
                            <w:ind w:firstLine="709"/>
                            <w:jc w:val="both"/>
                            <w:rPr>
                              <w:szCs w:val="24"/>
                            </w:rPr>
                          </w:pPr>
                          <w:r>
                            <w:rPr>
                              <w:szCs w:val="24"/>
                            </w:rPr>
                            <w:t>„</w:t>
                          </w:r>
                          <w:sdt>
                            <w:sdtPr>
                              <w:alias w:val="Numeris"/>
                              <w:tag w:val="nr_ce2c83aa3cfa47199601446a9c98843f"/>
                              <w:lock w:val="sdtLocked"/>
                              <w:richText/>
                            </w:sdtPr>
                            <w:sdtContent>
                              <w:r>
                                <w:rPr>
                                  <w:szCs w:val="24"/>
                                </w:rPr>
                                <w:t>25</w:t>
                              </w:r>
                            </w:sdtContent>
                          </w:sdt>
                          <w:r>
                            <w:rPr>
                              <w:szCs w:val="24"/>
                            </w:rPr>
                            <w:t xml:space="preserve">. </w:t>
                          </w:r>
                          <w:r>
                            <w:rPr>
                              <w:bCs/>
                              <w:szCs w:val="24"/>
                            </w:rPr>
                            <w:t>18 laukelyje</w:t>
                          </w:r>
                          <w:r>
                            <w:rPr>
                              <w:b/>
                              <w:bCs/>
                              <w:szCs w:val="24"/>
                            </w:rPr>
                            <w:t xml:space="preserve"> </w:t>
                          </w:r>
                          <w:r>
                            <w:rPr>
                              <w:szCs w:val="24"/>
                            </w:rPr>
                            <w:t>turi būti</w:t>
                          </w:r>
                          <w:r>
                            <w:rPr>
                              <w:b/>
                              <w:bCs/>
                              <w:szCs w:val="24"/>
                            </w:rPr>
                            <w:t xml:space="preserve"> </w:t>
                          </w:r>
                          <w:r>
                            <w:rPr>
                              <w:szCs w:val="24"/>
                            </w:rPr>
                            <w:t xml:space="preserve">įrašoma PVM mokėtojo </w:t>
                          </w:r>
                          <w:r>
                            <w:rPr>
                              <w:b/>
                              <w:szCs w:val="24"/>
                            </w:rPr>
                            <w:t xml:space="preserve">ar PVM mokėtojo, taikančio SVS Lietuvoje, </w:t>
                          </w:r>
                          <w:r>
                            <w:rPr>
                              <w:szCs w:val="24"/>
                            </w:rPr>
                            <w:t xml:space="preserve">bendra </w:t>
                          </w:r>
                          <w:r>
                            <w:rPr>
                              <w:bCs/>
                              <w:szCs w:val="24"/>
                            </w:rPr>
                            <w:t>12 laukelyje</w:t>
                          </w:r>
                          <w:r>
                            <w:rPr>
                              <w:szCs w:val="24"/>
                            </w:rPr>
                            <w:t xml:space="preserve"> nurodytam konkrečiam ES valstybės narės PVM mokėtojui per ataskaitinį laikotarpį Taisyklių 4.4 papunktyje nurodytais atvejais suteiktų paslaugų, kurios nelaikomos suteiktomis šalies teritorijoje, apmokestinamoji vertė ir / ar Taisyklių 4.5 papunktyje nurodytais atvejais gauto viso ar dalies atlygio (avanso) vertė.“</w:t>
                          </w:r>
                        </w:p>
                        <w:p w14:paraId="42ECFE74" w14:textId="77777777">
                          <w:pPr>
                            <w:suppressAutoHyphens/>
                            <w:jc w:val="both"/>
                            <w:rPr>
                              <w:szCs w:val="24"/>
                              <w:lang w:eastAsia="lt-LT"/>
                            </w:rPr>
                          </w:pPr>
                        </w:p>
                        <w:p w14:paraId="18EA7039" w14:textId="77777777">
                          <w:pPr>
                            <w:suppressAutoHyphens/>
                            <w:jc w:val="both"/>
                            <w:rPr>
                              <w:szCs w:val="24"/>
                              <w:lang w:eastAsia="lt-LT"/>
                            </w:rPr>
                          </w:pPr>
                        </w:p>
                        <w:p w14:paraId="74E00A81" w14:textId="77777777">
                          <w:pPr>
                            <w:suppressAutoHyphens/>
                            <w:jc w:val="both"/>
                            <w:rPr>
                              <w:szCs w:val="24"/>
                              <w:lang w:eastAsia="lt-LT"/>
                            </w:rPr>
                          </w:pPr>
                        </w:p>
                      </w:sdtContent>
                    </w:sdt>
                  </w:sdtContent>
                </w:sdt>
              </w:sdtContent>
            </w:sdt>
          </w:sdtContent>
        </w:sdt>
        <w:sdt>
          <w:sdtPr>
            <w:alias w:val="signatura"/>
            <w:tag w:val="part_471f9f8bed7f48819607ca5fc0241cfb"/>
            <w:lock w:val="sdtLocked"/>
            <w:richText/>
          </w:sdtPr>
          <w:sdtContent>
            <w:p w14:paraId="51FFE1DC" w14:textId="77777777">
              <w:pPr>
                <w:suppressAutoHyphens/>
                <w:jc w:val="both"/>
                <w:rPr>
                  <w:szCs w:val="24"/>
                  <w:lang w:eastAsia="lt-LT"/>
                </w:rPr>
              </w:pPr>
              <w:r>
                <w:rPr>
                  <w:szCs w:val="24"/>
                  <w:lang w:eastAsia="lt-LT"/>
                </w:rPr>
                <w:t xml:space="preserve">Viršininkas                                                                                                                        </w:t>
              </w:r>
            </w:p>
            <w:p w14:paraId="60889D72" w14:textId="77777777">
              <w:pPr>
                <w:tabs>
                  <w:tab w:val="left" w:pos="0"/>
                  <w:tab w:val="left" w:pos="709"/>
                  <w:tab w:val="left" w:pos="993"/>
                  <w:tab w:val="left" w:pos="2268"/>
                </w:tabs>
                <w:suppressAutoHyphens/>
                <w:ind w:left="709"/>
                <w:jc w:val="center"/>
                <w:rPr>
                  <w:color w:val="000000"/>
                  <w:spacing w:val="-1"/>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27B949" w14:textId="77777777">
      <w:pPr>
        <w:suppressAutoHyphens/>
      </w:pPr>
      <w:r>
        <w:separator/>
      </w:r>
    </w:p>
  </w:endnote>
  <w:endnote w:type="continuationSeparator" w:id="0">
    <w:p w14:paraId="5C6EFED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3CCE5F" w14:textId="77777777">
    <w:pPr>
      <w:tabs>
        <w:tab w:val="center" w:pos="4819"/>
        <w:tab w:val="right" w:pos="9638"/>
      </w:tabs>
      <w:suppressAutoHyphen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05966" w14:textId="77777777">
    <w:pPr>
      <w:tabs>
        <w:tab w:val="center" w:pos="4819"/>
        <w:tab w:val="right" w:pos="9638"/>
      </w:tabs>
      <w:suppressAutoHyphen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B325D" w14:textId="77777777">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CD8599" w14:textId="77777777">
      <w:pPr>
        <w:suppressAutoHyphens/>
      </w:pPr>
      <w:r>
        <w:separator/>
      </w:r>
    </w:p>
  </w:footnote>
  <w:footnote w:type="continuationSeparator" w:id="0">
    <w:p w14:paraId="69DC1F71"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97786" w14:textId="77777777">
    <w:pPr>
      <w:tabs>
        <w:tab w:val="center" w:pos="4819"/>
        <w:tab w:val="right" w:pos="9638"/>
      </w:tabs>
      <w:suppressAutoHyphen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2AF15" w14:textId="77777777">
    <w:pPr>
      <w:tabs>
        <w:tab w:val="center" w:pos="4819"/>
        <w:tab w:val="right" w:pos="9638"/>
      </w:tabs>
      <w:suppressAutoHyphens/>
      <w:jc w:val="center"/>
      <w:rPr>
        <w:szCs w:val="24"/>
      </w:rPr>
    </w:pPr>
    <w:r>
      <w:rPr>
        <w:szCs w:val="24"/>
      </w:rPr>
      <w:fldChar w:fldCharType="begin"/>
    </w:r>
    <w:r>
      <w:rPr>
        <w:szCs w:val="24"/>
      </w:rPr>
      <w:instrText>PAGE</w:instrText>
    </w:r>
    <w:r>
      <w:rPr>
        <w:szCs w:val="24"/>
      </w:rPr>
      <w:fldChar w:fldCharType="separate"/>
    </w:r>
    <w:r>
      <w:rPr>
        <w:szCs w:val="24"/>
      </w:rPr>
      <w:t>3</w:t>
    </w:r>
    <w:r>
      <w:rPr>
        <w:szCs w:val="24"/>
      </w:rPr>
      <w:fldChar w:fldCharType="end"/>
    </w:r>
  </w:p>
  <w:p w14:paraId="3343A414" w14:textId="77777777">
    <w:pPr>
      <w:tabs>
        <w:tab w:val="center" w:pos="4819"/>
        <w:tab w:val="right" w:pos="9638"/>
      </w:tabs>
      <w:suppressAutoHyphens/>
      <w:ind w:firstLine="567"/>
      <w:jc w:val="right"/>
      <w:rPr>
        <w:b/>
        <w:i/>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A191C" w14:textId="77777777">
    <w:pPr>
      <w:tabs>
        <w:tab w:val="center" w:pos="4819"/>
        <w:tab w:val="right" w:pos="9638"/>
      </w:tabs>
      <w:suppressAutoHyphens/>
      <w:ind w:firstLine="720"/>
      <w:rPr>
        <w:rFonts w:ascii="Arial" w:hAnsi="Arial" w:cs="Arial"/>
        <w:sz w:val="2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04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6C5614"/>
  <w15:docId w15:val="{8A5B4ED2-AC1D-4C7E-B545-E882E775E2B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ffcc391da9b4671bdde4faaa36dae38" PartId="d4cbab17980e4edfa5355fc1ca21d376">
    <Part Type="preambule" DocPartId="982c2235e9e147d182d5977f7858fd84" PartId="1b3461800401458bb58b7650469708c7"/>
    <Part Type="pastraipa" DocPartId="b7fbc83dcb504190a122b4ec97e2e82f" PartId="dd195d73af474794a0d55cfe15032a18"/>
    <Part Type="punktas" Nr="1" Abbr="1 p." DocPartId="06607a6256884370a48560dad4b50d8b" PartId="9b71734d94bc489bb274311f2aa15bec">
      <Part Type="citata" DocPartId="3a66edf6e674432db0096507c9eb4260" PartId="ccb6ca20164c47d3938314ca432b036e">
        <Part Type="pastraipa" DocPartId="872a46f3929e428bb5591e82716bcd36" PartId="4df475a2c27f4744a52027ac2695e130"/>
      </Part>
    </Part>
    <Part Type="punktas" Nr="2" Abbr="2 p." DocPartId="af8542f151b14fb186547997d69633f5" PartId="e850f81c89b24f1688c7046f6cd90837">
      <Part Type="papunktis" Nr="2.1" Abbr="2.1 pp." DocPartId="9fa85b4d02e044f58982f38871b038a1" PartId="e30fa69149ee469ab7004994053c2a2f">
        <Part Type="citata" DocPartId="8039f68ff8da4d3ca6c40d2de0dd0dee" PartId="38740c66c8bb4ad8a7d7fccf138655fc">
          <Part Type="punktas" Nr="1" Abbr="1 p." DocPartId="7dfd0773d7a0450cad13342eefbfe88a" PartId="a2478911e5c74285b1f7a3e6c0945f17"/>
        </Part>
      </Part>
      <Part Type="papunktis" Nr="2.2" Abbr="2.2 pp." DocPartId="d6c3080b9b24486c856cdef088621d2a" PartId="8eb841ea20f048aabf5e30bd626e49ba">
        <Part Type="citata" DocPartId="66c294e1f3764d3f9fc041b89b548adb" PartId="8b96e88ef7744dbba49f756f5da5dfbd">
          <Part Type="punktas" Nr="3" Abbr="3 p." DocPartId="2a5d1e926ed44c97a2695989f7df20eb" PartId="8f1c6a9e54f34f27b66bb45692944385">
            <Part Type="papunktis" Nr="3.1" Abbr="3.1 pp." DocPartId="ee396f0b9dcd42ff94ef49139e45b3e1" PartId="2f34492110d74ad9b4d26747fcc024a8"/>
            <Part Type="papunktis" Nr="3.2" Abbr="3.2 pp." DocPartId="6a382e16be334c75b823d63d6b1848b7" PartId="94215c569238499ab9c5ca221c2ac24b"/>
            <Part Type="papunktis" Nr="3.3" Abbr="3.3 pp." DocPartId="4db852ce80d84adcade0b697c398e04c" PartId="c3c0fc32050747329afb44a79263c345"/>
            <Part Type="papunktis" Nr="3.4" Abbr="3.4 pp." DocPartId="0c12c7d74beb4dfb9842e9222564ee9f" PartId="f47d7617f7de42e48448d6c8cd289051"/>
            <Part Type="papunktis" Nr="3.5" Abbr="3.5 pp." DocPartId="1c33064402e74ca6ac198f925431aee3" PartId="60d5be82b1394cb5b00571a43c2f2915"/>
            <Part Type="papunktis" Nr="3.6" Abbr="3.6 pp." DocPartId="804764b328024ab2958b75f8d3390a2e" PartId="96604f732a724cfc88d1276d58c1cce5"/>
            <Part Type="papunktis" Nr="3.7" Abbr="3.7 pp." DocPartId="19c2ec5c458346bb83e3e195d2af46ce" PartId="d11da3c930264b6890dea71942d5cb46"/>
          </Part>
        </Part>
      </Part>
      <Part Type="papunktis" Nr="2.3" Abbr="2.3 pp." DocPartId="6981822101b6487b8f4b709cc58eef8e" PartId="04fa35610df445d484efe2541d073939">
        <Part Type="citata" DocPartId="ccb090fd7fe243efb77a57a3908f9527" PartId="35de6852bfac45e7972c42b89a7bcbff">
          <Part Type="punktas" Nr="4" Abbr="4 p." DocPartId="d04b4981cb574605b3b41ccbd416cec1" PartId="37bfdf7c4e244bd1a7548eb751a4a9a8"/>
        </Part>
      </Part>
      <Part Type="papunktis" Nr="2.4" Abbr="2.4 pp." DocPartId="72822cfce3354286a9a4573d91ca6263" PartId="5c739cba9288449695a06f5ad6d1426f">
        <Part Type="citata" DocPartId="233bb2c4230942e085b6b1ba23d959eb" PartId="42716b02d21f48879612bd09e1a3faeb">
          <Part Type="papunktis" Nr="4.1" Abbr="4.1 pp." DocPartId="2d797e9328ba4c7cad2f9261d02e2461" PartId="c1972b26c8fa44cc8614076c264f993e"/>
        </Part>
      </Part>
      <Part Type="papunktis" Nr="2.5" Abbr="2.5 pp." DocPartId="1471ba367da547c5927fe29e613e2226" PartId="e6b0e24ec4d3454a888a72b0a87fce02">
        <Part Type="citata" DocPartId="6f82c6c56b8442ce8709aca80aaea695" PartId="94266c1912664cb0ad1efa39be35a4bc">
          <Part Type="punktas" Nr="4-1" Abbr="4-1 p." DocPartId="a75e33b7be9c4c69b76ca44af1dca59e" PartId="77ed69c804314517ab964fc3966f71fe"/>
        </Part>
      </Part>
      <Part Type="papunktis" Nr="2.6" Abbr="2.6 pp." DocPartId="99d190e2ee7642308d8cf7b4df0c0a78" PartId="37c48ddffa334e9d8d2daa59dc56b849">
        <Part Type="citata" DocPartId="ea56e625e44b428fb1e2f4915f21db2c" PartId="b783c400bd334e88a0d5b38e591abc40">
          <Part Type="punktas" Nr="5" Abbr="5 p." DocPartId="ea715bc9903e47de96f34cd7bb835e45" PartId="99310a351af24487bda3b79799cbfae9"/>
        </Part>
      </Part>
      <Part Type="papunktis" Nr="2.7" Abbr="2.7 pp." DocPartId="dfe143cf6f50434f826fc31b101c057f" PartId="17333b9cf33a494bbac169a809ba01e5">
        <Part Type="citata" DocPartId="45e7eee635e14243a55201088d480369" PartId="46d4dad9490242659c799203ba4c9543">
          <Part Type="punktas" Nr="6" Abbr="6 p." DocPartId="8057ee84513c4a3ba03ea9760bc0c159" PartId="1e56fde91fb54203b1565066b6517f17">
            <Part Type="papunktis" Nr="6.1" Abbr="6.1 pp." DocPartId="cc1d2354ad2e4763af90ae38bd4db472" PartId="bdf6c506a6594b848a2e1bb9d4f648ae"/>
            <Part Type="papunktis" Nr="6.2" Abbr="6.2 pp." DocPartId="4ac5bdc75ab2425da9410ec9bb93908a" PartId="6f9fab20b8e44d3fb157735cf598e04f"/>
          </Part>
        </Part>
      </Part>
      <Part Type="papunktis" Nr="2.8" Abbr="2.8 pp." DocPartId="5006455fbe4048b38e88aa0d62b0965a" PartId="a534a5ffdf6e4eae8764759313b14536">
        <Part Type="citata" DocPartId="d7b48e4f84954c2e84b44f57b858e9b2" PartId="41ce54f2d9b546fdad3f9723f4db2994">
          <Part Type="punktas" Nr="12" Abbr="12 p." DocPartId="f97ce9192a25443298f4f0add6a6bb00" PartId="7ce9c8c9e03a491dbd01848d9befc033"/>
        </Part>
      </Part>
      <Part Type="papunktis" Nr="2.9" Abbr="2.9 pp." DocPartId="fa6902887d154f1e9c29401b856a965d" PartId="a9997ef7e05d42ab8dd71d778a664d4b">
        <Part Type="citata" DocPartId="3fc37944d3db423f927ff590245e7c1a" PartId="1038ce6acf164de39ce224bc622a0e74">
          <Part Type="punktas" Nr="14" Abbr="14 p." DocPartId="d9bc21bf0a264b59ba0178510c32b002" PartId="cdbfd20e1427457a8d0139def597b61e"/>
        </Part>
      </Part>
      <Part Type="papunktis" Nr="2.10" Abbr="2.10 pp." DocPartId="be068927243e4b6ab0a791dec60fee15" PartId="1c068aa49cb344798c4d35c0fea966b0">
        <Part Type="citata" DocPartId="6144197f9d7f498ca4f00b6ca397e991" PartId="16e5fad9df404afc83afdbd14c8e4958">
          <Part Type="punktas" Nr="25" Abbr="25 p." DocPartId="a12e23a383ca4315864e64adc069a691" PartId="ce2c83aa3cfa47199601446a9c98843f"/>
        </Part>
      </Part>
    </Part>
    <Part Type="signatura" DocPartId="0489c9e538fe42cfb98ab85c1f89ddc8" PartId="471f9f8bed7f48819607ca5fc0241cfb"/>
  </Part>
</Parts>
</file>

<file path=customXml/itemProps1.xml><?xml version="1.0" encoding="utf-8"?>
<ds:datastoreItem xmlns:ds="http://schemas.openxmlformats.org/officeDocument/2006/customXml" ds:itemID="{79AF4E9B-6E54-4960-BC3C-76EF870936A6}">
  <ds:schemaRefs>
    <ds:schemaRef ds:uri="http://schemas.openxmlformats.org/officeDocument/2006/bibliography"/>
  </ds:schemaRefs>
</ds:datastoreItem>
</file>

<file path=customXml/itemProps2.xml><?xml version="1.0" encoding="utf-8"?>
<ds:datastoreItem xmlns:ds="http://schemas.openxmlformats.org/officeDocument/2006/customXml" ds:itemID="{B2F40A4C-9F2E-4084-AFAF-9388A83466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1059</Words>
  <Characters>6884</Characters>
  <Application>Microsoft Office Word</Application>
  <DocSecurity>4</DocSecurity>
  <Lines>118</Lines>
  <Paragraphs>46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VMI</Company>
  <LinksUpToDate>false</LinksUpToDate>
  <CharactersWithSpaces>7897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2025-04-02T08:07:00Z</dcterms:created>
  <dc:creator>Regina Sabukienė</dc:creator>
  <dc:language>en-US</dc:language>
  <lastModifiedBy>adlibuser</lastModifiedBy>
  <lastPrinted>2021-08-10T07:13:00Z</lastPrinted>
  <dcterms:modified xsi:type="dcterms:W3CDTF">2025-04-02T08:07:00Z</dcterms:modified>
  <revision>2</revision>
</coreProperties>
</file>