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12055d4f79149fd9a0363adfbc07140"/>
        <w:lock w:val="sdtLocked"/>
        <w:richText/>
      </w:sdtPr>
      <w:sdtContent>
        <w:p w14:paraId="441CB4D8" w14:textId="77777777">
          <w:pPr>
            <w:suppressAutoHyphens/>
          </w:pPr>
        </w:p>
        <w:sdt>
          <w:sdtPr>
            <w:alias w:val="skyrius"/>
            <w:tag w:val="part_2f57c22d29d546b995e231206166d6cb"/>
            <w:lock w:val="sdtLocked"/>
            <w:richText/>
          </w:sdtPr>
          <w:sdtContent>
            <w:p w14:paraId="17BCAA1C" w14:textId="4B064FCE">
              <w:pPr>
                <w:suppressAutoHyphens/>
                <w:jc w:val="center"/>
                <w:rPr>
                  <w:b/>
                  <w:szCs w:val="24"/>
                </w:rPr>
              </w:pPr>
              <w:r>
                <w:rPr>
                  <w:b/>
                  <w:szCs w:val="24"/>
                </w:rPr>
                <w:t>ŠIAULIŲ MIESTO SAVIVALDYBĖS ŽEMĖS VALDYMO SKYRIUS</w:t>
              </w:r>
            </w:p>
            <w:p w14:paraId="17BCAA1D" w14:textId="77777777">
              <w:pPr>
                <w:tabs>
                  <w:tab w:val="left" w:pos="851"/>
                </w:tabs>
                <w:suppressAutoHyphens/>
                <w:ind w:hanging="180"/>
                <w:jc w:val="center"/>
                <w:rPr>
                  <w:szCs w:val="24"/>
                </w:rPr>
              </w:pPr>
            </w:p>
            <w:p w14:paraId="3247D41F" w14:textId="157B92A0">
              <w:pPr>
                <w:suppressAutoHyphens/>
                <w:ind w:right="-87"/>
                <w:jc w:val="center"/>
                <w:rPr>
                  <w:b/>
                  <w:bCs/>
                  <w:color w:val="000000"/>
                  <w:szCs w:val="24"/>
                  <w:shd w:val="clear" w:color="auto" w:fill="FFFFFF"/>
                </w:rPr>
              </w:pPr>
              <w:sdt>
                <w:sdtPr>
                  <w:alias w:val="Pavadinimas"/>
                  <w:tag w:val="title_2f57c22d29d546b995e231206166d6cb"/>
                  <w:lock w:val="sdtLocked"/>
                  <w:richText/>
                </w:sdtPr>
                <w:sdtContent>
                  <w:r>
                    <w:rPr>
                      <w:b/>
                      <w:bCs/>
                      <w:color w:val="000000"/>
                      <w:szCs w:val="24"/>
                      <w:shd w:val="clear" w:color="auto" w:fill="FFFFFF"/>
                    </w:rPr>
                    <w:t>SPRENDIMO</w:t>
                  </w:r>
                  <w:r>
                    <w:rPr>
                      <w:b/>
                      <w:bCs/>
                      <w:color w:val="000000"/>
                      <w:szCs w:val="24"/>
                      <w:shd w:val="clear" w:color="auto" w:fill="FFFFFF"/>
                      <w:lang w:eastAsia="ar-SA"/>
                    </w:rPr>
                    <w:t>„</w:t>
                  </w:r>
                  <w:r>
                    <w:rPr>
                      <w:b/>
                      <w:bCs/>
                      <w:color w:val="000000"/>
                      <w:szCs w:val="24"/>
                      <w:shd w:val="clear" w:color="auto" w:fill="FFFFFF"/>
                    </w:rPr>
                    <w:t>DĖL VALSTYBINĖS ŽEMĖS SKLYPŲ NUOMOS SUTARČIŲ PRIPAŽINIMO PASIBAIGUSIOMIS</w:t>
                  </w:r>
                  <w:r>
                    <w:rPr>
                      <w:rFonts w:eastAsia="HG Mincho Light J"/>
                      <w:b/>
                      <w:color w:val="000000"/>
                      <w:szCs w:val="24"/>
                      <w:lang w:eastAsia="lt-LT"/>
                    </w:rPr>
                    <w:t>“</w:t>
                  </w:r>
                </w:sdtContent>
              </w:sdt>
            </w:p>
            <w:p w14:paraId="28B5D125" w14:textId="77777777">
              <w:pPr>
                <w:suppressAutoHyphens/>
                <w:ind w:right="-87"/>
                <w:jc w:val="center"/>
                <w:rPr>
                  <w:b/>
                  <w:szCs w:val="24"/>
                  <w:lang w:eastAsia="lt-LT"/>
                </w:rPr>
              </w:pPr>
            </w:p>
            <w:sdt>
              <w:sdtPr>
                <w:alias w:val="poskyris"/>
                <w:tag w:val="part_55f3c78f0b6c494e8de79d2fe60093e4"/>
                <w:lock w:val="sdtLocked"/>
                <w:richText/>
              </w:sdtPr>
              <w:sdtContent>
                <w:p w14:paraId="17BCAA1F" w14:textId="77777777">
                  <w:pPr>
                    <w:tabs>
                      <w:tab w:val="left" w:pos="851"/>
                    </w:tabs>
                    <w:suppressAutoHyphens/>
                    <w:jc w:val="center"/>
                    <w:rPr>
                      <w:b/>
                      <w:szCs w:val="24"/>
                      <w:lang w:eastAsia="lt-LT"/>
                    </w:rPr>
                  </w:pPr>
                  <w:sdt>
                    <w:sdtPr>
                      <w:alias w:val="Pavadinimas"/>
                      <w:tag w:val="title_55f3c78f0b6c494e8de79d2fe60093e4"/>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7BCAA21" w14:textId="7B709EFC">
                  <w:pPr>
                    <w:tabs>
                      <w:tab w:val="left" w:pos="851"/>
                    </w:tabs>
                    <w:suppressAutoHyphens/>
                    <w:jc w:val="center"/>
                  </w:pPr>
                  <w:r>
                    <w:rPr>
                      <w:szCs w:val="24"/>
                      <w:lang w:eastAsia="lt-LT"/>
                    </w:rPr>
                    <w:t>2024 m. _____________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lang w:eastAsia="lt-LT"/>
                    </w:rPr>
                  </w:pPr>
                </w:p>
              </w:sdtContent>
            </w:sdt>
            <w:sdt>
              <w:sdtPr>
                <w:alias w:val="poskyris"/>
                <w:tag w:val="part_27cd59bc926d4576b1e5443fe600c851"/>
                <w:lock w:val="sdtLocked"/>
                <w:richText/>
              </w:sdtPr>
              <w:sdtContent>
                <w:p w14:paraId="17BCAA25" w14:textId="1BBA73AC">
                  <w:pPr>
                    <w:tabs>
                      <w:tab w:val="left" w:pos="851"/>
                    </w:tabs>
                    <w:suppressAutoHyphens/>
                    <w:spacing w:line="312" w:lineRule="auto"/>
                    <w:ind w:firstLine="851"/>
                    <w:jc w:val="both"/>
                    <w:rPr>
                      <w:b/>
                      <w:bCs/>
                      <w:szCs w:val="24"/>
                      <w:lang w:eastAsia="lt-LT"/>
                    </w:rPr>
                  </w:pPr>
                  <w:sdt>
                    <w:sdtPr>
                      <w:alias w:val="Pavadinimas"/>
                      <w:tag w:val="title_27cd59bc926d4576b1e5443fe600c851"/>
                      <w:lock w:val="sdtLocked"/>
                      <w:richText/>
                    </w:sdtPr>
                    <w:sdtContent>
                      <w:r>
                        <w:rPr>
                          <w:b/>
                          <w:bCs/>
                          <w:szCs w:val="24"/>
                          <w:lang w:eastAsia="lt-LT"/>
                        </w:rPr>
                        <w:t>Parengto sprendimo projekto tikslai ir uždaviniai:</w:t>
                      </w:r>
                    </w:sdtContent>
                  </w:sdt>
                </w:p>
                <w:p w14:paraId="1931EA33" w14:textId="1740CF6C">
                  <w:pPr>
                    <w:tabs>
                      <w:tab w:val="center" w:pos="4819"/>
                      <w:tab w:val="right" w:pos="9638"/>
                    </w:tabs>
                    <w:suppressAutoHyphens/>
                    <w:spacing w:line="312" w:lineRule="auto"/>
                    <w:ind w:firstLine="851"/>
                    <w:jc w:val="both"/>
                    <w:rPr>
                      <w:rFonts w:eastAsia="HG Mincho Light J"/>
                      <w:bCs/>
                      <w:color w:val="000000"/>
                      <w:szCs w:val="24"/>
                    </w:rPr>
                  </w:pPr>
                  <w:r>
                    <w:rPr>
                      <w:bCs/>
                      <w:szCs w:val="24"/>
                      <w:lang w:eastAsia="lt-LT"/>
                    </w:rPr>
                    <w:t>Sprendimo tikslas gauti Šiaulių miesto savivaldybės tarybos pritarimą pripažinti pasibaigusiomis valstybinės žemės sklypų nuomos sutartis, pasikeitus pastatų, patalpų, kitų inžinerinių statinių savininkams.</w:t>
                  </w:r>
                </w:p>
              </w:sdtContent>
            </w:sdt>
            <w:sdt>
              <w:sdtPr>
                <w:alias w:val="poskyris"/>
                <w:tag w:val="part_3870662c80d14b66a7e4a6390ca1f184"/>
                <w:lock w:val="sdtLocked"/>
                <w:richText/>
              </w:sdtPr>
              <w:sdtContent>
                <w:p w14:paraId="17BCAA27" w14:textId="1F374E73">
                  <w:pPr>
                    <w:suppressAutoHyphens/>
                    <w:spacing w:line="312" w:lineRule="auto"/>
                    <w:ind w:firstLine="851"/>
                    <w:jc w:val="both"/>
                    <w:rPr>
                      <w:b/>
                      <w:szCs w:val="24"/>
                      <w:lang w:eastAsia="lt-LT"/>
                    </w:rPr>
                  </w:pPr>
                  <w:sdt>
                    <w:sdtPr>
                      <w:alias w:val="Pavadinimas"/>
                      <w:tag w:val="title_3870662c80d14b66a7e4a6390ca1f184"/>
                      <w:lock w:val="sdtLocked"/>
                      <w:richText/>
                    </w:sdtPr>
                    <w:sdtContent>
                      <w:r>
                        <w:rPr>
                          <w:b/>
                          <w:szCs w:val="24"/>
                          <w:lang w:eastAsia="lt-LT"/>
                        </w:rPr>
                        <w:t>Dabartinis sprendimo projekte aptariamų klausimų reguliavimas:</w:t>
                      </w:r>
                    </w:sdtContent>
                  </w:sdt>
                </w:p>
                <w:p w14:paraId="4B4FAC4B" w14:textId="4BAB047C">
                  <w:pPr>
                    <w:tabs>
                      <w:tab w:val="left" w:pos="709"/>
                      <w:tab w:val="left" w:pos="993"/>
                    </w:tabs>
                    <w:suppressAutoHyphens/>
                    <w:spacing w:line="312" w:lineRule="auto"/>
                    <w:ind w:firstLine="851"/>
                    <w:jc w:val="both"/>
                    <w:rPr>
                      <w:rFonts w:eastAsia="HG Mincho Light J"/>
                      <w:bCs/>
                      <w:szCs w:val="24"/>
                    </w:rPr>
                  </w:pPr>
                  <w:r>
                    <w:rPr>
                      <w:rFonts w:eastAsia="HG Mincho Light J"/>
                      <w:bCs/>
                      <w:szCs w:val="24"/>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5F316903" w14:textId="77777777">
                  <w:pPr>
                    <w:spacing w:line="312" w:lineRule="auto"/>
                    <w:ind w:firstLine="851"/>
                    <w:jc w:val="both"/>
                    <w:rPr>
                      <w:color w:val="000000"/>
                      <w:lang w:eastAsia="lt-LT"/>
                    </w:rPr>
                  </w:pPr>
                  <w:r>
                    <w:rPr>
                      <w:color w:val="000000"/>
                      <w:lang w:eastAsia="lt-LT"/>
                    </w:rPr>
                    <w:t xml:space="preserve">Taisyklių 55.1 papunktyje nurodyta, kad </w:t>
                  </w:r>
                  <w:r>
                    <w:rPr>
                      <w:i/>
                      <w:iCs/>
                      <w:color w:val="000000"/>
                      <w:lang w:eastAsia="lt-LT"/>
                    </w:rPr>
                    <w:t>žemės nuomos teisė į naudojamą žemės sklypą ar jo dalį perleidžiama kitiems asmenims, kai perleidžiami išnuomotame valstybinės žemės sklype esantys statiniai ar įrenginiai (jų dalys) ir valstybinės žemės sklypo nuomininkas tinkamai vykdo įsipareigojimus pagal nuomos sutartį</w:t>
                  </w:r>
                  <w:r>
                    <w:rPr>
                      <w:color w:val="000000"/>
                      <w:lang w:eastAsia="lt-LT"/>
                    </w:rPr>
                    <w:t xml:space="preserve">. </w:t>
                  </w:r>
                </w:p>
                <w:p w14:paraId="58B1757D" w14:textId="26D64B3B">
                  <w:pPr>
                    <w:spacing w:line="312" w:lineRule="auto"/>
                    <w:ind w:firstLine="851"/>
                    <w:jc w:val="both"/>
                    <w:rPr>
                      <w:i/>
                      <w:iCs/>
                      <w:color w:val="000000"/>
                    </w:rPr>
                  </w:pPr>
                  <w:r>
                    <w:rPr>
                      <w:color w:val="000000"/>
                    </w:rPr>
                    <w:t xml:space="preserve">Taisyklių 55.3 papunktyje nurodyta, kad </w:t>
                  </w:r>
                  <w:r>
                    <w:rPr>
                      <w:i/>
                      <w:iCs/>
                      <w:color w:val="000000"/>
                    </w:rPr>
                    <w:t>su naujuoju statinių ir (ar) įrenginių savininku</w:t>
                  </w:r>
                  <w:r>
                    <w:rPr>
                      <w:b/>
                      <w:bCs/>
                      <w:i/>
                      <w:iCs/>
                      <w:color w:val="000000"/>
                    </w:rPr>
                    <w:t xml:space="preserve"> </w:t>
                  </w:r>
                  <w:r>
                    <w:rPr>
                      <w:i/>
                      <w:iCs/>
                      <w:color w:val="000000"/>
                    </w:rPr>
                    <w:t>pasirašoma valstybinės žemės nuomos sutartis pagal Taisyklėse nustatytus bendruosius reikalavimus tokioms sutartims.</w:t>
                  </w:r>
                </w:p>
                <w:p w14:paraId="3A1995BE" w14:textId="58924E39">
                  <w:pPr>
                    <w:suppressAutoHyphens/>
                    <w:spacing w:line="312" w:lineRule="auto"/>
                    <w:ind w:firstLine="851"/>
                    <w:jc w:val="both"/>
                    <w:rPr>
                      <w:bCs/>
                      <w:szCs w:val="24"/>
                      <w:lang w:eastAsia="lt-LT"/>
                    </w:rPr>
                  </w:pPr>
                  <w:r>
                    <w:rPr>
                      <w:color w:val="000000"/>
                    </w:rPr>
                    <w:t xml:space="preserve">Kadangi </w:t>
                  </w:r>
                  <w:r>
                    <w:rPr>
                      <w:bCs/>
                      <w:szCs w:val="24"/>
                      <w:lang w:eastAsia="lt-LT"/>
                    </w:rPr>
                    <w:t xml:space="preserve">pastatai, patalpos, kiti inžinerinių statiniai sandoriais yra perleisti kitiems asmenims, nuomos sutartys pripažįstamos pasibaigusiomis ir bus išregistruojamos VĮ Registrų centre. </w:t>
                  </w:r>
                </w:p>
                <w:p w14:paraId="0C58BBB5" w14:textId="37A84085">
                  <w:pPr>
                    <w:suppressAutoHyphens/>
                    <w:spacing w:line="312" w:lineRule="auto"/>
                    <w:ind w:firstLine="851"/>
                    <w:jc w:val="both"/>
                    <w:rPr>
                      <w:color w:val="000000"/>
                    </w:rPr>
                  </w:pPr>
                  <w:r>
                    <w:rPr>
                      <w:bCs/>
                      <w:szCs w:val="24"/>
                      <w:lang w:eastAsia="lt-LT"/>
                    </w:rPr>
                    <w:t xml:space="preserve">Pastatų, patalpų, kitų inžinerinių statinių savininkai </w:t>
                  </w:r>
                  <w:r>
                    <w:rPr>
                      <w:rFonts w:eastAsia="HG Mincho Light J"/>
                      <w:bCs/>
                      <w:color w:val="000000"/>
                      <w:szCs w:val="24"/>
                    </w:rPr>
                    <w:t>dėl valstybinės žemės sklypų (sklypų dalių) pirkimo turi teisę kreiptis į Nacionalinę žemės tarnybą prie Aplinkos ministerijos, o dėl valstybinės žemės sklypo nuomos sutarties sudarymo gali kreiptis į Šiaulių miesto savivaldybę.</w:t>
                  </w:r>
                </w:p>
              </w:sdtContent>
            </w:sdt>
            <w:sdt>
              <w:sdtPr>
                <w:alias w:val="poskyris"/>
                <w:tag w:val="part_36e7f1b2617946139b4c9c139c1755d4"/>
                <w:lock w:val="sdtLocked"/>
                <w:richText/>
              </w:sdtPr>
              <w:sdtContent>
                <w:p w14:paraId="4CB3B3F3" w14:textId="2AF517F9">
                  <w:pPr>
                    <w:spacing w:line="312" w:lineRule="auto"/>
                    <w:ind w:firstLine="851"/>
                    <w:jc w:val="both"/>
                    <w:rPr>
                      <w:b/>
                      <w:szCs w:val="24"/>
                      <w:lang w:eastAsia="lt-LT"/>
                    </w:rPr>
                  </w:pPr>
                  <w:sdt>
                    <w:sdtPr>
                      <w:alias w:val="Pavadinimas"/>
                      <w:tag w:val="title_36e7f1b2617946139b4c9c139c1755d4"/>
                      <w:lock w:val="sdtLocked"/>
                      <w:richText/>
                    </w:sdtPr>
                    <w:sdtContent>
                      <w:r>
                        <w:rPr>
                          <w:b/>
                          <w:szCs w:val="24"/>
                          <w:lang w:eastAsia="lt-LT"/>
                        </w:rPr>
                        <w:t>Sprendimo projekte numatytos naujos teisinio reglamentavimo nuostatos:</w:t>
                      </w:r>
                    </w:sdtContent>
                  </w:sdt>
                </w:p>
                <w:p w14:paraId="506F50C8" w14:textId="2E2E209C">
                  <w:pPr>
                    <w:tabs>
                      <w:tab w:val="left" w:pos="697"/>
                    </w:tabs>
                    <w:suppressAutoHyphens/>
                    <w:spacing w:line="312" w:lineRule="auto"/>
                    <w:ind w:firstLine="851"/>
                    <w:jc w:val="both"/>
                    <w:rPr>
                      <w:szCs w:val="24"/>
                    </w:rPr>
                  </w:pPr>
                  <w:r>
                    <w:rPr>
                      <w:color w:val="000000"/>
                    </w:rPr>
                    <w:t>Nenumatoma.</w:t>
                  </w:r>
                </w:p>
              </w:sdtContent>
            </w:sdt>
            <w:sdt>
              <w:sdtPr>
                <w:alias w:val="poskyris"/>
                <w:tag w:val="part_3de3b7a5f6d8420885315590fa2079cc"/>
                <w:lock w:val="sdtLocked"/>
                <w:richText/>
              </w:sdtPr>
              <w:sdtContent>
                <w:p w14:paraId="2897EDB6" w14:textId="77777777">
                  <w:pPr>
                    <w:widowControl w:val="0"/>
                    <w:suppressAutoHyphens/>
                    <w:spacing w:line="312" w:lineRule="auto"/>
                    <w:ind w:firstLine="851"/>
                    <w:jc w:val="both"/>
                    <w:rPr>
                      <w:kern w:val="2"/>
                      <w:szCs w:val="24"/>
                      <w:shd w:val="clear" w:color="auto" w:fill="FFFFFF"/>
                      <w:lang w:eastAsia="lt-LT"/>
                    </w:rPr>
                  </w:pPr>
                  <w:sdt>
                    <w:sdtPr>
                      <w:alias w:val="Pavadinimas"/>
                      <w:tag w:val="title_3de3b7a5f6d8420885315590fa2079cc"/>
                      <w:lock w:val="sdtLocked"/>
                      <w:richText/>
                    </w:sdtPr>
                    <w:sdtContent>
                      <w:r>
                        <w:rPr>
                          <w:rFonts w:eastAsia="Lucida Sans Unicode"/>
                          <w:b/>
                          <w:kern w:val="1"/>
                          <w:szCs w:val="24"/>
                          <w:lang w:eastAsia="lt-LT"/>
                        </w:rPr>
                        <w:t>Priėmus sprendimą, galimos pasekmės (tiek teigiamos, tiek neigiamos).</w:t>
                      </w:r>
                    </w:sdtContent>
                  </w:sdt>
                </w:p>
                <w:p w14:paraId="349C5418" w14:textId="459B9FB1">
                  <w:pPr>
                    <w:suppressAutoHyphens/>
                    <w:spacing w:line="312" w:lineRule="auto"/>
                    <w:ind w:firstLine="851"/>
                    <w:jc w:val="both"/>
                    <w:rPr>
                      <w:rFonts w:eastAsia="Lucida Sans Unicode"/>
                      <w:kern w:val="1"/>
                      <w:szCs w:val="24"/>
                      <w:lang w:eastAsia="lt-LT"/>
                    </w:rPr>
                  </w:pPr>
                  <w:r>
                    <w:rPr>
                      <w:kern w:val="1"/>
                      <w:szCs w:val="24"/>
                      <w:lang w:eastAsia="lt-LT"/>
                    </w:rPr>
                    <w:t>Teigiamos pasekmės – p</w:t>
                  </w:r>
                  <w:r>
                    <w:rPr>
                      <w:rFonts w:eastAsia="Lucida Sans Unicode"/>
                      <w:kern w:val="1"/>
                      <w:szCs w:val="24"/>
                      <w:lang w:eastAsia="lt-LT"/>
                    </w:rPr>
                    <w:t xml:space="preserve">riėmus sprendimą teigiamų pasekmių nenumatoma. </w:t>
                  </w:r>
                </w:p>
                <w:p w14:paraId="49676343" w14:textId="7C0DB316">
                  <w:pPr>
                    <w:suppressAutoHyphens/>
                    <w:spacing w:line="312" w:lineRule="auto"/>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37b96a8aa92e422480be6386fc5ef18a"/>
                <w:lock w:val="sdtLocked"/>
                <w:richText/>
              </w:sdtPr>
              <w:sdtContent>
                <w:p w14:paraId="1E57E06D" w14:textId="40F438D9">
                  <w:pPr>
                    <w:widowControl w:val="0"/>
                    <w:suppressAutoHyphens/>
                    <w:spacing w:line="312" w:lineRule="auto"/>
                    <w:ind w:firstLine="851"/>
                    <w:jc w:val="both"/>
                    <w:rPr>
                      <w:rFonts w:eastAsia="Lucida Sans Unicode"/>
                      <w:b/>
                      <w:kern w:val="1"/>
                      <w:szCs w:val="24"/>
                      <w:lang w:eastAsia="lt-LT"/>
                    </w:rPr>
                  </w:pPr>
                  <w:sdt>
                    <w:sdtPr>
                      <w:alias w:val="Pavadinimas"/>
                      <w:tag w:val="title_37b96a8aa92e422480be6386fc5ef18a"/>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spacing w:line="312" w:lineRule="auto"/>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56ce1cbe7f8e44ea9cbf7cf8a0646f56"/>
                <w:lock w:val="sdtLocked"/>
                <w:richText/>
              </w:sdtPr>
              <w:sdtContent>
                <w:p w14:paraId="1A338E57" w14:textId="6965EC75">
                  <w:pPr>
                    <w:widowControl w:val="0"/>
                    <w:suppressAutoHyphens/>
                    <w:spacing w:line="312" w:lineRule="auto"/>
                    <w:ind w:firstLine="851"/>
                    <w:jc w:val="both"/>
                    <w:rPr>
                      <w:rFonts w:eastAsia="Lucida Sans Unicode"/>
                      <w:b/>
                      <w:kern w:val="1"/>
                      <w:szCs w:val="24"/>
                      <w:lang w:eastAsia="lt-LT"/>
                    </w:rPr>
                  </w:pPr>
                  <w:sdt>
                    <w:sdtPr>
                      <w:alias w:val="Pavadinimas"/>
                      <w:tag w:val="title_56ce1cbe7f8e44ea9cbf7cf8a0646f56"/>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spacing w:line="312" w:lineRule="auto"/>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b46b5c1783b0441188726277f5ab4cc5"/>
                <w:lock w:val="sdtLocked"/>
                <w:richText/>
              </w:sdtPr>
              <w:sdtContent>
                <w:p w14:paraId="5BF8A515" w14:textId="4B7FB83A">
                  <w:pPr>
                    <w:widowControl w:val="0"/>
                    <w:suppressAutoHyphens/>
                    <w:spacing w:line="312" w:lineRule="auto"/>
                    <w:ind w:firstLine="851"/>
                    <w:jc w:val="both"/>
                    <w:rPr>
                      <w:rFonts w:eastAsia="Lucida Sans Unicode"/>
                      <w:b/>
                      <w:kern w:val="1"/>
                      <w:szCs w:val="24"/>
                      <w:lang w:eastAsia="lt-LT"/>
                    </w:rPr>
                  </w:pPr>
                  <w:sdt>
                    <w:sdtPr>
                      <w:alias w:val="Pavadinimas"/>
                      <w:tag w:val="title_b46b5c1783b0441188726277f5ab4cc5"/>
                      <w:lock w:val="sdtLocked"/>
                      <w:richText/>
                    </w:sdtPr>
                    <w:sdtContent>
                      <w:r>
                        <w:rPr>
                          <w:rFonts w:eastAsia="Lucida Sans Unicode"/>
                          <w:b/>
                          <w:kern w:val="1"/>
                          <w:szCs w:val="24"/>
                          <w:lang w:eastAsia="lt-LT"/>
                        </w:rPr>
                        <w:t>Sprendimui įgyvendinti reikalingos lėšos.</w:t>
                      </w:r>
                    </w:sdtContent>
                  </w:sdt>
                </w:p>
                <w:p w14:paraId="6CE1F20A" w14:textId="0361C0A6">
                  <w:pPr>
                    <w:widowControl w:val="0"/>
                    <w:suppressAutoHyphens/>
                    <w:spacing w:line="312" w:lineRule="auto"/>
                    <w:ind w:firstLine="851"/>
                    <w:jc w:val="both"/>
                    <w:rPr>
                      <w:rFonts w:eastAsia="Lucida Sans Unicode"/>
                      <w:kern w:val="1"/>
                      <w:szCs w:val="24"/>
                      <w:lang w:eastAsia="lt-LT"/>
                    </w:rPr>
                  </w:pPr>
                  <w:r>
                    <w:rPr>
                      <w:rFonts w:eastAsia="Lucida Sans Unicode"/>
                      <w:kern w:val="1"/>
                      <w:szCs w:val="24"/>
                      <w:lang w:eastAsia="lt-LT"/>
                    </w:rPr>
                    <w:t>Sprendimo projekto įgyvendinimui papildomos lėšos bus reikalingos išregistruoti nuomos sutartis VĮ Registrų centre.</w:t>
                  </w:r>
                </w:p>
              </w:sdtContent>
            </w:sdt>
            <w:sdt>
              <w:sdtPr>
                <w:alias w:val="poskyris"/>
                <w:tag w:val="part_603e51cb7ee048e5a6769182e623130a"/>
                <w:lock w:val="sdtLocked"/>
                <w:richText/>
              </w:sdtPr>
              <w:sdtContent>
                <w:p w14:paraId="330F5A8D" w14:textId="7CF4E974">
                  <w:pPr>
                    <w:widowControl w:val="0"/>
                    <w:suppressAutoHyphens/>
                    <w:spacing w:line="312" w:lineRule="auto"/>
                    <w:ind w:firstLine="851"/>
                    <w:jc w:val="both"/>
                    <w:rPr>
                      <w:rFonts w:eastAsia="Lucida Sans Unicode"/>
                      <w:b/>
                      <w:kern w:val="1"/>
                      <w:szCs w:val="24"/>
                      <w:lang w:eastAsia="lt-LT"/>
                    </w:rPr>
                  </w:pPr>
                  <w:sdt>
                    <w:sdtPr>
                      <w:alias w:val="Pavadinimas"/>
                      <w:tag w:val="title_603e51cb7ee048e5a6769182e623130a"/>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spacing w:line="312" w:lineRule="auto"/>
                    <w:ind w:firstLine="851"/>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87A37F6" w14:textId="4FAD6A5F">
                  <w:pPr>
                    <w:widowControl w:val="0"/>
                    <w:suppressAutoHyphens/>
                    <w:spacing w:line="312" w:lineRule="auto"/>
                    <w:ind w:firstLine="851"/>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Tiesioginis rengėjas − skyriaus vyr. specialistė Loreta Baliutavičienė, tel. 8 41 509 582. </w:t>
                  </w:r>
                </w:p>
              </w:sdtContent>
            </w:sdt>
            <w:sdt>
              <w:sdtPr>
                <w:alias w:val="poskyris"/>
                <w:tag w:val="part_5d77bd2490954030af09003ee8d48b43"/>
                <w:lock w:val="sdtLocked"/>
                <w:richText/>
              </w:sdtPr>
              <w:sdtContent>
                <w:p w14:paraId="7101FD74" w14:textId="23C19489">
                  <w:pPr>
                    <w:widowControl w:val="0"/>
                    <w:suppressAutoHyphens/>
                    <w:spacing w:line="312" w:lineRule="auto"/>
                    <w:ind w:firstLine="851"/>
                    <w:jc w:val="both"/>
                    <w:rPr>
                      <w:rFonts w:eastAsia="Lucida Sans Unicode"/>
                      <w:b/>
                      <w:kern w:val="1"/>
                      <w:szCs w:val="24"/>
                      <w:lang w:eastAsia="lt-LT"/>
                    </w:rPr>
                  </w:pPr>
                  <w:sdt>
                    <w:sdtPr>
                      <w:alias w:val="Pavadinimas"/>
                      <w:tag w:val="title_5d77bd2490954030af09003ee8d48b43"/>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spacing w:line="312" w:lineRule="auto"/>
                    <w:ind w:firstLine="851"/>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4BDF89F8" w14:textId="77777777">
                  <w:pPr>
                    <w:tabs>
                      <w:tab w:val="left" w:pos="570"/>
                    </w:tabs>
                    <w:suppressAutoHyphens/>
                    <w:ind w:firstLine="851"/>
                    <w:jc w:val="both"/>
                    <w:rPr>
                      <w:color w:val="000000"/>
                      <w:szCs w:val="24"/>
                    </w:rPr>
                  </w:pPr>
                </w:p>
              </w:sdtContent>
            </w:sdt>
          </w:sdtContent>
        </w:sdt>
        <w:sdt>
          <w:sdtPr>
            <w:alias w:val="signatura"/>
            <w:tag w:val="part_30c9cd5a86194c1a9272094e14c2a0aa"/>
            <w:lock w:val="sdtLocked"/>
            <w:richText/>
          </w:sdtPr>
          <w:sdtContent>
            <w:p w14:paraId="17BCAA43" w14:textId="1BDF8EF1">
              <w:pPr>
                <w:tabs>
                  <w:tab w:val="left" w:pos="697"/>
                </w:tabs>
                <w:suppressAutoHyphens/>
                <w:spacing w:line="276" w:lineRule="auto"/>
                <w:jc w:val="both"/>
                <w:rPr>
                  <w:color w:val="000000"/>
                  <w:szCs w:val="24"/>
                </w:rPr>
              </w:pPr>
              <w:r>
                <w:rPr>
                  <w:color w:val="000000"/>
                  <w:szCs w:val="24"/>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843"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070CA62" w14:textId="77777777">
      <w:pPr>
        <w:suppressAutoHyphens/>
      </w:pPr>
      <w:r>
        <w:separator/>
      </w:r>
    </w:p>
  </w:endnote>
  <w:endnote w:type="continuationSeparator" w:id="0">
    <w:p w14:paraId="3FDCEBF0"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00"/>
    <w:family w:val="roman"/>
    <w:pitch w:val="variable"/>
    <w:sig w:usb0="00000007" w:usb1="00000000" w:usb2="00000000" w:usb3="00000000" w:csb0="00000081"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4E41B4"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0A065F"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C4E3C19" w14:textId="77777777">
      <w:pPr>
        <w:suppressAutoHyphens/>
      </w:pPr>
      <w:r>
        <w:separator/>
      </w:r>
    </w:p>
  </w:footnote>
  <w:footnote w:type="continuationSeparator" w:id="0">
    <w:p w14:paraId="31871CB3"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0A1BB3"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70DC9D"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580337779">
      <w:bodyDiv w:val="1"/>
      <w:marLeft w:val="0"/>
      <w:marRight w:val="0"/>
      <w:marTop w:val="0"/>
      <w:marBottom w:val="0"/>
      <w:divBdr>
        <w:top w:val="none" w:sz="0" w:space="0" w:color="auto"/>
        <w:left w:val="none" w:sz="0" w:space="0" w:color="auto"/>
        <w:bottom w:val="none" w:sz="0" w:space="0" w:color="auto"/>
        <w:right w:val="none" w:sz="0" w:space="0" w:color="auto"/>
      </w:divBdr>
    </w:div>
    <w:div w:id="687872504">
      <w:bodyDiv w:val="1"/>
      <w:marLeft w:val="0"/>
      <w:marRight w:val="0"/>
      <w:marTop w:val="0"/>
      <w:marBottom w:val="0"/>
      <w:divBdr>
        <w:top w:val="none" w:sz="0" w:space="0" w:color="auto"/>
        <w:left w:val="none" w:sz="0" w:space="0" w:color="auto"/>
        <w:bottom w:val="none" w:sz="0" w:space="0" w:color="auto"/>
        <w:right w:val="none" w:sz="0" w:space="0" w:color="auto"/>
      </w:divBdr>
    </w:div>
    <w:div w:id="712114545">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1586305111">
      <w:bodyDiv w:val="1"/>
      <w:marLeft w:val="0"/>
      <w:marRight w:val="0"/>
      <w:marTop w:val="0"/>
      <w:marBottom w:val="0"/>
      <w:divBdr>
        <w:top w:val="none" w:sz="0" w:space="0" w:color="auto"/>
        <w:left w:val="none" w:sz="0" w:space="0" w:color="auto"/>
        <w:bottom w:val="none" w:sz="0" w:space="0" w:color="auto"/>
        <w:right w:val="none" w:sz="0" w:space="0" w:color="auto"/>
      </w:divBdr>
    </w:div>
    <w:div w:id="203623187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d247f727992146cdada299700213ced6" PartId="212055d4f79149fd9a0363adfbc07140">
    <Part Type="skyrius" Nr="999" Title="SPRENDIMO„DĖL VALSTYBINĖS ŽEMĖS SKLYPŲ NUOMOS SUTARČIŲ PRIPAŽINIMO PASIBAIGUSIOMIS“" DocPartId="3e90a7e7b556494ab5c0013ca85682d4" PartId="2f57c22d29d546b995e231206166d6cb">
      <Part Type="poskyris" Title="AIŠKINAMASIS RAŠTAS" DocPartId="3278319c753f45e488d461e6ca575f18" PartId="55f3c78f0b6c494e8de79d2fe60093e4"/>
      <Part Type="poskyris" Title="Parengto sprendimo projekto tikslai ir uždaviniai:" DocPartId="4a783afe6fa84798b0925d72f9b8adc2" PartId="27cd59bc926d4576b1e5443fe600c851"/>
      <Part Type="poskyris" Title="Dabartinis sprendimo projekte aptariamų klausimų reguliavimas:" DocPartId="29cca673989d473ab71b3ea501ded53d" PartId="3870662c80d14b66a7e4a6390ca1f184"/>
      <Part Type="poskyris" Title="Sprendimo projekte numatytos naujos teisinio reglamentavimo nuostatos:" DocPartId="31490a8689f0486d838377bceba0022b" PartId="36e7f1b2617946139b4c9c139c1755d4"/>
      <Part Type="poskyris" Title="Priėmus sprendimą, galimos pasekmės (tiek teigiamos, tiek neigiamos)." DocPartId="0fcf4b53a6a142d497dbd77ac00c900e" PartId="3de3b7a5f6d8420885315590fa2079cc"/>
      <Part Type="poskyris" Title="Priėmus sprendimą, keičiami ar pripažįstami negaliojančiais teisės aktai." DocPartId="df6d6ed37d964464820a26db35278187" PartId="37b96a8aa92e422480be6386fc5ef18a"/>
      <Part Type="poskyris" Title="Sprendimui įgyvendinti reikalingi priimti papildomi teisės aktai." DocPartId="f113919384f94170a41b66cabae3163c" PartId="56ce1cbe7f8e44ea9cbf7cf8a0646f56"/>
      <Part Type="poskyris" Title="Sprendimui įgyvendinti reikalingos lėšos." DocPartId="29e60352b7c94d8aa620c9c1787fe43d" PartId="b46b5c1783b0441188726277f5ab4cc5"/>
      <Part Type="poskyris" Title="Sprendimo projekto antikorupcinis vertinimas." DocPartId="5778d1e580be4db3b7e69266bd973549" PartId="603e51cb7ee048e5a6769182e623130a"/>
      <Part Type="poskyris" Title="Numatomo teisinio reguliavimo poveikio vertinimo rezultatai." DocPartId="d28f0b89484444bab43b2766900c1007" PartId="5d77bd2490954030af09003ee8d48b43"/>
    </Part>
    <Part Type="signatura" DocPartId="56d0d9fa89074275a3bb393806d1e875" PartId="30c9cd5a86194c1a9272094e14c2a0aa"/>
  </Part>
</Parts>
</file>

<file path=customXml/itemProps1.xml><?xml version="1.0" encoding="utf-8"?>
<ds:datastoreItem xmlns:ds="http://schemas.openxmlformats.org/officeDocument/2006/customXml" ds:itemID="{9AA897D4-36C0-4179-949A-28080E5DA75E}">
  <ds:schemaRefs>
    <ds:schemaRef ds:uri="http://schemas.openxmlformats.org/officeDocument/2006/bibliography"/>
  </ds:schemaRefs>
</ds:datastoreItem>
</file>

<file path=customXml/itemProps2.xml><?xml version="1.0" encoding="utf-8"?>
<ds:datastoreItem xmlns:ds="http://schemas.openxmlformats.org/officeDocument/2006/customXml" ds:itemID="{1111719B-FC45-484D-8362-509B04D2D60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368</Words>
  <Characters>2829</Characters>
  <Application>Microsoft Office Word</Application>
  <DocSecurity>4</DocSecurity>
  <Lines>54</Lines>
  <Paragraphs>34</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3163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2024-11-29T09:35:00Z</dcterms:created>
  <dc:creator>Žyvilė Rimšienė</dc:creator>
  <dc:language>en-GB</dc:language>
  <lastModifiedBy>adlibuser</lastModifiedBy>
  <lastPrinted>2024-02-21T11:15:00Z</lastPrinted>
  <dcterms:modified xsi:type="dcterms:W3CDTF">2024-11-29T09:35:00Z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