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4" w:rsidRPr="009041F4" w:rsidRDefault="009041F4" w:rsidP="009041F4">
      <w:pPr>
        <w:pStyle w:val="Antra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1F4">
        <w:rPr>
          <w:rFonts w:ascii="Times New Roman" w:hAnsi="Times New Roman" w:cs="Times New Roman"/>
          <w:sz w:val="24"/>
          <w:szCs w:val="24"/>
        </w:rPr>
        <w:t>RASEINIŲ RAJONO SAVIVALDYBĖS ADMINISTRACIJOS</w:t>
      </w:r>
    </w:p>
    <w:p w:rsidR="009041F4" w:rsidRPr="009041F4" w:rsidRDefault="009041F4" w:rsidP="009041F4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041F4">
        <w:rPr>
          <w:rFonts w:ascii="Times New Roman" w:hAnsi="Times New Roman"/>
          <w:b/>
        </w:rPr>
        <w:t>BIUDŽETO IR FINANSŲ ANALIZĖS SKYRIUS</w:t>
      </w:r>
      <w:r w:rsidRPr="009041F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01BE7" w:rsidRPr="008549A8" w:rsidRDefault="00A01BE7" w:rsidP="009041F4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Pr="001A11DB" w:rsidRDefault="00A01BE7" w:rsidP="00A015FE">
      <w:pPr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A015FE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r w:rsidR="00010C20" w:rsidRPr="00010C20">
        <w:rPr>
          <w:rFonts w:ascii="Times New Roman" w:hAnsi="Times New Roman"/>
          <w:b/>
          <w:bCs/>
          <w:caps/>
          <w:sz w:val="24"/>
          <w:szCs w:val="24"/>
        </w:rPr>
        <w:t>DĖL nekilno</w:t>
      </w:r>
      <w:r w:rsidR="008C04DC">
        <w:rPr>
          <w:rFonts w:ascii="Times New Roman" w:hAnsi="Times New Roman"/>
          <w:b/>
          <w:bCs/>
          <w:caps/>
          <w:sz w:val="24"/>
          <w:szCs w:val="24"/>
        </w:rPr>
        <w:t>jamojo turto MOKESČIO lengvatOS</w:t>
      </w:r>
      <w:r w:rsidRPr="001A11DB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“ projekto</w:t>
      </w:r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7D0017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9041F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7D0017">
        <w:rPr>
          <w:rFonts w:ascii="Times New Roman" w:eastAsia="Times New Roman" w:hAnsi="Times New Roman"/>
          <w:sz w:val="24"/>
          <w:szCs w:val="24"/>
          <w:lang w:eastAsia="lt-LT"/>
        </w:rPr>
        <w:t>gegužės</w:t>
      </w:r>
      <w:r w:rsidR="008A767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74E2E">
        <w:rPr>
          <w:rFonts w:ascii="Times New Roman" w:eastAsia="Times New Roman" w:hAnsi="Times New Roman"/>
          <w:sz w:val="24"/>
          <w:szCs w:val="24"/>
          <w:lang w:eastAsia="lt-LT"/>
        </w:rPr>
        <w:t>25</w:t>
      </w:r>
      <w:r w:rsidR="009041F4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0"/>
      </w:tblGrid>
      <w:tr w:rsidR="00A01BE7" w:rsidRPr="00461700" w:rsidTr="006E46C4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:rsidTr="006E46C4">
        <w:tc>
          <w:tcPr>
            <w:tcW w:w="9740" w:type="dxa"/>
          </w:tcPr>
          <w:p w:rsidR="00F92424" w:rsidRDefault="002C65C5" w:rsidP="00C64570">
            <w:pPr>
              <w:ind w:firstLine="902"/>
              <w:jc w:val="both"/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C65C5">
              <w:rPr>
                <w:rStyle w:val="Grietas"/>
                <w:rFonts w:ascii="Times New Roman" w:hAnsi="Times New Roman"/>
                <w:color w:val="000000"/>
                <w:sz w:val="24"/>
                <w:szCs w:val="24"/>
              </w:rPr>
              <w:t xml:space="preserve">Projekto tikslas </w:t>
            </w:r>
            <w:r w:rsidRPr="002C65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65C5">
              <w:rPr>
                <w:rStyle w:val="Grietas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4570" w:rsidRPr="00C645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tenkinti </w:t>
            </w:r>
            <w:r w:rsidR="008A76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AB „</w:t>
            </w:r>
            <w:r w:rsidR="007D0017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Lytagra</w:t>
            </w:r>
            <w:r w:rsidR="008A76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“</w:t>
            </w:r>
            <w:r w:rsidR="00C64570" w:rsidRPr="00C645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prašymą atleisti nuo nekilnojamojo turto mokesčio už 20</w:t>
            </w:r>
            <w:r w:rsidR="007D0017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20</w:t>
            </w:r>
            <w:r w:rsidR="00C64570" w:rsidRPr="00C645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m.</w:t>
            </w:r>
            <w:r w:rsidR="008A76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už </w:t>
            </w:r>
            <w:r w:rsidR="007D0017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įmonei priklausančius pastatus Raseinių rajone</w:t>
            </w:r>
            <w:r w:rsidR="00C64570" w:rsidRPr="00C645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kuris sudaro </w:t>
            </w:r>
            <w:r w:rsidR="00C74E2E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3019,32</w:t>
            </w:r>
            <w:r w:rsidR="00C64570" w:rsidRPr="00C645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eur</w:t>
            </w:r>
            <w:r w:rsidR="007D0017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ų</w:t>
            </w:r>
            <w:r w:rsidR="00C64570" w:rsidRPr="00C645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 w:rsidR="00C74E2E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(pagal įmonės patikslintus duomenis).</w:t>
            </w:r>
            <w:r w:rsidR="00C645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74E2E" w:rsidRDefault="00F92424" w:rsidP="00C64570">
            <w:pPr>
              <w:ind w:firstLine="902"/>
              <w:jc w:val="both"/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8A76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Įmonė</w:t>
            </w:r>
            <w:r w:rsidR="00C645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prašymą motyvuoja tuo, kad</w:t>
            </w:r>
            <w:r w:rsidR="008A76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7D0017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prekiauja žemės ūkio technika, atsarginėmis dalimis, metalais, statybinėmis medžiagomis bei kt. prekėmis. Atsižvelgiant į nustatytus Vyriausybės ribojimus ir draudimus veiklos vykdymui dėl COVID-19, bendrovės vykdoma veikla stipriai apribota, dėl ko netenka daug pradavimų pajamų, ko </w:t>
            </w:r>
            <w:proofErr w:type="spellStart"/>
            <w:r w:rsidR="007D0017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pasekoje</w:t>
            </w:r>
            <w:proofErr w:type="spellEnd"/>
            <w:r w:rsidR="007D0017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tikėtinas neigiamas veiklos rezultatas. Bendrovė turi nemažai nekilnojamojo turto daugelyje savivaldybių, todėl nekilnojamojo turto mokesčio našta pakankamai didelė. Bendrovė, siekdama minimizuoti COVID-19 neigiamas pasekmes veiklos rezultatui, prašo apsvarstyti galimybę atleisti nuo 2020 m. nekilnojamojo turto mokesčio mokėjimo arba jį sumažinti. Pažymėtina, kad pagal įmonės</w:t>
            </w:r>
            <w:r w:rsidR="00C74E2E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05 18 d.</w:t>
            </w:r>
            <w:r w:rsidR="007D0017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pateiktą papildomą </w:t>
            </w:r>
            <w:r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informaciją</w:t>
            </w:r>
            <w:r w:rsidR="007D0017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, yra užbaigta Raseinių filialo statyba ir pateiktas VĮ Registrų centrui prašymas dėl na</w:t>
            </w:r>
            <w:r w:rsidR="00C74E2E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ujos pastato mokestinės vertės. Prašymas jau</w:t>
            </w:r>
            <w:r w:rsidR="007D0017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patvirtintas mokestis už šį objektą padidė</w:t>
            </w:r>
            <w:r w:rsidR="00C74E2E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jo nuo 140 eurų iki 3019,32 eurų.</w:t>
            </w:r>
          </w:p>
          <w:p w:rsidR="00DA2CF3" w:rsidRDefault="00C74E2E" w:rsidP="00C64570">
            <w:pPr>
              <w:ind w:firstLine="902"/>
              <w:jc w:val="both"/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Pažymėtina, kad </w:t>
            </w:r>
            <w:r w:rsidR="007D0017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k</w:t>
            </w:r>
            <w:r w:rsidR="007D0017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arantino sąlygos jau sušvelnintos ir įmonei leista vykdyti prekybą. </w:t>
            </w:r>
          </w:p>
          <w:p w:rsidR="008A7670" w:rsidRDefault="009D23CC" w:rsidP="00C64570">
            <w:pPr>
              <w:ind w:firstLine="902"/>
              <w:jc w:val="both"/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Raseinių rajono savivaldybė 2019 m. kovo 21 d. tarybos sprendimu patvirtino Mokesčių lengvatų teikimo tvarkos aprašą. Vadovaujantis minėtu aprašu, įmonei neturėtų būti suteikiama nekilnojamojo turto mokesčio lengvata.</w:t>
            </w:r>
          </w:p>
          <w:p w:rsidR="008E678A" w:rsidRPr="000518E5" w:rsidRDefault="008B15EA" w:rsidP="00C74E2E">
            <w:pPr>
              <w:ind w:firstLine="902"/>
              <w:jc w:val="both"/>
            </w:pPr>
            <w:r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Savivaldybės tarybai siūloma balsavimu  apsispręsti atleisti ar neatleisti </w:t>
            </w:r>
            <w:r w:rsidR="008A76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AB „</w:t>
            </w:r>
            <w:r w:rsidR="007D0017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Lytagra</w:t>
            </w:r>
            <w:r w:rsidR="008A7670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“</w:t>
            </w:r>
            <w:r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nuo </w:t>
            </w:r>
            <w:r w:rsidR="00C74E2E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3019,32</w:t>
            </w:r>
            <w:r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eurų nekilnojamojo turto mokesčio.</w:t>
            </w:r>
          </w:p>
        </w:tc>
      </w:tr>
      <w:tr w:rsidR="00A01BE7" w:rsidRPr="00461700" w:rsidTr="006E46C4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461700" w:rsidTr="006E46C4">
        <w:tc>
          <w:tcPr>
            <w:tcW w:w="9740" w:type="dxa"/>
          </w:tcPr>
          <w:p w:rsidR="00A01BE7" w:rsidRPr="0085491F" w:rsidRDefault="00A424E8" w:rsidP="00C74E2E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Bus pa</w:t>
            </w:r>
            <w:r w:rsidR="00010C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tenkintas </w:t>
            </w:r>
            <w:r w:rsidR="00C74E2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įmonės</w:t>
            </w:r>
            <w:r w:rsidR="00010C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prašymas.</w:t>
            </w:r>
          </w:p>
        </w:tc>
      </w:tr>
      <w:tr w:rsidR="00A01BE7" w:rsidRPr="00461700" w:rsidTr="006E46C4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461700" w:rsidTr="004D1FE2">
        <w:trPr>
          <w:trHeight w:val="349"/>
        </w:trPr>
        <w:tc>
          <w:tcPr>
            <w:tcW w:w="9740" w:type="dxa"/>
          </w:tcPr>
          <w:p w:rsidR="00A01BE7" w:rsidRPr="00F000BE" w:rsidRDefault="009D23CC" w:rsidP="00C74E2E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Savivaldybės biudžeto pajamos sumažėtų </w:t>
            </w:r>
            <w:r w:rsidR="00C74E2E">
              <w:rPr>
                <w:rFonts w:ascii="Times New Roman" w:hAnsi="Times New Roman"/>
                <w:sz w:val="24"/>
                <w:szCs w:val="24"/>
              </w:rPr>
              <w:t>3019,32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F934F5">
              <w:rPr>
                <w:rFonts w:ascii="Times New Roman" w:hAnsi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BE7" w:rsidRPr="00461700" w:rsidTr="006E46C4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461700" w:rsidTr="004D1FE2">
        <w:trPr>
          <w:trHeight w:val="395"/>
        </w:trPr>
        <w:tc>
          <w:tcPr>
            <w:tcW w:w="9740" w:type="dxa"/>
          </w:tcPr>
          <w:p w:rsidR="00A01BE7" w:rsidRPr="00F000BE" w:rsidRDefault="009041F4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lastRenderedPageBreak/>
              <w:t xml:space="preserve"> </w:t>
            </w:r>
            <w:r w:rsidR="00E346A8" w:rsidRPr="005C0837">
              <w:rPr>
                <w:rFonts w:ascii="Times New Roman" w:hAnsi="Times New Roman"/>
                <w:sz w:val="24"/>
                <w:szCs w:val="24"/>
              </w:rPr>
              <w:t>Antikorupcinio vertinimo nereikia.</w:t>
            </w:r>
          </w:p>
        </w:tc>
      </w:tr>
      <w:tr w:rsidR="00A01BE7" w:rsidRPr="00461700" w:rsidTr="006E46C4">
        <w:trPr>
          <w:trHeight w:hRule="exact" w:val="567"/>
        </w:trPr>
        <w:tc>
          <w:tcPr>
            <w:tcW w:w="9740" w:type="dxa"/>
          </w:tcPr>
          <w:p w:rsidR="00A01BE7" w:rsidRPr="008549A8" w:rsidRDefault="00A01BE7" w:rsidP="006E46C4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461700" w:rsidTr="006E46C4">
        <w:tc>
          <w:tcPr>
            <w:tcW w:w="9740" w:type="dxa"/>
          </w:tcPr>
          <w:p w:rsidR="00A01BE7" w:rsidRPr="0085491F" w:rsidRDefault="002C65C5" w:rsidP="00E61E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32032">
              <w:rPr>
                <w:rFonts w:ascii="Times New Roman" w:hAnsi="Times New Roman"/>
                <w:sz w:val="24"/>
                <w:szCs w:val="24"/>
              </w:rPr>
              <w:t>Sprendimo projektas suderintas su Administracijos padaliniais ir vadovais.  Suderinta su kalbos tvarkytoja, juristu.</w:t>
            </w:r>
          </w:p>
        </w:tc>
      </w:tr>
      <w:tr w:rsidR="00A01BE7" w:rsidRPr="00461700" w:rsidTr="006E46C4">
        <w:trPr>
          <w:trHeight w:hRule="exact" w:val="397"/>
        </w:trPr>
        <w:tc>
          <w:tcPr>
            <w:tcW w:w="9740" w:type="dxa"/>
            <w:vAlign w:val="center"/>
          </w:tcPr>
          <w:p w:rsidR="009041F4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6. Numatomo teisinio reguliavimo poveikio vertinimas (norminio pobūdžio teisės </w:t>
            </w:r>
          </w:p>
          <w:p w:rsidR="00A01BE7" w:rsidRPr="008549A8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aktams)</w:t>
            </w:r>
          </w:p>
        </w:tc>
      </w:tr>
      <w:tr w:rsidR="00A01BE7" w:rsidRPr="00461700" w:rsidTr="006E46C4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461700" w:rsidTr="006E46C4">
        <w:tc>
          <w:tcPr>
            <w:tcW w:w="9740" w:type="dxa"/>
          </w:tcPr>
          <w:p w:rsidR="00A01BE7" w:rsidRPr="000518E5" w:rsidRDefault="009041F4" w:rsidP="004D1FE2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000BE">
              <w:rPr>
                <w:rFonts w:ascii="Times New Roman" w:hAnsi="Times New Roman"/>
                <w:sz w:val="24"/>
                <w:szCs w:val="24"/>
              </w:rPr>
              <w:t>Raseinių rajono savivaldybės administracijos Biudžeto ir finansų analizės skyrius.</w:t>
            </w:r>
          </w:p>
        </w:tc>
      </w:tr>
    </w:tbl>
    <w:p w:rsidR="00A01BE7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34771" w:rsidRPr="000518E5" w:rsidRDefault="00334771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Biudžeto ir finansų analizės skyriaus vedėja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Dalia Andriulienė</w:t>
      </w:r>
    </w:p>
    <w:p w:rsidR="002C3668" w:rsidRDefault="00A01BE7" w:rsidP="00A01BE7">
      <w:pPr>
        <w:spacing w:after="240" w:line="360" w:lineRule="auto"/>
      </w:pPr>
      <w:r w:rsidRPr="000518E5">
        <w:rPr>
          <w:rFonts w:ascii="Times New Roman" w:eastAsia="Times New Roman" w:hAnsi="Times New Roman"/>
          <w:sz w:val="24"/>
          <w:szCs w:val="24"/>
        </w:rPr>
        <w:t>(Autorius, pareigos)</w:t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  <w:t>(parašas)</w:t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  <w:t>(vardas, pavardė)</w:t>
      </w:r>
    </w:p>
    <w:sectPr w:rsidR="002C3668" w:rsidSect="006E46C4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E7"/>
    <w:rsid w:val="000034CC"/>
    <w:rsid w:val="00010C20"/>
    <w:rsid w:val="0008751F"/>
    <w:rsid w:val="00107F77"/>
    <w:rsid w:val="00110F87"/>
    <w:rsid w:val="00134F26"/>
    <w:rsid w:val="001637D2"/>
    <w:rsid w:val="001877F1"/>
    <w:rsid w:val="001A11DB"/>
    <w:rsid w:val="001B4B40"/>
    <w:rsid w:val="001E6951"/>
    <w:rsid w:val="001E7470"/>
    <w:rsid w:val="001F2723"/>
    <w:rsid w:val="00207023"/>
    <w:rsid w:val="00207258"/>
    <w:rsid w:val="0025578E"/>
    <w:rsid w:val="0026369B"/>
    <w:rsid w:val="0027022A"/>
    <w:rsid w:val="002C3668"/>
    <w:rsid w:val="002C65C5"/>
    <w:rsid w:val="002C716D"/>
    <w:rsid w:val="002E5FF7"/>
    <w:rsid w:val="00323839"/>
    <w:rsid w:val="00334771"/>
    <w:rsid w:val="00340E42"/>
    <w:rsid w:val="00361D0A"/>
    <w:rsid w:val="003752D7"/>
    <w:rsid w:val="003B1276"/>
    <w:rsid w:val="003B388B"/>
    <w:rsid w:val="004953CA"/>
    <w:rsid w:val="004D1FE2"/>
    <w:rsid w:val="0053668C"/>
    <w:rsid w:val="0055319E"/>
    <w:rsid w:val="005651DB"/>
    <w:rsid w:val="00567C66"/>
    <w:rsid w:val="005814D3"/>
    <w:rsid w:val="005A131C"/>
    <w:rsid w:val="005B5246"/>
    <w:rsid w:val="00633646"/>
    <w:rsid w:val="00660CAE"/>
    <w:rsid w:val="00692B4A"/>
    <w:rsid w:val="006C03D0"/>
    <w:rsid w:val="006E46C4"/>
    <w:rsid w:val="0073499A"/>
    <w:rsid w:val="00771A1E"/>
    <w:rsid w:val="007D0017"/>
    <w:rsid w:val="007E0DEB"/>
    <w:rsid w:val="0085491F"/>
    <w:rsid w:val="008610C9"/>
    <w:rsid w:val="008A7670"/>
    <w:rsid w:val="008B15EA"/>
    <w:rsid w:val="008B1B25"/>
    <w:rsid w:val="008B28D2"/>
    <w:rsid w:val="008C04DC"/>
    <w:rsid w:val="008E678A"/>
    <w:rsid w:val="009041F4"/>
    <w:rsid w:val="00921E30"/>
    <w:rsid w:val="0092397A"/>
    <w:rsid w:val="00956000"/>
    <w:rsid w:val="009578A2"/>
    <w:rsid w:val="00962AA6"/>
    <w:rsid w:val="009D23CC"/>
    <w:rsid w:val="009E5A1B"/>
    <w:rsid w:val="00A015FE"/>
    <w:rsid w:val="00A01BE7"/>
    <w:rsid w:val="00A424E8"/>
    <w:rsid w:val="00A8544D"/>
    <w:rsid w:val="00A94C79"/>
    <w:rsid w:val="00AD3C17"/>
    <w:rsid w:val="00B15E33"/>
    <w:rsid w:val="00B21156"/>
    <w:rsid w:val="00B57D34"/>
    <w:rsid w:val="00B86C93"/>
    <w:rsid w:val="00B97EC8"/>
    <w:rsid w:val="00BC31ED"/>
    <w:rsid w:val="00BE20E5"/>
    <w:rsid w:val="00C410A4"/>
    <w:rsid w:val="00C51B8F"/>
    <w:rsid w:val="00C64570"/>
    <w:rsid w:val="00C74E2E"/>
    <w:rsid w:val="00C74EEB"/>
    <w:rsid w:val="00C918BE"/>
    <w:rsid w:val="00CA1C16"/>
    <w:rsid w:val="00CA2940"/>
    <w:rsid w:val="00CB6B47"/>
    <w:rsid w:val="00CC42E6"/>
    <w:rsid w:val="00CC4F80"/>
    <w:rsid w:val="00CF014D"/>
    <w:rsid w:val="00D260E6"/>
    <w:rsid w:val="00D7660A"/>
    <w:rsid w:val="00DA2171"/>
    <w:rsid w:val="00DA2CF3"/>
    <w:rsid w:val="00DD75BE"/>
    <w:rsid w:val="00DE2FC7"/>
    <w:rsid w:val="00E17F17"/>
    <w:rsid w:val="00E346A8"/>
    <w:rsid w:val="00E61E53"/>
    <w:rsid w:val="00E81A4E"/>
    <w:rsid w:val="00ED5703"/>
    <w:rsid w:val="00F000BE"/>
    <w:rsid w:val="00F1766E"/>
    <w:rsid w:val="00F92424"/>
    <w:rsid w:val="00F934F5"/>
    <w:rsid w:val="00F9616C"/>
    <w:rsid w:val="00FB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1B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041F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9041F4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customStyle="1" w:styleId="Default">
    <w:name w:val="Default"/>
    <w:rsid w:val="00FB05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normal-h">
    <w:name w:val="normal-h"/>
    <w:rsid w:val="001F2723"/>
  </w:style>
  <w:style w:type="character" w:styleId="Grietas">
    <w:name w:val="Strong"/>
    <w:uiPriority w:val="99"/>
    <w:qFormat/>
    <w:rsid w:val="002C65C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DaliaA</cp:lastModifiedBy>
  <cp:revision>49</cp:revision>
  <dcterms:created xsi:type="dcterms:W3CDTF">2018-05-14T08:37:00Z</dcterms:created>
  <dcterms:modified xsi:type="dcterms:W3CDTF">2020-05-25T12:47:00Z</dcterms:modified>
</cp:coreProperties>
</file>