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873ad83c5df4f36add3584b34f566b4"/>
        <w:lock w:val="sdtLocked"/>
        <w:richText/>
      </w:sdtPr>
      <w:sdtContent>
        <w:p w14:paraId="00000001" w14:textId="77777777">
          <w:pPr>
            <w:pBdr>
              <w:top w:val="nil"/>
              <w:left w:val="nil"/>
              <w:bottom w:val="nil"/>
              <w:right w:val="nil"/>
              <w:between w:val="nil"/>
            </w:pBdr>
            <w:jc w:val="center"/>
            <w:rPr>
              <w:smallCaps/>
              <w:color w:val="000000"/>
              <w:szCs w:val="24"/>
              <w:lang w:val="lt" w:eastAsia="lt-LT"/>
            </w:rPr>
          </w:pPr>
          <w:r>
            <w:rPr>
              <w:b/>
              <w:smallCaps/>
              <w:color w:val="000000"/>
              <w:szCs w:val="24"/>
              <w:lang w:val="lt" w:eastAsia="lt-LT"/>
            </w:rPr>
            <w:t>AIŠKINAMASIS RAŠTAS</w:t>
          </w:r>
        </w:p>
        <w:p w14:paraId="00000002" w14:textId="77777777">
          <w:pPr>
            <w:pBdr>
              <w:top w:val="nil"/>
              <w:left w:val="nil"/>
              <w:bottom w:val="nil"/>
              <w:right w:val="nil"/>
              <w:between w:val="nil"/>
            </w:pBdr>
            <w:ind w:firstLine="62"/>
            <w:jc w:val="center"/>
            <w:rPr>
              <w:smallCaps/>
              <w:color w:val="000000"/>
              <w:szCs w:val="24"/>
              <w:lang w:val="lt" w:eastAsia="lt-LT"/>
            </w:rPr>
          </w:pPr>
        </w:p>
        <w:p w14:paraId="00000003" w14:textId="77777777">
          <w:pPr>
            <w:pBdr>
              <w:top w:val="nil"/>
              <w:left w:val="nil"/>
              <w:bottom w:val="nil"/>
              <w:right w:val="nil"/>
              <w:between w:val="nil"/>
            </w:pBdr>
            <w:jc w:val="center"/>
            <w:rPr>
              <w:smallCaps/>
              <w:color w:val="000000"/>
              <w:szCs w:val="24"/>
              <w:lang w:val="lt" w:eastAsia="lt-LT"/>
            </w:rPr>
          </w:pPr>
          <w:r>
            <w:rPr>
              <w:b/>
              <w:smallCaps/>
              <w:color w:val="000000"/>
              <w:szCs w:val="24"/>
              <w:lang w:val="lt" w:eastAsia="lt-LT"/>
            </w:rPr>
            <w:t>DĖL LIETUVOS RESPUBLIKOS</w:t>
          </w:r>
        </w:p>
        <w:p w14:paraId="00000004" w14:textId="5DD30E60">
          <w:pPr>
            <w:jc w:val="center"/>
            <w:rPr>
              <w:smallCaps/>
              <w:color w:val="000000"/>
              <w:szCs w:val="24"/>
              <w:lang w:val="lt" w:eastAsia="lt-LT"/>
            </w:rPr>
          </w:pPr>
          <w:r>
            <w:rPr>
              <w:b/>
              <w:color w:val="000000"/>
              <w:szCs w:val="24"/>
              <w:lang w:val="lt" w:eastAsia="lt-LT"/>
            </w:rPr>
            <w:t>ĮSTATYMO DĖL UŽSIENIEČIŲ TEISINĖS PADĖTIES NR. IX-2206 43 STRAIPSNIO</w:t>
          </w:r>
          <w:r>
            <w:rPr>
              <w:b/>
              <w:szCs w:val="24"/>
              <w:lang w:val="lt" w:eastAsia="lt-LT"/>
            </w:rPr>
            <w:t xml:space="preserve"> </w:t>
          </w:r>
          <w:r>
            <w:rPr>
              <w:b/>
              <w:color w:val="000000"/>
              <w:szCs w:val="24"/>
              <w:lang w:val="lt" w:eastAsia="lt-LT"/>
            </w:rPr>
            <w:t xml:space="preserve">PAKEITIMO </w:t>
          </w:r>
          <w:r>
            <w:rPr>
              <w:b/>
              <w:smallCaps/>
              <w:color w:val="000000"/>
              <w:szCs w:val="24"/>
              <w:lang w:val="lt" w:eastAsia="lt-LT"/>
            </w:rPr>
            <w:t>ĮSTATYMO PROJEKTO</w:t>
          </w:r>
        </w:p>
        <w:p w14:paraId="00000005" w14:textId="77777777">
          <w:pPr>
            <w:jc w:val="both"/>
            <w:rPr>
              <w:szCs w:val="24"/>
              <w:lang w:val="lt" w:eastAsia="lt-LT"/>
            </w:rPr>
          </w:pPr>
        </w:p>
        <w:sdt>
          <w:sdtPr>
            <w:alias w:val="1 p."/>
            <w:tag w:val="part_15be34e6304e4ad79a7d0ba022c00f9e"/>
            <w:lock w:val="sdtLocked"/>
            <w:richText/>
          </w:sdtPr>
          <w:sdtContent>
            <w:p w14:paraId="00000006" w14:textId="7659D2FF">
              <w:pPr>
                <w:pBdr>
                  <w:top w:val="nil"/>
                  <w:left w:val="nil"/>
                  <w:bottom w:val="nil"/>
                  <w:right w:val="nil"/>
                  <w:between w:val="nil"/>
                </w:pBdr>
                <w:ind w:left="360" w:hanging="360"/>
                <w:jc w:val="both"/>
                <w:rPr>
                  <w:b/>
                  <w:color w:val="000000"/>
                  <w:szCs w:val="24"/>
                  <w:lang w:val="lt" w:eastAsia="lt-LT"/>
                </w:rPr>
              </w:pPr>
              <w:sdt>
                <w:sdtPr>
                  <w:alias w:val="Numeris"/>
                  <w:tag w:val="nr_15be34e6304e4ad79a7d0ba022c00f9e"/>
                  <w:lock w:val="sdtLocked"/>
                  <w:richText/>
                </w:sdtPr>
                <w:sdtContent>
                  <w:r>
                    <w:rPr>
                      <w:b/>
                      <w:color w:val="000000"/>
                      <w:szCs w:val="24"/>
                      <w:lang w:val="lt" w:eastAsia="lt-LT"/>
                    </w:rPr>
                    <w:t>1</w:t>
                  </w:r>
                </w:sdtContent>
              </w:sdt>
              <w:r>
                <w:rPr>
                  <w:b/>
                  <w:color w:val="000000"/>
                  <w:szCs w:val="24"/>
                  <w:lang w:val="lt" w:eastAsia="lt-LT"/>
                </w:rPr>
                <w:t>.</w:t>
                <w:tab/>
                <w:t>Įstatymo rengimo projektą paskatinusios priežastys, parengto projekto tikslai ir uždaviniai:</w:t>
              </w:r>
            </w:p>
            <w:p w14:paraId="00000007" w14:textId="77777777">
              <w:pPr>
                <w:jc w:val="both"/>
                <w:rPr>
                  <w:szCs w:val="24"/>
                  <w:lang w:val="lt" w:eastAsia="lt-LT"/>
                </w:rPr>
              </w:pPr>
              <w:r>
                <w:rPr>
                  <w:szCs w:val="24"/>
                  <w:lang w:val="lt" w:eastAsia="lt-LT"/>
                </w:rPr>
                <w:t xml:space="preserve">Šiuo metu Lietuvos Respublikos įstatymas dėl užsieniečių teisinės padėties (toliau tekste – Įstatymas) reglamentuoja, kad teisę gauti leidimą laikinai gyventi Lietuvoje turi ir užsieniečių, turinčių leidimą gyventi Lietuvoje, šeimos nariai, esant šeimos susijungimo atvejui. </w:t>
              </w:r>
            </w:p>
            <w:p w14:paraId="00000008" w14:textId="77777777">
              <w:pPr>
                <w:jc w:val="both"/>
                <w:rPr>
                  <w:szCs w:val="24"/>
                  <w:lang w:val="lt" w:eastAsia="lt-LT"/>
                </w:rPr>
              </w:pPr>
            </w:p>
            <w:p w14:paraId="00000009" w14:textId="77777777">
              <w:pPr>
                <w:jc w:val="both"/>
                <w:rPr>
                  <w:szCs w:val="24"/>
                  <w:lang w:val="lt" w:eastAsia="lt-LT"/>
                </w:rPr>
              </w:pPr>
              <w:r>
                <w:rPr>
                  <w:szCs w:val="24"/>
                  <w:lang w:val="lt" w:eastAsia="lt-LT"/>
                </w:rPr>
                <w:t xml:space="preserve">Per pastaruosius kelerius metus Lietuvoje kelis kartus padaugėjus užsieniečių, iš kurių didžioji dauguma yra atvykę dėl ekonominių priežasčių, ketindami Lietuvoje dirbti, leidimų laikinai gyventi Lietuvoje išdavimas Lietuvoje gyvenančių užsieniečių šeimos nariams (ar tiesioginės aukštutinės linijos artimiesiems giminaičiams) kelia Lietuvai didžiulę grėsmę. Iš esmės tai reiškia, kad Lietuvos mokesčių mokėtojams gali tekti išlaikyti tokio Lietuvoje įsidarbinusio užsieniečio nepilnamečius vaikus, suteikti jiems iš mokesčių mokėtojų pinigų finansuojamas švietimo, o kitiems šeimų nariams ir sveikatos apsaugos paslaugas. </w:t>
              </w:r>
            </w:p>
            <w:p w14:paraId="0000000A" w14:textId="77777777">
              <w:pPr>
                <w:jc w:val="both"/>
                <w:rPr>
                  <w:szCs w:val="24"/>
                  <w:lang w:val="lt" w:eastAsia="lt-LT"/>
                </w:rPr>
              </w:pPr>
            </w:p>
            <w:p w14:paraId="0000000B" w14:textId="77777777">
              <w:pPr>
                <w:jc w:val="both"/>
                <w:rPr>
                  <w:szCs w:val="24"/>
                  <w:lang w:val="lt" w:eastAsia="lt-LT"/>
                </w:rPr>
              </w:pPr>
              <w:r>
                <w:rPr>
                  <w:szCs w:val="24"/>
                  <w:lang w:val="lt" w:eastAsia="lt-LT"/>
                </w:rPr>
                <w:t>Be to, kadangi daugelyje imigrantų kilmės šalių šeimos būna labai gausios, Lietuvoje dirbančiam užsieniečiui leidus šeimos susijungimo pagrindu atsivežti į Lietuvą gyventi visą savo šeimą, mokesčių mokėtojams gali tekti tokio užsieniečio šeimą papildomai remti ir per socialinės paramos sistemą. Pažymėtina, kad darbo imigracija, leidžiant į Lietuvą atvykti užsieniečiams, kurie čia ketina dirbti, yra grįsta pragmatiniais tikslais – valstybei ir visuomenei gauti naudą iš tokio užsieniečio darbo, jo kuriamos pridėtinės vertės bei sumokamų mokesčių. Atskira diskusija, ar tai pasitvirtina, tačiau būtent toks yra deklaruojamas valstybės tikslas. Tačiau jei vietoje naudos valstybei ir patiems mokesčių mokėtojams tenka pareiga prisidėti prie tokio užsieniečio šeimos išlaikymo, tai reiškia, kad valstybės biudžetas iš darbo imigracijos gauna ne naudą, bet priešingai – patiria žalą ar bent sąmoningai tą naudą mažina. Todėl teikiamais Įstatymo pakeitimais yra siūloma palikti teisę į šeimos susijungimą tik Lietuvos Respublikos piliečių šeimos nariams, taip pat tiems užsieniečiams, kur šeimos susijungimo atvejis būtų pateisinamas humanitariniais motyvais (pabėgėliams, prekybos žmonėmis aukoms, kt.).</w:t>
              </w:r>
            </w:p>
            <w:p w14:paraId="0000000C" w14:textId="77777777">
              <w:pPr>
                <w:jc w:val="both"/>
                <w:rPr>
                  <w:szCs w:val="24"/>
                  <w:lang w:val="lt" w:eastAsia="lt-LT"/>
                </w:rPr>
              </w:pPr>
            </w:p>
            <w:p w14:paraId="0000000D" w14:textId="77777777">
              <w:pPr>
                <w:jc w:val="both"/>
                <w:rPr>
                  <w:szCs w:val="24"/>
                  <w:lang w:val="lt" w:eastAsia="lt-LT"/>
                </w:rPr>
              </w:pPr>
              <w:r>
                <w:rPr>
                  <w:szCs w:val="24"/>
                  <w:lang w:val="lt" w:eastAsia="lt-LT"/>
                </w:rPr>
                <w:t>Kai kurios valstybės, iš kurių į Lietuvą yra atvykę užsieniečiai, neturi jokių centrinių gyventojų registrų, pagal kurių duomenis būtų galima nustatyti vieno ar kito tos šalies piliečio giminystės ryšius, o giminystės ryšys gali būti nustatomas, geriausiu atveju, pagal popierinį gimimo liudijimą, kuris yra lengvai suklastojamas arba įgyjamas korupciniu keliu. Todėl, remiantis šiuo pagrindu, egzistuoja didžiulė rizika, kad Lietuvoje dirbantis užsienietis į Lietuvą šeimos susijungimo pagrindu atsigabens ne tik savo, bet ir, pvz., brolio ar pusbrolio vaikus. Atitinkamai, tokiu būdu į Lietuvą atvykti gyventi šeimos susijungimo pagrindu gali net keliolika nepilnamečių vaikų. Pareiga jiems teikti švietimo, sveikatos apsaugos paslaugas bei tokią šeimą papildomai remti per socialinės paramos sistemą teks mokesčių mokėtojams.</w:t>
              </w:r>
            </w:p>
            <w:p w14:paraId="0000000E" w14:textId="77777777">
              <w:pPr>
                <w:jc w:val="both"/>
                <w:rPr>
                  <w:szCs w:val="24"/>
                  <w:lang w:val="lt" w:eastAsia="lt-LT"/>
                </w:rPr>
              </w:pPr>
            </w:p>
            <w:p w14:paraId="0000000F" w14:textId="77777777">
              <w:pPr>
                <w:jc w:val="both"/>
                <w:rPr>
                  <w:szCs w:val="24"/>
                  <w:lang w:val="lt" w:eastAsia="lt-LT"/>
                </w:rPr>
              </w:pPr>
              <w:r>
                <w:rPr>
                  <w:szCs w:val="24"/>
                  <w:lang w:val="lt" w:eastAsia="lt-LT"/>
                </w:rPr>
                <w:t xml:space="preserve">Skaičiuojama, kad 2026 metais, praėjus trejiems metams nuo masinės imigracijos Lietuvoje pradžios, pasinaudojant šeimų susijungimo teise – jei ši įsigaliotų – į Lietuvą galėtų atvykti apie 60 tūkstančių papildomų užsieniečių, kurie būtų nebe darbo migrantai, o beveik išimtinai nedirbantys asmenys. Toks papildomas užsieniečių antplūdis greta šalyje jau esančių daugiau nei 200 tūkstančių asmenų ne iš ES valstybių narių turėtų reikšmingą poveikį Lietuvos demografinei sudėčiai, kultūriniam vientisumui ir tapatybei, ypač didžiuosiuose miestuose, kuriuose akivaizdžiai ir telkiasi užsieniečių iš Azijos ir Afrikos šalių bendruomenės. </w:t>
              </w:r>
            </w:p>
            <w:p w14:paraId="00000010" w14:textId="77777777">
              <w:pPr>
                <w:jc w:val="both"/>
                <w:rPr>
                  <w:szCs w:val="24"/>
                  <w:lang w:val="lt" w:eastAsia="lt-LT"/>
                </w:rPr>
              </w:pPr>
            </w:p>
          </w:sdtContent>
        </w:sdt>
        <w:sdt>
          <w:sdtPr>
            <w:alias w:val="2 p."/>
            <w:tag w:val="part_9e05420bc13a4fcf8377e0098dd56830"/>
            <w:lock w:val="sdtLocked"/>
            <w:richText/>
          </w:sdtPr>
          <w:sdtContent>
            <w:p w14:paraId="00000011" w14:textId="558F526C">
              <w:pPr>
                <w:pBdr>
                  <w:top w:val="nil"/>
                  <w:left w:val="nil"/>
                  <w:bottom w:val="nil"/>
                  <w:right w:val="nil"/>
                  <w:between w:val="nil"/>
                </w:pBdr>
                <w:ind w:left="360" w:hanging="360"/>
                <w:jc w:val="both"/>
                <w:rPr>
                  <w:b/>
                  <w:color w:val="000000"/>
                  <w:szCs w:val="24"/>
                  <w:lang w:val="lt" w:eastAsia="lt-LT"/>
                </w:rPr>
              </w:pPr>
              <w:sdt>
                <w:sdtPr>
                  <w:alias w:val="Numeris"/>
                  <w:tag w:val="nr_9e05420bc13a4fcf8377e0098dd56830"/>
                  <w:lock w:val="sdtLocked"/>
                  <w:richText/>
                </w:sdtPr>
                <w:sdtContent>
                  <w:r>
                    <w:rPr>
                      <w:b/>
                      <w:color w:val="000000"/>
                      <w:szCs w:val="24"/>
                      <w:lang w:val="lt" w:eastAsia="lt-LT"/>
                    </w:rPr>
                    <w:t>2</w:t>
                  </w:r>
                </w:sdtContent>
              </w:sdt>
              <w:r>
                <w:rPr>
                  <w:b/>
                  <w:color w:val="000000"/>
                  <w:szCs w:val="24"/>
                  <w:lang w:val="lt" w:eastAsia="lt-LT"/>
                </w:rPr>
                <w:t>.</w:t>
                <w:tab/>
                <w:t>Įstatymo projekto iniciatoriai (institucija, asmenys ar piliečių įgalioti atstovai) ir rengėjai:</w:t>
              </w:r>
            </w:p>
            <w:p w14:paraId="00000012" w14:textId="77777777">
              <w:pPr>
                <w:jc w:val="both"/>
                <w:rPr>
                  <w:szCs w:val="24"/>
                  <w:lang w:val="lt" w:eastAsia="lt-LT"/>
                </w:rPr>
              </w:pPr>
              <w:r>
                <w:rPr>
                  <w:szCs w:val="24"/>
                  <w:lang w:val="lt" w:eastAsia="lt-LT"/>
                </w:rPr>
                <w:t>Įstatymo projektą parengė laikinosios Seimo narių grupės „Prieš masinę imigraciją“ pirmininkas Vytautas Sinica.</w:t>
              </w:r>
            </w:p>
            <w:p w14:paraId="00000013" w14:textId="77777777">
              <w:pPr>
                <w:jc w:val="both"/>
                <w:rPr>
                  <w:szCs w:val="24"/>
                  <w:lang w:val="lt" w:eastAsia="lt-LT"/>
                </w:rPr>
              </w:pPr>
            </w:p>
          </w:sdtContent>
        </w:sdt>
        <w:sdt>
          <w:sdtPr>
            <w:alias w:val="3 p."/>
            <w:tag w:val="part_6ede40012dbb4b92810607763cb7afa8"/>
            <w:lock w:val="sdtLocked"/>
            <w:richText/>
          </w:sdtPr>
          <w:sdtContent>
            <w:p w14:paraId="00000014" w14:textId="409CAC6B">
              <w:pPr>
                <w:pBdr>
                  <w:top w:val="nil"/>
                  <w:left w:val="nil"/>
                  <w:bottom w:val="nil"/>
                  <w:right w:val="nil"/>
                  <w:between w:val="nil"/>
                </w:pBdr>
                <w:ind w:left="360" w:hanging="360"/>
                <w:jc w:val="both"/>
                <w:rPr>
                  <w:b/>
                  <w:color w:val="000000"/>
                  <w:szCs w:val="24"/>
                  <w:lang w:val="lt" w:eastAsia="lt-LT"/>
                </w:rPr>
              </w:pPr>
              <w:sdt>
                <w:sdtPr>
                  <w:alias w:val="Numeris"/>
                  <w:tag w:val="nr_6ede40012dbb4b92810607763cb7afa8"/>
                  <w:lock w:val="sdtLocked"/>
                  <w:richText/>
                </w:sdtPr>
                <w:sdtContent>
                  <w:r>
                    <w:rPr>
                      <w:b/>
                      <w:color w:val="000000"/>
                      <w:szCs w:val="24"/>
                      <w:lang w:val="lt" w:eastAsia="lt-LT"/>
                    </w:rPr>
                    <w:t>3</w:t>
                  </w:r>
                </w:sdtContent>
              </w:sdt>
              <w:r>
                <w:rPr>
                  <w:b/>
                  <w:color w:val="000000"/>
                  <w:szCs w:val="24"/>
                  <w:lang w:val="lt" w:eastAsia="lt-LT"/>
                </w:rPr>
                <w:t>.</w:t>
                <w:tab/>
                <w:t>Kaip šiuo metu yra reguliuojami Įstatymo projekte aptarti teisiniai santykiai:</w:t>
              </w:r>
            </w:p>
            <w:p w14:paraId="00000015" w14:textId="77777777">
              <w:pPr>
                <w:jc w:val="both"/>
                <w:rPr>
                  <w:szCs w:val="24"/>
                  <w:lang w:val="lt" w:eastAsia="lt-LT"/>
                </w:rPr>
              </w:pPr>
              <w:r>
                <w:rPr>
                  <w:szCs w:val="24"/>
                  <w:lang w:val="lt" w:eastAsia="lt-LT"/>
                </w:rPr>
                <w:t xml:space="preserve">Šiuo metu, be kita ko, Įstatymas numato teisę į šeimos susijungimą ir užsieniečiui, turinčiam leidimą gyventi Lietuvoje. </w:t>
              </w:r>
            </w:p>
            <w:p w14:paraId="00000016" w14:textId="77777777">
              <w:pPr>
                <w:jc w:val="both"/>
                <w:rPr>
                  <w:szCs w:val="24"/>
                  <w:lang w:val="lt" w:eastAsia="lt-LT"/>
                </w:rPr>
              </w:pPr>
            </w:p>
          </w:sdtContent>
        </w:sdt>
        <w:sdt>
          <w:sdtPr>
            <w:alias w:val="4 p."/>
            <w:tag w:val="part_f1983ef6f29f48dbaa8b75087c29c9e0"/>
            <w:lock w:val="sdtLocked"/>
            <w:richText/>
          </w:sdtPr>
          <w:sdtContent>
            <w:p w14:paraId="00000017" w14:textId="1D7F884D">
              <w:pPr>
                <w:pBdr>
                  <w:top w:val="nil"/>
                  <w:left w:val="nil"/>
                  <w:bottom w:val="nil"/>
                  <w:right w:val="nil"/>
                  <w:between w:val="nil"/>
                </w:pBdr>
                <w:ind w:left="360" w:hanging="360"/>
                <w:jc w:val="both"/>
                <w:rPr>
                  <w:b/>
                  <w:color w:val="000000"/>
                  <w:szCs w:val="24"/>
                  <w:lang w:val="lt" w:eastAsia="lt-LT"/>
                </w:rPr>
              </w:pPr>
              <w:sdt>
                <w:sdtPr>
                  <w:alias w:val="Numeris"/>
                  <w:tag w:val="nr_f1983ef6f29f48dbaa8b75087c29c9e0"/>
                  <w:lock w:val="sdtLocked"/>
                  <w:richText/>
                </w:sdtPr>
                <w:sdtContent>
                  <w:r>
                    <w:rPr>
                      <w:b/>
                      <w:color w:val="000000"/>
                      <w:szCs w:val="24"/>
                      <w:lang w:val="lt" w:eastAsia="lt-LT"/>
                    </w:rPr>
                    <w:t>4</w:t>
                  </w:r>
                </w:sdtContent>
              </w:sdt>
              <w:r>
                <w:rPr>
                  <w:b/>
                  <w:color w:val="000000"/>
                  <w:szCs w:val="24"/>
                  <w:lang w:val="lt" w:eastAsia="lt-LT"/>
                </w:rPr>
                <w:t>.</w:t>
                <w:tab/>
                <w:t>Kokios siūlomos naujos teisinio reguliavimo nuostatos ir kokių teigiamų rezultatų laukiama:</w:t>
              </w:r>
            </w:p>
            <w:p w14:paraId="00000018" w14:textId="77777777">
              <w:pPr>
                <w:jc w:val="both"/>
                <w:rPr>
                  <w:szCs w:val="24"/>
                  <w:lang w:val="lt" w:eastAsia="lt-LT"/>
                </w:rPr>
              </w:pPr>
              <w:r>
                <w:rPr>
                  <w:szCs w:val="24"/>
                  <w:lang w:val="lt" w:eastAsia="lt-LT"/>
                </w:rPr>
                <w:t>Įstatymo projektu yra siekiama užkirsti kelią galimiems piktnaudžiavimams užsieniečiams gaunant leidimus gyventi Lietuvoje, užtikrinti, kad darbo migracija neštų kuo didesnę naudą valstybei bei visuomenei.</w:t>
              </w:r>
            </w:p>
            <w:p w14:paraId="00000019" w14:textId="77777777">
              <w:pPr>
                <w:jc w:val="both"/>
                <w:rPr>
                  <w:szCs w:val="24"/>
                  <w:lang w:val="lt" w:eastAsia="lt-LT"/>
                </w:rPr>
              </w:pPr>
            </w:p>
            <w:p w14:paraId="0000001A" w14:textId="77777777">
              <w:pPr>
                <w:jc w:val="both"/>
                <w:rPr>
                  <w:szCs w:val="24"/>
                  <w:lang w:val="lt" w:eastAsia="lt-LT"/>
                </w:rPr>
              </w:pPr>
              <w:r>
                <w:rPr>
                  <w:szCs w:val="24"/>
                  <w:lang w:val="lt" w:eastAsia="lt-LT"/>
                </w:rPr>
                <w:t>Siūloma palikti teisę į šeimos susijungimą tik Lietuvos Respublikos piliečių šeimos nariams, taip pat tiems užsieniečiams, kur šeimos susijungimas būtų pateisinamas humanitariniais motyvais (pabėgėliams, prekybos žmonėmis aukoms, kt.).</w:t>
              </w:r>
            </w:p>
            <w:p w14:paraId="0000001B" w14:textId="77777777">
              <w:pPr>
                <w:jc w:val="both"/>
                <w:rPr>
                  <w:szCs w:val="24"/>
                  <w:lang w:val="lt" w:eastAsia="lt-LT"/>
                </w:rPr>
              </w:pPr>
            </w:p>
          </w:sdtContent>
        </w:sdt>
        <w:sdt>
          <w:sdtPr>
            <w:alias w:val="5 p."/>
            <w:tag w:val="part_372c466a44884a109c87b19ab1d467fc"/>
            <w:lock w:val="sdtLocked"/>
            <w:richText/>
          </w:sdtPr>
          <w:sdtContent>
            <w:p w14:paraId="0000001C" w14:textId="5B49138A">
              <w:pPr>
                <w:pBdr>
                  <w:top w:val="nil"/>
                  <w:left w:val="nil"/>
                  <w:bottom w:val="nil"/>
                  <w:right w:val="nil"/>
                  <w:between w:val="nil"/>
                </w:pBdr>
                <w:ind w:left="360" w:hanging="360"/>
                <w:jc w:val="both"/>
                <w:rPr>
                  <w:b/>
                  <w:color w:val="000000"/>
                  <w:szCs w:val="24"/>
                  <w:lang w:val="lt" w:eastAsia="lt-LT"/>
                </w:rPr>
              </w:pPr>
              <w:sdt>
                <w:sdtPr>
                  <w:alias w:val="Numeris"/>
                  <w:tag w:val="nr_372c466a44884a109c87b19ab1d467fc"/>
                  <w:lock w:val="sdtLocked"/>
                  <w:richText/>
                </w:sdtPr>
                <w:sdtContent>
                  <w:r>
                    <w:rPr>
                      <w:b/>
                      <w:color w:val="000000"/>
                      <w:szCs w:val="24"/>
                      <w:lang w:val="lt" w:eastAsia="lt-LT"/>
                    </w:rPr>
                    <w:t>5</w:t>
                  </w:r>
                </w:sdtContent>
              </w:sdt>
              <w:r>
                <w:rPr>
                  <w:b/>
                  <w:color w:val="000000"/>
                  <w:szCs w:val="24"/>
                  <w:lang w:val="lt" w:eastAsia="lt-LT"/>
                </w:rPr>
                <w:t>.</w:t>
                <w:tab/>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0000001D" w14:textId="77777777">
              <w:pPr>
                <w:jc w:val="both"/>
                <w:rPr>
                  <w:szCs w:val="24"/>
                  <w:lang w:val="lt" w:eastAsia="lt-LT"/>
                </w:rPr>
              </w:pPr>
              <w:r>
                <w:rPr>
                  <w:szCs w:val="24"/>
                  <w:lang w:val="lt" w:eastAsia="lt-LT"/>
                </w:rPr>
                <w:t>Priėmus įstatymo projektą neigiamų pasekmių nenumatoma.</w:t>
              </w:r>
            </w:p>
            <w:p w14:paraId="0000001E" w14:textId="77777777">
              <w:pPr>
                <w:jc w:val="both"/>
                <w:rPr>
                  <w:szCs w:val="24"/>
                  <w:lang w:val="lt" w:eastAsia="lt-LT"/>
                </w:rPr>
              </w:pPr>
            </w:p>
          </w:sdtContent>
        </w:sdt>
        <w:sdt>
          <w:sdtPr>
            <w:alias w:val="6 p."/>
            <w:tag w:val="part_ecfcac8d43624604aa8e68074d98f47f"/>
            <w:lock w:val="sdtLocked"/>
            <w:richText/>
          </w:sdtPr>
          <w:sdtContent>
            <w:p w14:paraId="0000001F" w14:textId="1D017097">
              <w:pPr>
                <w:pBdr>
                  <w:top w:val="nil"/>
                  <w:left w:val="nil"/>
                  <w:bottom w:val="nil"/>
                  <w:right w:val="nil"/>
                  <w:between w:val="nil"/>
                </w:pBdr>
                <w:spacing w:line="278" w:lineRule="auto"/>
                <w:ind w:left="360" w:hanging="360"/>
                <w:jc w:val="both"/>
                <w:rPr>
                  <w:rFonts w:ascii="Calibri" w:eastAsia="Calibri" w:hAnsi="Calibri" w:cs="Calibri"/>
                  <w:color w:val="000000"/>
                  <w:sz w:val="22"/>
                  <w:szCs w:val="22"/>
                  <w:lang w:val="lt" w:eastAsia="lt-LT"/>
                </w:rPr>
              </w:pPr>
              <w:sdt>
                <w:sdtPr>
                  <w:alias w:val="Numeris"/>
                  <w:tag w:val="nr_ecfcac8d43624604aa8e68074d98f47f"/>
                  <w:lock w:val="sdtLocked"/>
                  <w:richText/>
                </w:sdtPr>
                <w:sdtContent>
                  <w:r>
                    <w:rPr>
                      <w:rFonts w:ascii="Calibri" w:eastAsia="Calibri" w:hAnsi="Calibri" w:cs="Calibri"/>
                      <w:color w:val="000000"/>
                      <w:sz w:val="22"/>
                      <w:szCs w:val="22"/>
                      <w:lang w:val="lt" w:eastAsia="lt-LT"/>
                    </w:rPr>
                    <w:t>6</w:t>
                  </w:r>
                </w:sdtContent>
              </w:sdt>
              <w:r>
                <w:rPr>
                  <w:rFonts w:ascii="Calibri" w:eastAsia="Calibri" w:hAnsi="Calibri" w:cs="Calibri"/>
                  <w:color w:val="000000"/>
                  <w:sz w:val="22"/>
                  <w:szCs w:val="22"/>
                  <w:lang w:val="lt" w:eastAsia="lt-LT"/>
                </w:rPr>
                <w:t>.</w:t>
                <w:tab/>
              </w:r>
              <w:r>
                <w:rPr>
                  <w:b/>
                  <w:color w:val="000000"/>
                  <w:szCs w:val="24"/>
                  <w:lang w:val="lt" w:eastAsia="lt-LT"/>
                </w:rPr>
                <w:t>Kokią įtaką priimtas įstatymas turės kriminogeninei situacijai, korupcijai:</w:t>
              </w:r>
            </w:p>
            <w:p w14:paraId="00000020" w14:textId="77777777">
              <w:pPr>
                <w:spacing w:line="278" w:lineRule="auto"/>
                <w:jc w:val="both"/>
                <w:rPr>
                  <w:rFonts w:ascii="Calibri" w:eastAsia="Calibri" w:hAnsi="Calibri" w:cs="Calibri"/>
                  <w:color w:val="000000"/>
                  <w:sz w:val="22"/>
                  <w:szCs w:val="22"/>
                  <w:lang w:val="lt" w:eastAsia="lt-LT"/>
                </w:rPr>
              </w:pPr>
              <w:r>
                <w:rPr>
                  <w:color w:val="000000"/>
                  <w:szCs w:val="24"/>
                  <w:lang w:val="lt" w:eastAsia="lt-LT"/>
                </w:rPr>
                <w:t>Įstatymo projektas turėtų įtaką gerinant kriminogeninę situaciją, mažinant korupciją.</w:t>
              </w:r>
            </w:p>
            <w:p w14:paraId="00000021" w14:textId="77777777">
              <w:pPr>
                <w:spacing w:line="278" w:lineRule="auto"/>
                <w:ind w:firstLine="913"/>
                <w:jc w:val="both"/>
                <w:rPr>
                  <w:rFonts w:ascii="Calibri" w:eastAsia="Calibri" w:hAnsi="Calibri" w:cs="Calibri"/>
                  <w:color w:val="000000"/>
                  <w:sz w:val="22"/>
                  <w:szCs w:val="22"/>
                  <w:lang w:val="lt" w:eastAsia="lt-LT"/>
                </w:rPr>
              </w:pPr>
            </w:p>
          </w:sdtContent>
        </w:sdt>
        <w:sdt>
          <w:sdtPr>
            <w:alias w:val="7 p."/>
            <w:tag w:val="part_6fb86916034e410ab50a7890e2004ea2"/>
            <w:lock w:val="sdtLocked"/>
            <w:richText/>
          </w:sdtPr>
          <w:sdtContent>
            <w:p w14:paraId="00000022" w14:textId="77777777">
              <w:pPr>
                <w:spacing w:line="278" w:lineRule="auto"/>
                <w:jc w:val="both"/>
                <w:rPr>
                  <w:rFonts w:ascii="Calibri" w:eastAsia="Calibri" w:hAnsi="Calibri" w:cs="Calibri"/>
                  <w:color w:val="000000"/>
                  <w:sz w:val="22"/>
                  <w:szCs w:val="22"/>
                  <w:lang w:val="lt" w:eastAsia="lt-LT"/>
                </w:rPr>
              </w:pPr>
              <w:sdt>
                <w:sdtPr>
                  <w:alias w:val="Numeris"/>
                  <w:tag w:val="nr_6fb86916034e410ab50a7890e2004ea2"/>
                  <w:lock w:val="sdtLocked"/>
                  <w:richText/>
                </w:sdtPr>
                <w:sdtContent>
                  <w:r>
                    <w:rPr>
                      <w:b/>
                      <w:color w:val="000000"/>
                      <w:szCs w:val="24"/>
                      <w:lang w:val="lt" w:eastAsia="lt-LT"/>
                    </w:rPr>
                    <w:t>7</w:t>
                  </w:r>
                </w:sdtContent>
              </w:sdt>
              <w:r>
                <w:rPr>
                  <w:b/>
                  <w:color w:val="000000"/>
                  <w:szCs w:val="24"/>
                  <w:lang w:val="lt" w:eastAsia="lt-LT"/>
                </w:rPr>
                <w:t>.</w:t>
              </w:r>
              <w:r>
                <w:rPr>
                  <w:b/>
                  <w:color w:val="000000"/>
                  <w:sz w:val="14"/>
                  <w:szCs w:val="14"/>
                  <w:lang w:val="lt" w:eastAsia="lt-LT"/>
                </w:rPr>
                <w:t>    </w:t>
              </w:r>
              <w:r>
                <w:rPr>
                  <w:b/>
                  <w:color w:val="000000"/>
                  <w:szCs w:val="24"/>
                  <w:lang w:val="lt" w:eastAsia="lt-LT"/>
                </w:rPr>
                <w:t>Kaip įstatymo įgyvendinimas atsilieps verslo sąlygoms ir jo plėtrai:</w:t>
              </w:r>
            </w:p>
            <w:p w14:paraId="00000023" w14:textId="77777777">
              <w:pPr>
                <w:spacing w:line="278" w:lineRule="auto"/>
                <w:jc w:val="both"/>
                <w:rPr>
                  <w:szCs w:val="24"/>
                  <w:lang w:val="lt" w:eastAsia="lt-LT"/>
                </w:rPr>
              </w:pPr>
              <w:r>
                <w:rPr>
                  <w:szCs w:val="24"/>
                  <w:lang w:val="lt" w:eastAsia="lt-LT"/>
                </w:rPr>
                <w:t>Įstatymo projektas verslo sąlygoms ir jo plėtrai įtakos neturės.</w:t>
              </w:r>
            </w:p>
            <w:p w14:paraId="00000024" w14:textId="77777777">
              <w:pPr>
                <w:spacing w:line="278" w:lineRule="auto"/>
                <w:ind w:firstLine="62"/>
                <w:jc w:val="both"/>
                <w:rPr>
                  <w:rFonts w:ascii="Calibri" w:eastAsia="Calibri" w:hAnsi="Calibri" w:cs="Calibri"/>
                  <w:color w:val="000000"/>
                  <w:sz w:val="22"/>
                  <w:szCs w:val="22"/>
                  <w:lang w:val="lt" w:eastAsia="lt-LT"/>
                </w:rPr>
              </w:pPr>
            </w:p>
          </w:sdtContent>
        </w:sdt>
        <w:sdt>
          <w:sdtPr>
            <w:alias w:val="8 p."/>
            <w:tag w:val="part_a23fedeb52854fa2b60195a465e3d55e"/>
            <w:lock w:val="sdtLocked"/>
            <w:richText/>
          </w:sdtPr>
          <w:sdtContent>
            <w:p w14:paraId="00000025" w14:textId="77777777">
              <w:pPr>
                <w:spacing w:line="278" w:lineRule="auto"/>
                <w:jc w:val="both"/>
                <w:rPr>
                  <w:rFonts w:ascii="Calibri" w:eastAsia="Calibri" w:hAnsi="Calibri" w:cs="Calibri"/>
                  <w:color w:val="000000"/>
                  <w:sz w:val="22"/>
                  <w:szCs w:val="22"/>
                  <w:lang w:val="lt" w:eastAsia="lt-LT"/>
                </w:rPr>
              </w:pPr>
              <w:sdt>
                <w:sdtPr>
                  <w:alias w:val="Numeris"/>
                  <w:tag w:val="nr_a23fedeb52854fa2b60195a465e3d55e"/>
                  <w:lock w:val="sdtLocked"/>
                  <w:richText/>
                </w:sdtPr>
                <w:sdtContent>
                  <w:r>
                    <w:rPr>
                      <w:b/>
                      <w:color w:val="000000"/>
                      <w:szCs w:val="24"/>
                      <w:lang w:val="lt" w:eastAsia="lt-LT"/>
                    </w:rPr>
                    <w:t>8</w:t>
                  </w:r>
                </w:sdtContent>
              </w:sdt>
              <w:r>
                <w:rPr>
                  <w:b/>
                  <w:color w:val="000000"/>
                  <w:szCs w:val="24"/>
                  <w:lang w:val="lt" w:eastAsia="lt-LT"/>
                </w:rPr>
                <w:t>.</w:t>
              </w:r>
              <w:r>
                <w:rPr>
                  <w:b/>
                  <w:color w:val="000000"/>
                  <w:sz w:val="14"/>
                  <w:szCs w:val="14"/>
                  <w:lang w:val="lt" w:eastAsia="lt-LT"/>
                </w:rPr>
                <w:t>    </w:t>
              </w:r>
              <w:r>
                <w:rPr>
                  <w:b/>
                  <w:color w:val="000000"/>
                  <w:szCs w:val="24"/>
                  <w:lang w:val="lt" w:eastAsia="lt-LT"/>
                </w:rPr>
                <w:t>Ar Įstatymo projektas neprieštarauja strateginio lygmens planavimo dokumentams:</w:t>
              </w:r>
            </w:p>
            <w:p w14:paraId="00000026" w14:textId="77777777">
              <w:pPr>
                <w:spacing w:line="278" w:lineRule="auto"/>
                <w:jc w:val="both"/>
                <w:rPr>
                  <w:rFonts w:ascii="Calibri" w:eastAsia="Calibri" w:hAnsi="Calibri" w:cs="Calibri"/>
                  <w:color w:val="000000"/>
                  <w:sz w:val="22"/>
                  <w:szCs w:val="22"/>
                  <w:lang w:val="lt" w:eastAsia="lt-LT"/>
                </w:rPr>
              </w:pPr>
              <w:r>
                <w:rPr>
                  <w:color w:val="000000"/>
                  <w:szCs w:val="24"/>
                  <w:lang w:val="lt" w:eastAsia="lt-LT"/>
                </w:rPr>
                <w:t>Neprieštarauja.</w:t>
              </w:r>
            </w:p>
            <w:p w14:paraId="00000027" w14:textId="77777777">
              <w:pPr>
                <w:spacing w:line="278" w:lineRule="auto"/>
                <w:ind w:firstLine="913"/>
                <w:jc w:val="both"/>
                <w:rPr>
                  <w:rFonts w:ascii="Calibri" w:eastAsia="Calibri" w:hAnsi="Calibri" w:cs="Calibri"/>
                  <w:color w:val="000000"/>
                  <w:sz w:val="22"/>
                  <w:szCs w:val="22"/>
                  <w:lang w:val="lt" w:eastAsia="lt-LT"/>
                </w:rPr>
              </w:pPr>
            </w:p>
          </w:sdtContent>
        </w:sdt>
        <w:sdt>
          <w:sdtPr>
            <w:alias w:val="9 p."/>
            <w:tag w:val="part_1b3177af928d4b7c8bd7d92bc0f1d79b"/>
            <w:lock w:val="sdtLocked"/>
            <w:richText/>
          </w:sdtPr>
          <w:sdtContent>
            <w:p w14:paraId="00000028" w14:textId="77777777">
              <w:pPr>
                <w:spacing w:line="278" w:lineRule="auto"/>
                <w:jc w:val="both"/>
                <w:rPr>
                  <w:rFonts w:ascii="Calibri" w:eastAsia="Calibri" w:hAnsi="Calibri" w:cs="Calibri"/>
                  <w:color w:val="000000"/>
                  <w:sz w:val="22"/>
                  <w:szCs w:val="22"/>
                  <w:lang w:val="lt" w:eastAsia="lt-LT"/>
                </w:rPr>
              </w:pPr>
              <w:sdt>
                <w:sdtPr>
                  <w:alias w:val="Numeris"/>
                  <w:tag w:val="nr_1b3177af928d4b7c8bd7d92bc0f1d79b"/>
                  <w:lock w:val="sdtLocked"/>
                  <w:richText/>
                </w:sdtPr>
                <w:sdtContent>
                  <w:r>
                    <w:rPr>
                      <w:b/>
                      <w:color w:val="000000"/>
                      <w:szCs w:val="24"/>
                      <w:lang w:val="lt" w:eastAsia="lt-LT"/>
                    </w:rPr>
                    <w:t>9</w:t>
                  </w:r>
                </w:sdtContent>
              </w:sdt>
              <w:r>
                <w:rPr>
                  <w:b/>
                  <w:color w:val="000000"/>
                  <w:szCs w:val="24"/>
                  <w:lang w:val="lt" w:eastAsia="lt-LT"/>
                </w:rPr>
                <w:t>.</w:t>
              </w:r>
              <w:r>
                <w:rPr>
                  <w:b/>
                  <w:color w:val="000000"/>
                  <w:sz w:val="14"/>
                  <w:szCs w:val="14"/>
                  <w:lang w:val="lt" w:eastAsia="lt-LT"/>
                </w:rPr>
                <w:t>    </w:t>
              </w:r>
              <w:r>
                <w:rPr>
                  <w:b/>
                  <w:color w:val="000000"/>
                  <w:szCs w:val="24"/>
                  <w:lang w:val="lt" w:eastAsia="lt-LT"/>
                </w:rPr>
                <w:t>Įstatymo inkorporavimas į teisinę sistemą, kokius teisės aktus būtina priimti, kokius galiojančius teisės aktus reikia pakeisti ar pripažinti netekusiais galios:</w:t>
              </w:r>
            </w:p>
            <w:p w14:paraId="00000029" w14:textId="77777777">
              <w:pPr>
                <w:spacing w:line="278" w:lineRule="auto"/>
                <w:jc w:val="both"/>
                <w:rPr>
                  <w:color w:val="000000"/>
                  <w:szCs w:val="24"/>
                  <w:lang w:val="lt" w:eastAsia="lt-LT"/>
                </w:rPr>
              </w:pPr>
              <w:r>
                <w:rPr>
                  <w:color w:val="000000"/>
                  <w:szCs w:val="24"/>
                  <w:lang w:val="lt" w:eastAsia="lt-LT"/>
                </w:rPr>
                <w:t>Kitų teisės aktų pakeitimo nereikės.</w:t>
              </w:r>
            </w:p>
            <w:p w14:paraId="0000002A" w14:textId="77777777">
              <w:pPr>
                <w:spacing w:line="278" w:lineRule="auto"/>
                <w:ind w:firstLine="62"/>
                <w:jc w:val="both"/>
                <w:rPr>
                  <w:rFonts w:ascii="Calibri" w:eastAsia="Calibri" w:hAnsi="Calibri" w:cs="Calibri"/>
                  <w:color w:val="000000"/>
                  <w:sz w:val="22"/>
                  <w:szCs w:val="22"/>
                  <w:lang w:val="lt" w:eastAsia="lt-LT"/>
                </w:rPr>
              </w:pPr>
            </w:p>
          </w:sdtContent>
        </w:sdt>
        <w:sdt>
          <w:sdtPr>
            <w:alias w:val="10 p."/>
            <w:tag w:val="part_0cd78d24eb604dc0a459cde8f865cfc8"/>
            <w:lock w:val="sdtLocked"/>
            <w:richText/>
          </w:sdtPr>
          <w:sdtContent>
            <w:p w14:paraId="0000002B" w14:textId="77777777">
              <w:pPr>
                <w:spacing w:line="278" w:lineRule="auto"/>
                <w:jc w:val="both"/>
                <w:rPr>
                  <w:rFonts w:ascii="Calibri" w:eastAsia="Calibri" w:hAnsi="Calibri" w:cs="Calibri"/>
                  <w:color w:val="000000"/>
                  <w:sz w:val="22"/>
                  <w:szCs w:val="22"/>
                  <w:lang w:val="lt" w:eastAsia="lt-LT"/>
                </w:rPr>
              </w:pPr>
              <w:sdt>
                <w:sdtPr>
                  <w:alias w:val="Numeris"/>
                  <w:tag w:val="nr_0cd78d24eb604dc0a459cde8f865cfc8"/>
                  <w:lock w:val="sdtLocked"/>
                  <w:richText/>
                </w:sdtPr>
                <w:sdtContent>
                  <w:r>
                    <w:rPr>
                      <w:b/>
                      <w:color w:val="000000"/>
                      <w:szCs w:val="24"/>
                      <w:lang w:val="lt" w:eastAsia="lt-LT"/>
                    </w:rPr>
                    <w:t>10</w:t>
                  </w:r>
                </w:sdtContent>
              </w:sdt>
              <w:r>
                <w:rPr>
                  <w:b/>
                  <w:color w:val="000000"/>
                  <w:szCs w:val="24"/>
                  <w:lang w:val="lt" w:eastAsia="lt-LT"/>
                </w:rPr>
                <w:t>.</w:t>
              </w:r>
              <w:r>
                <w:rPr>
                  <w:b/>
                  <w:color w:val="000000"/>
                  <w:sz w:val="14"/>
                  <w:szCs w:val="14"/>
                  <w:lang w:val="lt" w:eastAsia="lt-LT"/>
                </w:rPr>
                <w:t>    </w:t>
              </w:r>
              <w:r>
                <w:rPr>
                  <w:b/>
                  <w:color w:val="000000"/>
                  <w:szCs w:val="24"/>
                  <w:lang w:val="lt" w:eastAsia="lt-LT"/>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0000002C" w14:textId="77777777">
              <w:pPr>
                <w:jc w:val="both"/>
                <w:rPr>
                  <w:rFonts w:ascii="Calibri" w:eastAsia="Calibri" w:hAnsi="Calibri" w:cs="Calibri"/>
                  <w:color w:val="000000"/>
                  <w:sz w:val="22"/>
                  <w:szCs w:val="22"/>
                  <w:lang w:val="lt" w:eastAsia="lt-LT"/>
                </w:rPr>
              </w:pPr>
              <w:r>
                <w:rPr>
                  <w:color w:val="000000"/>
                  <w:szCs w:val="24"/>
                  <w:lang w:val="lt" w:eastAsia="lt-LT"/>
                </w:rPr>
                <w:t>Įstatymo projektas parengtas laikantis Lietuvos Respublikos valstybinės kalbos, Teisėkūros pagrindų įstatymo reikalavimų.</w:t>
              </w:r>
            </w:p>
            <w:p w14:paraId="0000002D" w14:textId="77777777">
              <w:pPr>
                <w:spacing w:line="278" w:lineRule="auto"/>
                <w:ind w:firstLine="913"/>
                <w:jc w:val="both"/>
                <w:rPr>
                  <w:rFonts w:ascii="Calibri" w:eastAsia="Calibri" w:hAnsi="Calibri" w:cs="Calibri"/>
                  <w:color w:val="000000"/>
                  <w:sz w:val="22"/>
                  <w:szCs w:val="22"/>
                  <w:lang w:val="lt" w:eastAsia="lt-LT"/>
                </w:rPr>
              </w:pPr>
            </w:p>
          </w:sdtContent>
        </w:sdt>
        <w:sdt>
          <w:sdtPr>
            <w:alias w:val="11 p."/>
            <w:tag w:val="part_c6689637002143ae95abc419041662ff"/>
            <w:lock w:val="sdtLocked"/>
            <w:richText/>
          </w:sdtPr>
          <w:sdtContent>
            <w:p w14:paraId="0000002E" w14:textId="77777777">
              <w:pPr>
                <w:spacing w:line="278" w:lineRule="auto"/>
                <w:jc w:val="both"/>
                <w:rPr>
                  <w:rFonts w:ascii="Calibri" w:eastAsia="Calibri" w:hAnsi="Calibri" w:cs="Calibri"/>
                  <w:color w:val="000000"/>
                  <w:sz w:val="22"/>
                  <w:szCs w:val="22"/>
                  <w:lang w:val="lt" w:eastAsia="lt-LT"/>
                </w:rPr>
              </w:pPr>
              <w:sdt>
                <w:sdtPr>
                  <w:alias w:val="Numeris"/>
                  <w:tag w:val="nr_c6689637002143ae95abc419041662ff"/>
                  <w:lock w:val="sdtLocked"/>
                  <w:richText/>
                </w:sdtPr>
                <w:sdtContent>
                  <w:r>
                    <w:rPr>
                      <w:b/>
                      <w:color w:val="000000"/>
                      <w:szCs w:val="24"/>
                      <w:lang w:val="lt" w:eastAsia="lt-LT"/>
                    </w:rPr>
                    <w:t>11</w:t>
                  </w:r>
                </w:sdtContent>
              </w:sdt>
              <w:r>
                <w:rPr>
                  <w:b/>
                  <w:color w:val="000000"/>
                  <w:szCs w:val="24"/>
                  <w:lang w:val="lt" w:eastAsia="lt-LT"/>
                </w:rPr>
                <w:t>.</w:t>
              </w:r>
              <w:r>
                <w:rPr>
                  <w:b/>
                  <w:color w:val="000000"/>
                  <w:sz w:val="14"/>
                  <w:szCs w:val="14"/>
                  <w:lang w:val="lt" w:eastAsia="lt-LT"/>
                </w:rPr>
                <w:t>    </w:t>
              </w:r>
              <w:r>
                <w:rPr>
                  <w:b/>
                  <w:color w:val="000000"/>
                  <w:szCs w:val="24"/>
                  <w:lang w:val="lt" w:eastAsia="lt-LT"/>
                </w:rPr>
                <w:t>Ar Įstatymo projektas atitinka Žmogaus teisių ir pagrindinių laisvių apsaugos konvencijos nuostatas ir Europos Sąjungos dokumentus:</w:t>
              </w:r>
            </w:p>
            <w:p w14:paraId="0000002F" w14:textId="77777777">
              <w:pPr>
                <w:jc w:val="both"/>
                <w:rPr>
                  <w:rFonts w:ascii="Calibri" w:eastAsia="Calibri" w:hAnsi="Calibri" w:cs="Calibri"/>
                  <w:color w:val="000000"/>
                  <w:sz w:val="22"/>
                  <w:szCs w:val="22"/>
                  <w:lang w:val="lt" w:eastAsia="lt-LT"/>
                </w:rPr>
              </w:pPr>
              <w:r>
                <w:rPr>
                  <w:color w:val="000000"/>
                  <w:szCs w:val="24"/>
                  <w:lang w:val="lt" w:eastAsia="lt-LT"/>
                </w:rPr>
                <w:t>Įstatymo projektas atitinka Žmogaus teisių ir pagrindinių laisvių apsaugos konvencijos nuostatas ir Europos Sąjungos dokumentus.</w:t>
              </w:r>
            </w:p>
            <w:p w14:paraId="00000030" w14:textId="77777777">
              <w:pPr>
                <w:ind w:firstLine="913"/>
                <w:jc w:val="both"/>
                <w:rPr>
                  <w:rFonts w:ascii="Calibri" w:eastAsia="Calibri" w:hAnsi="Calibri" w:cs="Calibri"/>
                  <w:color w:val="000000"/>
                  <w:sz w:val="22"/>
                  <w:szCs w:val="22"/>
                  <w:lang w:val="lt" w:eastAsia="lt-LT"/>
                </w:rPr>
              </w:pPr>
            </w:p>
          </w:sdtContent>
        </w:sdt>
        <w:sdt>
          <w:sdtPr>
            <w:alias w:val="12 p."/>
            <w:tag w:val="part_33dbdfcf6a254bb7baedd30d59494f2b"/>
            <w:lock w:val="sdtLocked"/>
            <w:richText/>
          </w:sdtPr>
          <w:sdtContent>
            <w:p w14:paraId="00000031" w14:textId="77777777">
              <w:pPr>
                <w:spacing w:line="278" w:lineRule="auto"/>
                <w:jc w:val="both"/>
                <w:rPr>
                  <w:rFonts w:ascii="Calibri" w:eastAsia="Calibri" w:hAnsi="Calibri" w:cs="Calibri"/>
                  <w:color w:val="000000"/>
                  <w:sz w:val="22"/>
                  <w:szCs w:val="22"/>
                  <w:lang w:val="lt" w:eastAsia="lt-LT"/>
                </w:rPr>
              </w:pPr>
              <w:sdt>
                <w:sdtPr>
                  <w:alias w:val="Numeris"/>
                  <w:tag w:val="nr_33dbdfcf6a254bb7baedd30d59494f2b"/>
                  <w:lock w:val="sdtLocked"/>
                  <w:richText/>
                </w:sdtPr>
                <w:sdtContent>
                  <w:r>
                    <w:rPr>
                      <w:b/>
                      <w:color w:val="000000"/>
                      <w:szCs w:val="24"/>
                      <w:lang w:val="lt" w:eastAsia="lt-LT"/>
                    </w:rPr>
                    <w:t>12</w:t>
                  </w:r>
                </w:sdtContent>
              </w:sdt>
              <w:r>
                <w:rPr>
                  <w:b/>
                  <w:color w:val="000000"/>
                  <w:szCs w:val="24"/>
                  <w:lang w:val="lt" w:eastAsia="lt-LT"/>
                </w:rPr>
                <w:t>.</w:t>
              </w:r>
              <w:r>
                <w:rPr>
                  <w:b/>
                  <w:color w:val="000000"/>
                  <w:sz w:val="14"/>
                  <w:szCs w:val="14"/>
                  <w:lang w:val="lt" w:eastAsia="lt-LT"/>
                </w:rPr>
                <w:t>    </w:t>
              </w:r>
              <w:r>
                <w:rPr>
                  <w:b/>
                  <w:color w:val="000000"/>
                  <w:szCs w:val="24"/>
                  <w:lang w:val="lt" w:eastAsia="lt-LT"/>
                </w:rPr>
                <w:t>Jeigu įstatymui įgyvendinti reikia įgyvendinamųjų teisės aktų, – kas ir kada juos turėtų priimti:</w:t>
              </w:r>
            </w:p>
            <w:p w14:paraId="00000032" w14:textId="77777777">
              <w:pPr>
                <w:spacing w:line="278" w:lineRule="auto"/>
                <w:jc w:val="both"/>
                <w:rPr>
                  <w:rFonts w:ascii="Calibri" w:eastAsia="Calibri" w:hAnsi="Calibri" w:cs="Calibri"/>
                  <w:color w:val="000000"/>
                  <w:sz w:val="22"/>
                  <w:szCs w:val="22"/>
                  <w:lang w:val="lt" w:eastAsia="lt-LT"/>
                </w:rPr>
              </w:pPr>
              <w:r>
                <w:rPr>
                  <w:color w:val="000000"/>
                  <w:szCs w:val="24"/>
                  <w:lang w:val="lt" w:eastAsia="lt-LT"/>
                </w:rPr>
                <w:t>Kitų teisės aktų priimti nereikės.</w:t>
              </w:r>
            </w:p>
            <w:p w14:paraId="00000033" w14:textId="77777777">
              <w:pPr>
                <w:spacing w:line="278" w:lineRule="auto"/>
                <w:ind w:firstLine="913"/>
                <w:jc w:val="both"/>
                <w:rPr>
                  <w:rFonts w:ascii="Calibri" w:eastAsia="Calibri" w:hAnsi="Calibri" w:cs="Calibri"/>
                  <w:color w:val="000000"/>
                  <w:sz w:val="22"/>
                  <w:szCs w:val="22"/>
                  <w:lang w:val="lt" w:eastAsia="lt-LT"/>
                </w:rPr>
              </w:pPr>
            </w:p>
          </w:sdtContent>
        </w:sdt>
        <w:sdt>
          <w:sdtPr>
            <w:alias w:val="13 p."/>
            <w:tag w:val="part_e07f6a33b94a472fbc22add37a85eba3"/>
            <w:lock w:val="sdtLocked"/>
            <w:richText/>
          </w:sdtPr>
          <w:sdtContent>
            <w:p w14:paraId="00000034" w14:textId="77777777">
              <w:pPr>
                <w:spacing w:line="278" w:lineRule="auto"/>
                <w:jc w:val="both"/>
                <w:rPr>
                  <w:rFonts w:ascii="Calibri" w:eastAsia="Calibri" w:hAnsi="Calibri" w:cs="Calibri"/>
                  <w:color w:val="000000"/>
                  <w:sz w:val="22"/>
                  <w:szCs w:val="22"/>
                  <w:lang w:val="lt" w:eastAsia="lt-LT"/>
                </w:rPr>
              </w:pPr>
              <w:sdt>
                <w:sdtPr>
                  <w:alias w:val="Numeris"/>
                  <w:tag w:val="nr_e07f6a33b94a472fbc22add37a85eba3"/>
                  <w:lock w:val="sdtLocked"/>
                  <w:richText/>
                </w:sdtPr>
                <w:sdtContent>
                  <w:r>
                    <w:rPr>
                      <w:b/>
                      <w:color w:val="000000"/>
                      <w:szCs w:val="24"/>
                      <w:lang w:val="lt" w:eastAsia="lt-LT"/>
                    </w:rPr>
                    <w:t>13</w:t>
                  </w:r>
                </w:sdtContent>
              </w:sdt>
              <w:r>
                <w:rPr>
                  <w:b/>
                  <w:color w:val="000000"/>
                  <w:szCs w:val="24"/>
                  <w:lang w:val="lt" w:eastAsia="lt-LT"/>
                </w:rPr>
                <w:t>.</w:t>
              </w:r>
              <w:r>
                <w:rPr>
                  <w:b/>
                  <w:color w:val="000000"/>
                  <w:sz w:val="14"/>
                  <w:szCs w:val="14"/>
                  <w:lang w:val="lt" w:eastAsia="lt-LT"/>
                </w:rPr>
                <w:t>    </w:t>
              </w:r>
              <w:r>
                <w:rPr>
                  <w:b/>
                  <w:color w:val="000000"/>
                  <w:szCs w:val="24"/>
                  <w:lang w:val="lt" w:eastAsia="lt-LT"/>
                </w:rPr>
                <w:t>Kiek valstybės, savivaldybių biudžetų ir kitų valstybės įsteigtų fondų lėšų prireiks įstatymui įgyvendinti, ar bus galima sutaupyti (pateikiami prognozuojami rodikliai einamaisiais ir artimiausiais 3 biudžetiniais metais):</w:t>
              </w:r>
            </w:p>
            <w:p w14:paraId="00000035" w14:textId="77777777">
              <w:pPr>
                <w:spacing w:line="278" w:lineRule="auto"/>
                <w:jc w:val="both"/>
                <w:rPr>
                  <w:rFonts w:ascii="Calibri" w:eastAsia="Calibri" w:hAnsi="Calibri" w:cs="Calibri"/>
                  <w:color w:val="000000"/>
                  <w:sz w:val="22"/>
                  <w:szCs w:val="22"/>
                  <w:lang w:val="lt" w:eastAsia="lt-LT"/>
                </w:rPr>
              </w:pPr>
              <w:r>
                <w:rPr>
                  <w:color w:val="000000"/>
                  <w:szCs w:val="24"/>
                  <w:lang w:val="lt" w:eastAsia="lt-LT"/>
                </w:rPr>
                <w:t xml:space="preserve">Valstybės, savivaldybių biudžetų ir kitų valstybės įsteigtų fondų lėšų neprireiks. Įgyvendinant įstatymo nuostatas </w:t>
              </w:r>
              <w:r>
                <w:rPr>
                  <w:szCs w:val="24"/>
                  <w:lang w:val="lt" w:eastAsia="lt-LT"/>
                </w:rPr>
                <w:t>tikėtinas</w:t>
              </w:r>
              <w:r>
                <w:rPr>
                  <w:color w:val="000000"/>
                  <w:szCs w:val="24"/>
                  <w:lang w:val="lt" w:eastAsia="lt-LT"/>
                </w:rPr>
                <w:t xml:space="preserve"> valstybės, savivaldybių biudžetų ir kitų valstybės įsteigtų fondų lėšų sutaupymas.</w:t>
              </w:r>
            </w:p>
            <w:p w14:paraId="00000036" w14:textId="77777777">
              <w:pPr>
                <w:spacing w:line="278" w:lineRule="auto"/>
                <w:ind w:firstLine="913"/>
                <w:jc w:val="both"/>
                <w:rPr>
                  <w:rFonts w:ascii="Calibri" w:eastAsia="Calibri" w:hAnsi="Calibri" w:cs="Calibri"/>
                  <w:color w:val="000000"/>
                  <w:sz w:val="22"/>
                  <w:szCs w:val="22"/>
                  <w:lang w:val="lt" w:eastAsia="lt-LT"/>
                </w:rPr>
              </w:pPr>
            </w:p>
          </w:sdtContent>
        </w:sdt>
        <w:sdt>
          <w:sdtPr>
            <w:alias w:val="14 p."/>
            <w:tag w:val="part_782a2b4e85f943c1a46f07c9e15c6fe6"/>
            <w:lock w:val="sdtLocked"/>
            <w:richText/>
          </w:sdtPr>
          <w:sdtContent>
            <w:p w14:paraId="00000037" w14:textId="77777777">
              <w:pPr>
                <w:spacing w:line="278" w:lineRule="auto"/>
                <w:jc w:val="both"/>
                <w:rPr>
                  <w:rFonts w:ascii="Calibri" w:eastAsia="Calibri" w:hAnsi="Calibri" w:cs="Calibri"/>
                  <w:color w:val="000000"/>
                  <w:sz w:val="22"/>
                  <w:szCs w:val="22"/>
                  <w:lang w:val="lt" w:eastAsia="lt-LT"/>
                </w:rPr>
              </w:pPr>
              <w:sdt>
                <w:sdtPr>
                  <w:alias w:val="Numeris"/>
                  <w:tag w:val="nr_782a2b4e85f943c1a46f07c9e15c6fe6"/>
                  <w:lock w:val="sdtLocked"/>
                  <w:richText/>
                </w:sdtPr>
                <w:sdtContent>
                  <w:r>
                    <w:rPr>
                      <w:b/>
                      <w:color w:val="000000"/>
                      <w:szCs w:val="24"/>
                      <w:lang w:val="lt" w:eastAsia="lt-LT"/>
                    </w:rPr>
                    <w:t>14</w:t>
                  </w:r>
                </w:sdtContent>
              </w:sdt>
              <w:r>
                <w:rPr>
                  <w:b/>
                  <w:color w:val="000000"/>
                  <w:szCs w:val="24"/>
                  <w:lang w:val="lt" w:eastAsia="lt-LT"/>
                </w:rPr>
                <w:t>.</w:t>
              </w:r>
              <w:r>
                <w:rPr>
                  <w:b/>
                  <w:color w:val="000000"/>
                  <w:sz w:val="14"/>
                  <w:szCs w:val="14"/>
                  <w:lang w:val="lt" w:eastAsia="lt-LT"/>
                </w:rPr>
                <w:t>    </w:t>
              </w:r>
              <w:r>
                <w:rPr>
                  <w:b/>
                  <w:color w:val="000000"/>
                  <w:szCs w:val="24"/>
                  <w:lang w:val="lt" w:eastAsia="lt-LT"/>
                </w:rPr>
                <w:t>Įstatymo projekto rengimo metu gauti specialistų vertinimai ir išvados:</w:t>
              </w:r>
            </w:p>
            <w:p w14:paraId="00000038" w14:textId="77777777">
              <w:pPr>
                <w:jc w:val="both"/>
                <w:rPr>
                  <w:rFonts w:ascii="Calibri" w:eastAsia="Calibri" w:hAnsi="Calibri" w:cs="Calibri"/>
                  <w:color w:val="000000"/>
                  <w:sz w:val="22"/>
                  <w:szCs w:val="22"/>
                  <w:lang w:val="lt" w:eastAsia="lt-LT"/>
                </w:rPr>
              </w:pPr>
              <w:r>
                <w:rPr>
                  <w:color w:val="000000"/>
                  <w:szCs w:val="24"/>
                  <w:lang w:val="lt" w:eastAsia="lt-LT"/>
                </w:rPr>
                <w:t>Įstatymo projekto rengimo metu specialistų vertinimo ir išvadų neprašyta.</w:t>
              </w:r>
            </w:p>
            <w:p w14:paraId="00000039" w14:textId="77777777">
              <w:pPr>
                <w:spacing w:line="278" w:lineRule="auto"/>
                <w:ind w:left="1418" w:firstLine="913"/>
                <w:jc w:val="both"/>
                <w:rPr>
                  <w:rFonts w:ascii="Calibri" w:eastAsia="Calibri" w:hAnsi="Calibri" w:cs="Calibri"/>
                  <w:color w:val="000000"/>
                  <w:sz w:val="22"/>
                  <w:szCs w:val="22"/>
                  <w:lang w:val="lt" w:eastAsia="lt-LT"/>
                </w:rPr>
              </w:pPr>
            </w:p>
          </w:sdtContent>
        </w:sdt>
        <w:sdt>
          <w:sdtPr>
            <w:alias w:val="16 p."/>
            <w:tag w:val="part_69efb11c507541e5b14e8f3af6c03311"/>
            <w:lock w:val="sdtLocked"/>
            <w:richText/>
          </w:sdtPr>
          <w:sdtContent>
            <w:p w14:paraId="0000003A" w14:textId="77777777">
              <w:pPr>
                <w:rPr>
                  <w:rFonts w:ascii="Calibri" w:eastAsia="Calibri" w:hAnsi="Calibri" w:cs="Calibri"/>
                  <w:color w:val="000000"/>
                  <w:sz w:val="22"/>
                  <w:szCs w:val="22"/>
                  <w:lang w:val="lt" w:eastAsia="lt-LT"/>
                </w:rPr>
              </w:pPr>
              <w:sdt>
                <w:sdtPr>
                  <w:alias w:val="Numeris"/>
                  <w:tag w:val="nr_69efb11c507541e5b14e8f3af6c03311"/>
                  <w:lock w:val="sdtLocked"/>
                  <w:richText/>
                </w:sdtPr>
                <w:sdtContent>
                  <w:r>
                    <w:rPr>
                      <w:b/>
                      <w:color w:val="000000"/>
                      <w:szCs w:val="24"/>
                      <w:lang w:val="lt" w:eastAsia="lt-LT"/>
                    </w:rPr>
                    <w:t>16</w:t>
                  </w:r>
                </w:sdtContent>
              </w:sdt>
              <w:r>
                <w:rPr>
                  <w:b/>
                  <w:color w:val="000000"/>
                  <w:szCs w:val="24"/>
                  <w:lang w:val="lt" w:eastAsia="lt-LT"/>
                </w:rPr>
                <w:t>.</w:t>
              </w:r>
              <w:r>
                <w:rPr>
                  <w:b/>
                  <w:color w:val="000000"/>
                  <w:sz w:val="14"/>
                  <w:szCs w:val="14"/>
                  <w:lang w:val="lt" w:eastAsia="lt-LT"/>
                </w:rPr>
                <w:t>    </w:t>
              </w:r>
              <w:r>
                <w:rPr>
                  <w:b/>
                  <w:color w:val="000000"/>
                  <w:szCs w:val="24"/>
                  <w:lang w:val="lt" w:eastAsia="lt-LT"/>
                </w:rPr>
                <w:t>Kiti, iniciatorių nuomone, reikalingi pagrindimai ir paaiškinimai:</w:t>
              </w:r>
            </w:p>
          </w:sdtContent>
        </w:sdt>
        <w:sdt>
          <w:sdtPr>
            <w:alias w:val="signatura"/>
            <w:tag w:val="part_81defaffe7f54bd8a87c09c3831a4a0d"/>
            <w:lock w:val="sdtLocked"/>
            <w:richText/>
          </w:sdtPr>
          <w:sdtContent>
            <w:p w14:paraId="0000003B" w14:textId="77777777">
              <w:pPr>
                <w:rPr>
                  <w:rFonts w:ascii="Calibri" w:eastAsia="Calibri" w:hAnsi="Calibri" w:cs="Calibri"/>
                  <w:color w:val="000000"/>
                  <w:sz w:val="22"/>
                  <w:szCs w:val="22"/>
                  <w:lang w:val="lt" w:eastAsia="lt-LT"/>
                </w:rPr>
              </w:pPr>
              <w:r>
                <w:rPr>
                  <w:color w:val="000000"/>
                  <w:szCs w:val="24"/>
                  <w:lang w:val="lt" w:eastAsia="lt-LT"/>
                </w:rPr>
                <w:t>Nėra.</w:t>
              </w:r>
            </w:p>
            <w:p w14:paraId="0000003C" w14:textId="77777777">
              <w:pPr>
                <w:jc w:val="both"/>
                <w:rPr>
                  <w:szCs w:val="24"/>
                  <w:lang w:val="lt" w:eastAsia="lt-LT"/>
                </w:rPr>
              </w:pPr>
            </w:p>
            <w:p w14:paraId="0000003D" w14:textId="77777777">
              <w:pPr>
                <w:jc w:val="both"/>
                <w:rPr>
                  <w:szCs w:val="24"/>
                  <w:lang w:val="lt" w:eastAsia="lt-LT"/>
                </w:rPr>
              </w:pPr>
            </w:p>
            <w:p w14:paraId="0000003E" w14:textId="77777777">
              <w:pPr>
                <w:jc w:val="both"/>
                <w:rPr>
                  <w:szCs w:val="24"/>
                  <w:lang w:val="lt" w:eastAsia="lt-LT"/>
                </w:rPr>
              </w:pPr>
              <w:r>
                <w:rPr>
                  <w:szCs w:val="24"/>
                  <w:lang w:val="lt" w:eastAsia="lt-LT"/>
                </w:rPr>
                <w:t>Teikia</w:t>
              </w:r>
            </w:p>
            <w:p w14:paraId="0000003F" w14:textId="77777777">
              <w:pPr>
                <w:jc w:val="both"/>
                <w:rPr>
                  <w:szCs w:val="24"/>
                  <w:lang w:val="lt" w:eastAsia="lt-LT"/>
                </w:rPr>
              </w:pPr>
            </w:p>
            <w:p w14:paraId="00000040" w14:textId="77777777">
              <w:pPr>
                <w:jc w:val="both"/>
                <w:rPr>
                  <w:szCs w:val="24"/>
                  <w:lang w:val="lt" w:eastAsia="lt-LT"/>
                </w:rPr>
              </w:pPr>
              <w:r>
                <w:rPr>
                  <w:szCs w:val="24"/>
                  <w:lang w:val="lt" w:eastAsia="lt-LT"/>
                </w:rPr>
                <w:t xml:space="preserve">Seimo nariai                                                                          </w:t>
              </w:r>
            </w:p>
          </w:sdtContent>
        </w:sdt>
      </w:sdtContent>
    </w:sdt>
    <w:sectPr>
      <w:pgSz w:w="11906" w:h="16838"/>
      <w:pgMar w:top="1701" w:right="567" w:bottom="1134" w:left="1701" w:header="708" w:footer="708" w:gutter="0"/>
      <w:pgNumType w:start="1"/>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embedRegular r:id="rId1" w:fontKey="{B28C83AD-6AD5-430E-A534-70749E8ECAA4}"/>
  </w:font>
  <w:font w:name="Aptos Display">
    <w:panose1 w:val="00000000000000000000"/>
    <w:charset w:val="00"/>
    <w:family w:val="roman"/>
    <w:notTrueType/>
    <w:pitch w:val="default"/>
  </w:font>
  <w:font w:name="Aptos">
    <w:altName w:val="Times New Roman"/>
    <w:charset w:val="00"/>
    <w:family w:val="auto"/>
    <w:pitch w:val="default"/>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TrueTypeFonts/>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C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9F48E6D-0181-4CAA-BD71-59B68AC1F8C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_rels/fontTable.xml.rels><?xml version="1.0" encoding="UTF-8"?>

<Relationships xmlns="http://schemas.openxmlformats.org/package/2006/relationships">
  <Relationship Id="rId1" Type="http://schemas.openxmlformats.org/officeDocument/2006/relationships/font" Target="fonts/font1.odtt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oiTXptKiyjk0wq5f21jRi+qckCg==">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</go:docsCustomData>
</go:gDocsCustomXmlDataStorage>
</file>

<file path=customXml/item2.xml><?xml version="1.0" encoding="utf-8"?>
<Parts xmlns="http://lrs.lt/TAIS/DocParts">
  <Part Type="pagrindine" DocPartId="5daefef50b064a82aee4b161452b88af" PartId="e873ad83c5df4f36add3584b34f566b4">
    <Part Type="punktas" Nr="1" Abbr="1 p." DocPartId="72c4f48092b749d5ae256f88afe3b7c2" PartId="15be34e6304e4ad79a7d0ba022c00f9e"/>
    <Part Type="punktas" Nr="2" Abbr="2 p." DocPartId="5354d0da4ed349dfb4d69c453af5a7b6" PartId="9e05420bc13a4fcf8377e0098dd56830"/>
    <Part Type="punktas" Nr="3" Abbr="3 p." DocPartId="67be594f58c24c30bf23362969baf72d" PartId="6ede40012dbb4b92810607763cb7afa8"/>
    <Part Type="punktas" Nr="4" Abbr="4 p." DocPartId="6fbf08d079224ded87b64a196d36fb83" PartId="f1983ef6f29f48dbaa8b75087c29c9e0"/>
    <Part Type="punktas" Nr="5" Abbr="5 p." DocPartId="5cb94d8e3cb64f668f753f56c96b337c" PartId="372c466a44884a109c87b19ab1d467fc"/>
    <Part Type="punktas" Nr="6" Abbr="6 p." DocPartId="3be37ffdd8e744a4a62906a5a09a1f2d" PartId="ecfcac8d43624604aa8e68074d98f47f"/>
    <Part Type="punktas" Nr="7" Abbr="7 p." DocPartId="97f835b56fa04325b237860628cca884" PartId="6fb86916034e410ab50a7890e2004ea2"/>
    <Part Type="punktas" Nr="8" Abbr="8 p." DocPartId="19e1a9e8e1804d5e9a1e8af2332680a3" PartId="a23fedeb52854fa2b60195a465e3d55e"/>
    <Part Type="punktas" Nr="9" Abbr="9 p." DocPartId="e57a6ae68385459f8bc2e966a128a234" PartId="1b3177af928d4b7c8bd7d92bc0f1d79b"/>
    <Part Type="punktas" Nr="10" Abbr="10 p." DocPartId="693a8ce9d8c04129a55db8ae11a4ad76" PartId="0cd78d24eb604dc0a459cde8f865cfc8"/>
    <Part Type="punktas" Nr="11" Abbr="11 p." DocPartId="796cc358530e426f976035a551682740" PartId="c6689637002143ae95abc419041662ff"/>
    <Part Type="punktas" Nr="12" Abbr="12 p." DocPartId="1f0b8a4470d34085955d223772ab4e7f" PartId="33dbdfcf6a254bb7baedd30d59494f2b"/>
    <Part Type="punktas" Nr="13" Abbr="13 p." DocPartId="ad41f03c2fe045909ef1ae67a54d4bef" PartId="e07f6a33b94a472fbc22add37a85eba3"/>
    <Part Type="punktas" Nr="14" Abbr="14 p." DocPartId="e17d2b6afb734e9f901cf3f7a42aec16" PartId="782a2b4e85f943c1a46f07c9e15c6fe6"/>
    <Part Type="punktas" Nr="16" Abbr="16 p." Notes="Numeris ne iš eilės. Trūksta dalių? [DocDalys]" DocPartId="46d551c08c5947669b3b20f7e16dd36c" PartId="69efb11c507541e5b14e8f3af6c03311"/>
    <Part Type="signatura" DocPartId="e2217ecf58f34f5397e2a5848709eff1" PartId="81defaffe7f54bd8a87c09c3831a4a0d"/>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134E206-C090-4631-AB2A-79B550B51E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909</Words>
  <Characters>6404</Characters>
  <Application>Microsoft Office Word</Application>
  <DocSecurity>4</DocSecurity>
  <Lines>123</Lines>
  <Paragraphs>46</Paragraphs>
  <ScaleCrop>false</ScaleCrop>
  <Company/>
  <LinksUpToDate>false</LinksUpToDate>
  <CharactersWithSpaces>7267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2025-11-05T09:37:00Z</dcterms:created>
  <dc:creator>Dominykas Vanhara</dc:creator>
  <lastModifiedBy>adlibuser</lastModifiedBy>
  <dcterms:modified xsi:type="dcterms:W3CDTF">2025-11-05T09:37:00Z</dcterms:modified>
  <revision>2</revision>
</coreProperties>
</file>