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fa2bced434c4eef9f54187c3e9dea33"/>
        <w:lock w:val="sdtLocked"/>
        <w:richText/>
      </w:sdtPr>
      <w:sdtContent>
        <w:p w14:paraId="0B63BB9E" w14:textId="77777777">
          <w:pPr>
            <w:tabs>
              <w:tab w:val="center" w:pos="4153"/>
              <w:tab w:val="right" w:pos="8306"/>
            </w:tabs>
            <w:suppressAutoHyphens/>
            <w:spacing w:line="23" w:lineRule="atLeast"/>
            <w:jc w:val="center"/>
            <w:rPr>
              <w:rFonts w:cs="Arial"/>
              <w:b/>
              <w:bCs/>
              <w:caps/>
              <w:szCs w:val="24"/>
            </w:rPr>
          </w:pPr>
          <w:r>
            <w:rPr>
              <w:rFonts w:cs="Arial"/>
              <w:b/>
              <w:bCs/>
              <w:caps/>
              <w:szCs w:val="24"/>
            </w:rPr>
            <w:t>AIŠKINAMASIS RAŠTAS</w:t>
          </w:r>
        </w:p>
        <w:p w14:paraId="786120FF" w14:textId="7D6C9E24">
          <w:pPr>
            <w:tabs>
              <w:tab w:val="center" w:pos="4153"/>
              <w:tab w:val="right" w:pos="8306"/>
            </w:tabs>
            <w:suppressAutoHyphens/>
            <w:spacing w:line="23" w:lineRule="atLeast"/>
            <w:jc w:val="center"/>
            <w:rPr>
              <w:rFonts w:cs="Arial"/>
              <w:b/>
              <w:bCs/>
              <w:caps/>
              <w:szCs w:val="24"/>
            </w:rPr>
          </w:pPr>
          <w:r>
            <w:rPr>
              <w:rFonts w:cs="Arial"/>
              <w:b/>
              <w:bCs/>
              <w:caps/>
              <w:szCs w:val="24"/>
            </w:rPr>
            <w:t>DĖL VILNIAUS RAJONO SAVIVALDYBĖS TARYBOS SPRENDIMO „DĖL PRITARIMO DALYVAUTI PARTNERIO TEISĖMIS PROJEKTE „PAGALBA VAIKAMS SU NEGALIA LIETUVOJE“ PROJEKTO</w:t>
          </w:r>
        </w:p>
        <w:p w14:paraId="4958A443" w14:textId="6597EE3C">
          <w:pPr>
            <w:tabs>
              <w:tab w:val="center" w:pos="4153"/>
              <w:tab w:val="right" w:pos="8306"/>
            </w:tabs>
            <w:suppressAutoHyphens/>
            <w:spacing w:line="23" w:lineRule="atLeast"/>
            <w:ind w:firstLine="62"/>
            <w:jc w:val="center"/>
            <w:rPr>
              <w:rFonts w:cs="Arial"/>
              <w:b/>
              <w:bCs/>
              <w:caps/>
              <w:szCs w:val="24"/>
            </w:rPr>
          </w:pPr>
        </w:p>
        <w:p w14:paraId="60EA84BB" w14:textId="31EAE9E1">
          <w:pPr>
            <w:suppressAutoHyphens/>
            <w:spacing w:line="23" w:lineRule="atLeast"/>
            <w:jc w:val="center"/>
            <w:rPr>
              <w:rFonts w:cs="Arial"/>
              <w:bCs/>
              <w:szCs w:val="24"/>
            </w:rPr>
          </w:pPr>
          <w:r>
            <w:rPr>
              <w:rFonts w:cs="Arial"/>
              <w:bCs/>
              <w:szCs w:val="24"/>
            </w:rPr>
            <w:t xml:space="preserve">2026 m. </w:t>
          </w:r>
          <w:r>
            <w:rPr>
              <w:rFonts w:cs="Arial"/>
              <w:bCs/>
              <w:iCs/>
              <w:szCs w:val="24"/>
            </w:rPr>
            <w:t xml:space="preserve">                  </w:t>
          </w:r>
          <w:r>
            <w:rPr>
              <w:rFonts w:cs="Arial"/>
              <w:bCs/>
              <w:szCs w:val="24"/>
            </w:rPr>
            <w:t>d.</w:t>
          </w:r>
        </w:p>
        <w:p w14:paraId="4C891954" w14:textId="71D7085A">
          <w:pPr>
            <w:suppressAutoHyphens/>
            <w:spacing w:line="23" w:lineRule="atLeast"/>
            <w:ind w:firstLine="62"/>
            <w:jc w:val="center"/>
            <w:rPr>
              <w:bCs/>
              <w:szCs w:val="24"/>
            </w:rPr>
          </w:pPr>
          <w:r>
            <w:rPr>
              <w:bCs/>
              <w:szCs w:val="24"/>
            </w:rPr>
            <w:t>Vilnius</w:t>
          </w:r>
        </w:p>
        <w:p w14:paraId="7BB7F3EF" w14:textId="77777777">
          <w:pPr>
            <w:suppressAutoHyphens/>
            <w:spacing w:line="23" w:lineRule="atLeast"/>
            <w:rPr>
              <w:bCs/>
              <w:szCs w:val="24"/>
            </w:rPr>
          </w:pPr>
        </w:p>
        <w:sdt>
          <w:sdtPr>
            <w:alias w:val="1 p."/>
            <w:tag w:val="part_849c31d8d4a24b24b6b510b35415f5fc"/>
            <w:lock w:val="sdtLocked"/>
            <w:richText/>
          </w:sdtPr>
          <w:sdtContent>
            <w:p w14:paraId="1E586E58" w14:textId="5BF30D3F">
              <w:pPr>
                <w:suppressAutoHyphens/>
                <w:spacing w:line="23" w:lineRule="atLeast"/>
                <w:ind w:firstLine="851"/>
                <w:jc w:val="both"/>
                <w:rPr>
                  <w:bCs/>
                  <w:szCs w:val="24"/>
                </w:rPr>
              </w:pPr>
              <w:sdt>
                <w:sdtPr>
                  <w:alias w:val="Numeris"/>
                  <w:tag w:val="nr_849c31d8d4a24b24b6b510b35415f5fc"/>
                  <w:lock w:val="sdtLocked"/>
                  <w:richText/>
                </w:sdtPr>
                <w:sdtContent>
                  <w:r>
                    <w:rPr>
                      <w:b/>
                      <w:bCs/>
                      <w:szCs w:val="24"/>
                    </w:rPr>
                    <w:t>1</w:t>
                  </w:r>
                </w:sdtContent>
              </w:sdt>
              <w:r>
                <w:rPr>
                  <w:b/>
                  <w:bCs/>
                  <w:szCs w:val="24"/>
                </w:rPr>
                <w:t>. Projekto rengimą paskatinusios priežastys, parengto projekto tikslai ir uždaviniai:</w:t>
              </w:r>
            </w:p>
            <w:p w14:paraId="6C044066" w14:textId="02179121">
              <w:pPr>
                <w:suppressAutoHyphens/>
                <w:spacing w:line="23" w:lineRule="atLeast"/>
                <w:ind w:firstLine="851"/>
                <w:jc w:val="both"/>
                <w:rPr>
                  <w:rFonts w:eastAsia="Aptos"/>
                  <w:kern w:val="2"/>
                  <w:szCs w:val="24"/>
                </w:rPr>
              </w:pPr>
              <w:r>
                <w:rPr>
                  <w:bCs/>
                  <w:szCs w:val="24"/>
                </w:rPr>
                <w:t>Sprendimo projektas inicijuotas pagal 2021–2030 metų plėtros programos valdytojos Lietuvos Respublikos socialinės apsaugos ir darbo ministerijos socialinės sutelkties plėtros programos pažangos priemonę Nr. 09-003-02-02-01 „Plėtoti kompleksinę asmenų su negalia socialinės integracijos sistemą“. Asmens su negalia teisų apsaugos agentūra prie Lietuvos Respublikos socialinės apsaugos ir darbo ministerijos (toliau – ANTA) projekto „Pagalba vaikams su negalia Lietuvoje“ pareiškėja (toliau – Projektas), o savivaldybių administracijos yra pakviestos (Lietuvos Respublikos socialinės apsaugos ir darbo ministerijos 2025 m. birželio 17 d. raštas Nr. SD-2218 (18.1E-34) „Dėl planuojamų veiklų vaikams, turintiems negalią, ir jų šeimoms“) tapti šio Projekto partnerėmis. Projektu siekiama užtikrinti vaikams, turintiems vidutinę ar sunkią negalią, reikalingas paslaugas, jų geresnį prieinamumą pagal šeimos gyvenamąją vietą.</w:t>
              </w:r>
            </w:p>
            <w:p w14:paraId="34234C89" w14:textId="60A16319">
              <w:pPr>
                <w:suppressAutoHyphens/>
                <w:spacing w:line="23" w:lineRule="atLeast"/>
                <w:ind w:firstLine="851"/>
                <w:jc w:val="both"/>
                <w:rPr>
                  <w:bCs/>
                  <w:szCs w:val="24"/>
                </w:rPr>
              </w:pPr>
              <w:r>
                <w:rPr>
                  <w:bCs/>
                  <w:szCs w:val="24"/>
                </w:rPr>
                <w:t>Sprendimo projekto tikslas – pritarti Vilniaus rajono savivaldybės administracijos dalyvavimui projekte „Pagalba vaikams su negalia Lietuvoje“</w:t>
              </w:r>
              <w:r>
                <w:rPr>
                  <w:b/>
                  <w:bCs/>
                  <w:szCs w:val="24"/>
                </w:rPr>
                <w:t> </w:t>
              </w:r>
              <w:r>
                <w:rPr>
                  <w:bCs/>
                  <w:szCs w:val="24"/>
                </w:rPr>
                <w:t xml:space="preserve">(toliau – Projektas) partnerio teisėmis. </w:t>
              </w:r>
            </w:p>
            <w:p w14:paraId="08498A9D" w14:textId="327A6076">
              <w:pPr>
                <w:suppressAutoHyphens/>
                <w:spacing w:line="23" w:lineRule="atLeast"/>
                <w:ind w:firstLine="851"/>
                <w:jc w:val="both"/>
                <w:rPr>
                  <w:szCs w:val="24"/>
                </w:rPr>
              </w:pPr>
              <w:r>
                <w:rPr>
                  <w:szCs w:val="24"/>
                </w:rPr>
                <w:t>Sprendimo projekto uždaviniai – sudaryti sąlygas įgyvendinti Projekto veiklas Vilniaus rajono savivaldybėje bei užtikrinti vaikams, turintiems vidutinę ar sunkią negalią, ir jų šeimoms reikalingų paslaugų prieinamumą, organizavimą ir plėtrą.</w:t>
              </w:r>
            </w:p>
            <w:p w14:paraId="67B57F9B" w14:textId="77777777">
              <w:pPr>
                <w:suppressAutoHyphens/>
                <w:spacing w:line="23" w:lineRule="atLeast"/>
                <w:ind w:firstLine="851"/>
                <w:jc w:val="both"/>
                <w:rPr>
                  <w:bCs/>
                  <w:szCs w:val="24"/>
                </w:rPr>
              </w:pPr>
            </w:p>
          </w:sdtContent>
        </w:sdt>
        <w:sdt>
          <w:sdtPr>
            <w:alias w:val="2 p."/>
            <w:tag w:val="part_5b44f075cce34775948c14ae2b7a0c09"/>
            <w:lock w:val="sdtLocked"/>
            <w:richText/>
          </w:sdtPr>
          <w:sdtContent>
            <w:p w14:paraId="60FE31A5" w14:textId="5FDE216F">
              <w:pPr>
                <w:suppressAutoHyphens/>
                <w:spacing w:line="23" w:lineRule="atLeast"/>
                <w:ind w:firstLine="851"/>
                <w:jc w:val="both"/>
                <w:rPr>
                  <w:b/>
                  <w:bCs/>
                  <w:szCs w:val="24"/>
                </w:rPr>
              </w:pPr>
              <w:sdt>
                <w:sdtPr>
                  <w:alias w:val="Numeris"/>
                  <w:tag w:val="nr_5b44f075cce34775948c14ae2b7a0c09"/>
                  <w:lock w:val="sdtLocked"/>
                  <w:richText/>
                </w:sdtPr>
                <w:sdtContent>
                  <w:r>
                    <w:rPr>
                      <w:b/>
                      <w:bCs/>
                      <w:szCs w:val="24"/>
                    </w:rPr>
                    <w:t>2</w:t>
                  </w:r>
                </w:sdtContent>
              </w:sdt>
              <w:r>
                <w:rPr>
                  <w:b/>
                  <w:bCs/>
                  <w:szCs w:val="24"/>
                </w:rPr>
                <w:t>. Kaip šiuo metu yra reguliuojami projekte aptarti teisiniai santykiai:</w:t>
              </w:r>
            </w:p>
            <w:p w14:paraId="165E8D5C" w14:textId="2E822312">
              <w:pPr>
                <w:suppressAutoHyphens/>
                <w:spacing w:line="23" w:lineRule="atLeast"/>
                <w:ind w:firstLine="851"/>
                <w:jc w:val="both"/>
                <w:rPr>
                  <w:rFonts w:eastAsia="Aptos"/>
                  <w:iCs/>
                  <w:kern w:val="2"/>
                  <w:szCs w:val="24"/>
                  <w:lang w:eastAsia="ar-SA"/>
                </w:rPr>
              </w:pPr>
              <w:r>
                <w:rPr>
                  <w:rFonts w:eastAsia="Aptos"/>
                  <w:iCs/>
                  <w:kern w:val="2"/>
                  <w:szCs w:val="24"/>
                  <w:lang w:eastAsia="ar-SA"/>
                </w:rPr>
                <w:t>Sprendimo projektas parengtas vadovaujantis Lietuvos Respublikos vietos savivaldos įstatymu ir 2021–2030 metų plėtros programos valdytojos Lietuvos Respublikos socialinės apsaugos ir darbo ministerijos socialinės sutelkties plėtros programos pažangos priemonės Nr. 09-003-02-02-01 „Plėtoti kompleksinę asmenų su negalia socialinės integracijos sistemą“ aprašu, patvirtintu Lietuvos Respublikos socialinės apsaugos ir darbo ministro 2022 m. liepos 28 d. įsakymu Nr. A1-502 „Dėl 2021–2030 metų plėtros programos valdytojos Lietuvos Respublikos socialinės apsaugos ir darbo ministerijos socialinės sutelkties plėtros programos pažangos priemonės Nr. 09-003-02-02-01 „Plėtoti kompleksinę asmenų su negalia socialinės integracijos sistemą“ aprašo patvirtinimo“.</w:t>
              </w:r>
            </w:p>
            <w:p w14:paraId="3CF094A0" w14:textId="35894E4B">
              <w:pPr>
                <w:tabs>
                  <w:tab w:val="left" w:pos="851"/>
                </w:tabs>
                <w:suppressAutoHyphens/>
                <w:spacing w:line="23" w:lineRule="atLeast"/>
                <w:ind w:firstLine="558"/>
                <w:jc w:val="both"/>
                <w:rPr>
                  <w:rFonts w:eastAsia="Aptos"/>
                  <w:iCs/>
                  <w:kern w:val="2"/>
                  <w:szCs w:val="24"/>
                  <w:lang w:eastAsia="ar-SA"/>
                </w:rPr>
              </w:pPr>
              <w:r>
                <w:rPr>
                  <w:rFonts w:eastAsia="Aptos"/>
                  <w:iCs/>
                  <w:kern w:val="2"/>
                  <w:szCs w:val="24"/>
                  <w:u w:val="single"/>
                  <w:lang w:eastAsia="ar-SA"/>
                </w:rPr>
                <w:t>Projekto vykdytojas</w:t>
              </w:r>
              <w:r>
                <w:rPr>
                  <w:rFonts w:eastAsia="Aptos"/>
                  <w:iCs/>
                  <w:kern w:val="2"/>
                  <w:szCs w:val="24"/>
                  <w:lang w:eastAsia="ar-SA"/>
                </w:rPr>
                <w:t xml:space="preserve"> </w:t>
              </w:r>
              <w:r>
                <w:rPr>
                  <w:rFonts w:eastAsia="Calibri"/>
                  <w:iCs/>
                  <w:kern w:val="2"/>
                  <w:szCs w:val="24"/>
                  <w:lang w:eastAsia="ar-SA"/>
                </w:rPr>
                <w:t xml:space="preserve">– </w:t>
              </w:r>
              <w:r>
                <w:rPr>
                  <w:rFonts w:eastAsia="Aptos"/>
                  <w:iCs/>
                  <w:kern w:val="2"/>
                  <w:szCs w:val="24"/>
                  <w:lang w:eastAsia="ar-SA"/>
                </w:rPr>
                <w:t>Asmens su negalia teisių apsaugos agentūra prie LR socialinės apsaugos ir darbo ministerijos.</w:t>
              </w:r>
            </w:p>
            <w:p w14:paraId="51DF1C96" w14:textId="4FBBDAFB">
              <w:pPr>
                <w:tabs>
                  <w:tab w:val="left" w:pos="851"/>
                </w:tabs>
                <w:suppressAutoHyphens/>
                <w:spacing w:line="23" w:lineRule="atLeast"/>
                <w:ind w:firstLine="558"/>
                <w:jc w:val="both"/>
                <w:rPr>
                  <w:bCs/>
                  <w:szCs w:val="24"/>
                </w:rPr>
              </w:pPr>
              <w:r>
                <w:rPr>
                  <w:rFonts w:eastAsia="Calibri"/>
                  <w:iCs/>
                  <w:color w:val="000000"/>
                  <w:kern w:val="2"/>
                  <w:szCs w:val="24"/>
                  <w:u w:val="single"/>
                </w:rPr>
                <w:t>Projekto partneris</w:t>
              </w:r>
              <w:r>
                <w:rPr>
                  <w:rFonts w:eastAsia="Calibri"/>
                  <w:b/>
                  <w:bCs/>
                  <w:iCs/>
                  <w:color w:val="000000"/>
                  <w:kern w:val="2"/>
                  <w:szCs w:val="24"/>
                </w:rPr>
                <w:t xml:space="preserve"> </w:t>
              </w:r>
              <w:r>
                <w:rPr>
                  <w:rFonts w:eastAsia="Calibri"/>
                  <w:iCs/>
                  <w:color w:val="000000"/>
                  <w:kern w:val="2"/>
                  <w:szCs w:val="24"/>
                </w:rPr>
                <w:t xml:space="preserve">– Vilniaus rajono savivaldybės administracija, kuri </w:t>
              </w:r>
              <w:r>
                <w:rPr>
                  <w:bCs/>
                  <w:szCs w:val="24"/>
                </w:rPr>
                <w:t>bus atsakinga už šių paslaugų pirkimą ir teikimą:</w:t>
              </w:r>
            </w:p>
          </w:sdtContent>
        </w:sdt>
        <w:sdt>
          <w:sdtPr>
            <w:alias w:val="1 p."/>
            <w:tag w:val="part_7df9fee5cf28403bb31c797417c3a427"/>
            <w:lock w:val="sdtLocked"/>
            <w:richText/>
          </w:sdtPr>
          <w:sdtContent>
            <w:p w14:paraId="161C738D" w14:textId="6E677B71">
              <w:pPr>
                <w:tabs>
                  <w:tab w:val="left" w:pos="851"/>
                </w:tabs>
                <w:suppressAutoHyphens/>
                <w:spacing w:line="23" w:lineRule="atLeast"/>
                <w:ind w:firstLine="558"/>
                <w:jc w:val="both"/>
                <w:rPr>
                  <w:bCs/>
                  <w:szCs w:val="24"/>
                </w:rPr>
              </w:pPr>
              <w:sdt>
                <w:sdtPr>
                  <w:alias w:val="Numeris"/>
                  <w:tag w:val="nr_7df9fee5cf28403bb31c797417c3a427"/>
                  <w:lock w:val="sdtLocked"/>
                  <w:richText/>
                </w:sdtPr>
                <w:sdtContent>
                  <w:r>
                    <w:rPr>
                      <w:bCs/>
                      <w:szCs w:val="24"/>
                    </w:rPr>
                    <w:t>1</w:t>
                  </w:r>
                </w:sdtContent>
              </w:sdt>
              <w:r>
                <w:rPr>
                  <w:bCs/>
                  <w:szCs w:val="24"/>
                </w:rPr>
                <w:t>. bendruomeninės ilgalaikės kompleksinės pagalbos pagal individualius vaiko poreikius (sensomotorinio ugdymo, motorikos ir kūno lavinimo užsiėmimų, logopedo, tiflopedagogo ir surdopedagogo paslaugų, psichologo konsultacijų ir kt., įskaitant pavėžėjimo paslaugas pagal poreikį);</w:t>
              </w:r>
            </w:p>
          </w:sdtContent>
        </w:sdt>
        <w:sdt>
          <w:sdtPr>
            <w:alias w:val="2 p."/>
            <w:tag w:val="part_1f7abae44a9e4399a634c38d98e3e249"/>
            <w:lock w:val="sdtLocked"/>
            <w:richText/>
          </w:sdtPr>
          <w:sdtContent>
            <w:p w14:paraId="40877C66" w14:textId="2200ABEA">
              <w:pPr>
                <w:tabs>
                  <w:tab w:val="left" w:pos="851"/>
                </w:tabs>
                <w:suppressAutoHyphens/>
                <w:spacing w:line="23" w:lineRule="atLeast"/>
                <w:ind w:firstLine="558"/>
                <w:jc w:val="both"/>
                <w:rPr>
                  <w:bCs/>
                  <w:szCs w:val="24"/>
                </w:rPr>
              </w:pPr>
              <w:sdt>
                <w:sdtPr>
                  <w:alias w:val="Numeris"/>
                  <w:tag w:val="nr_1f7abae44a9e4399a634c38d98e3e249"/>
                  <w:lock w:val="sdtLocked"/>
                  <w:richText/>
                </w:sdtPr>
                <w:sdtContent>
                  <w:r>
                    <w:rPr>
                      <w:bCs/>
                      <w:szCs w:val="24"/>
                    </w:rPr>
                    <w:t>2</w:t>
                  </w:r>
                </w:sdtContent>
              </w:sdt>
              <w:r>
                <w:rPr>
                  <w:bCs/>
                  <w:szCs w:val="24"/>
                </w:rPr>
                <w:t>. agresyvaus ir saviagresyvaus elgesio, kylančio dėl vaiko negalios, prevencijos ir valdymo (išskyrus medicinines intervencijas);</w:t>
              </w:r>
            </w:p>
          </w:sdtContent>
        </w:sdt>
        <w:sdt>
          <w:sdtPr>
            <w:alias w:val="3 p."/>
            <w:tag w:val="part_d050b0f30bab4687ab7f2c0ee7d3d12c"/>
            <w:lock w:val="sdtLocked"/>
            <w:richText/>
          </w:sdtPr>
          <w:sdtContent>
            <w:p w14:paraId="43D5CAA7" w14:textId="47A9AB92">
              <w:pPr>
                <w:tabs>
                  <w:tab w:val="left" w:pos="851"/>
                </w:tabs>
                <w:suppressAutoHyphens/>
                <w:spacing w:line="23" w:lineRule="atLeast"/>
                <w:ind w:firstLine="558"/>
                <w:jc w:val="both"/>
                <w:rPr>
                  <w:bCs/>
                  <w:szCs w:val="24"/>
                </w:rPr>
              </w:pPr>
              <w:sdt>
                <w:sdtPr>
                  <w:alias w:val="Numeris"/>
                  <w:tag w:val="nr_d050b0f30bab4687ab7f2c0ee7d3d12c"/>
                  <w:lock w:val="sdtLocked"/>
                  <w:richText/>
                </w:sdtPr>
                <w:sdtContent>
                  <w:r>
                    <w:rPr>
                      <w:bCs/>
                      <w:szCs w:val="24"/>
                    </w:rPr>
                    <w:t>3</w:t>
                  </w:r>
                </w:sdtContent>
              </w:sdt>
              <w:r>
                <w:rPr>
                  <w:bCs/>
                  <w:szCs w:val="24"/>
                </w:rPr>
                <w:t>. individualių konsultacijų paslaugas gaunančių vaikų tėvams (įtėviams) bei globėjams (rūpintojams), siekiantiems savarankiškai atliepti individualius vaiko poreikius dėl negalios;</w:t>
              </w:r>
            </w:p>
          </w:sdtContent>
        </w:sdt>
        <w:sdt>
          <w:sdtPr>
            <w:alias w:val="4 p."/>
            <w:tag w:val="part_06aa984bd48946cda695b9c4e6c15f74"/>
            <w:lock w:val="sdtLocked"/>
            <w:richText/>
          </w:sdtPr>
          <w:sdtContent>
            <w:p w14:paraId="13C08E16" w14:textId="30C647DE">
              <w:pPr>
                <w:tabs>
                  <w:tab w:val="left" w:pos="851"/>
                </w:tabs>
                <w:suppressAutoHyphens/>
                <w:spacing w:line="23" w:lineRule="atLeast"/>
                <w:ind w:firstLine="558"/>
                <w:jc w:val="both"/>
                <w:rPr>
                  <w:bCs/>
                  <w:szCs w:val="24"/>
                </w:rPr>
              </w:pPr>
              <w:sdt>
                <w:sdtPr>
                  <w:alias w:val="Numeris"/>
                  <w:tag w:val="nr_06aa984bd48946cda695b9c4e6c15f74"/>
                  <w:lock w:val="sdtLocked"/>
                  <w:richText/>
                </w:sdtPr>
                <w:sdtContent>
                  <w:r>
                    <w:rPr>
                      <w:bCs/>
                      <w:szCs w:val="24"/>
                    </w:rPr>
                    <w:t>4</w:t>
                  </w:r>
                </w:sdtContent>
              </w:sdt>
              <w:r>
                <w:rPr>
                  <w:bCs/>
                  <w:szCs w:val="24"/>
                </w:rPr>
                <w:t>. pagalbos šeimai, auginančiai vaiką su negalia, koordinavimo (</w:t>
              </w:r>
              <w:r>
                <w:rPr>
                  <w:rFonts w:eastAsia="Aptos"/>
                  <w:kern w:val="2"/>
                  <w:szCs w:val="24"/>
                </w:rPr>
                <w:t>Vilniaus rajono savivaldybei numatyti 1,5 pagalbos šeimai koordinatorių etatai).</w:t>
              </w:r>
            </w:p>
            <w:p w14:paraId="5229E472" w14:textId="77777777">
              <w:pPr>
                <w:suppressAutoHyphens/>
                <w:spacing w:line="23" w:lineRule="atLeast"/>
                <w:ind w:firstLine="851"/>
                <w:jc w:val="both"/>
                <w:rPr>
                  <w:bCs/>
                  <w:szCs w:val="24"/>
                </w:rPr>
              </w:pPr>
              <w:r>
                <w:rPr>
                  <w:bCs/>
                  <w:szCs w:val="24"/>
                </w:rPr>
                <w:t xml:space="preserve">Savivaldybė paslaugas turės pirkti </w:t>
              </w:r>
              <w:r>
                <w:rPr>
                  <w:bCs/>
                  <w:szCs w:val="24"/>
                  <w:u w:val="single"/>
                </w:rPr>
                <w:t>viešųjų pirkimų būdu.</w:t>
              </w:r>
              <w:r>
                <w:rPr>
                  <w:bCs/>
                  <w:szCs w:val="24"/>
                </w:rPr>
                <w:t xml:space="preserve"> </w:t>
              </w:r>
            </w:p>
            <w:p w14:paraId="737FFC95" w14:textId="03C7A41B">
              <w:pPr>
                <w:suppressAutoHyphens/>
                <w:spacing w:line="23" w:lineRule="atLeast"/>
                <w:ind w:firstLine="851"/>
                <w:jc w:val="both"/>
                <w:rPr>
                  <w:bCs/>
                  <w:szCs w:val="24"/>
                </w:rPr>
              </w:pPr>
              <w:r>
                <w:rPr>
                  <w:bCs/>
                  <w:szCs w:val="24"/>
                </w:rPr>
                <w:t>Pagalbos šeimai, auginančiai vaiką su negalia, koordinatoriai gali būti įdarbinami arba gali būti perkamos paslaugos. Pasirinkus įdarbinimą, šeimų koordinatoriai turi būti įdarbinami savivaldybių administracijose, o ne savivaldybėms pavaldžiose įstaigose.</w:t>
              </w:r>
              <w:r>
                <w:rPr>
                  <w:rFonts w:eastAsia="Aptos"/>
                  <w:kern w:val="2"/>
                  <w:szCs w:val="24"/>
                </w:rPr>
                <w:t xml:space="preserve"> </w:t>
              </w:r>
            </w:p>
            <w:p w14:paraId="1009DDB6" w14:textId="795B4218">
              <w:pPr>
                <w:suppressAutoHyphens/>
                <w:spacing w:line="23" w:lineRule="atLeast"/>
                <w:ind w:firstLine="851"/>
                <w:jc w:val="both"/>
                <w:rPr>
                  <w:rFonts w:eastAsia="Aptos"/>
                  <w:kern w:val="2"/>
                  <w:szCs w:val="24"/>
                </w:rPr>
              </w:pPr>
              <w:r>
                <w:rPr>
                  <w:rFonts w:eastAsia="Aptos"/>
                  <w:kern w:val="2"/>
                  <w:szCs w:val="24"/>
                </w:rPr>
                <w:t>Vilniaus rajono savivaldybės siekiamas rodiklis – 60 asmenų, gavusių bendruomenines paslaugas, susijusias su vaiko garantijų sistema.</w:t>
              </w:r>
            </w:p>
            <w:p w14:paraId="33884EE5" w14:textId="40ED25F7">
              <w:pPr>
                <w:suppressAutoHyphens/>
                <w:spacing w:line="23" w:lineRule="atLeast"/>
                <w:ind w:firstLine="851"/>
                <w:jc w:val="both"/>
                <w:rPr>
                  <w:bCs/>
                  <w:szCs w:val="24"/>
                </w:rPr>
              </w:pPr>
              <w:r>
                <w:rPr>
                  <w:bCs/>
                  <w:szCs w:val="24"/>
                </w:rPr>
                <w:t xml:space="preserve">Projektas turės būti įgyvendinamas ne ilgiau nei iki 2029 m. liepos 31 d. </w:t>
              </w:r>
            </w:p>
            <w:p w14:paraId="09804C05" w14:textId="77777777">
              <w:pPr>
                <w:suppressAutoHyphens/>
                <w:spacing w:line="23" w:lineRule="atLeast"/>
                <w:ind w:firstLine="851"/>
                <w:jc w:val="both"/>
                <w:rPr>
                  <w:bCs/>
                  <w:szCs w:val="24"/>
                </w:rPr>
              </w:pPr>
            </w:p>
          </w:sdtContent>
        </w:sdt>
        <w:sdt>
          <w:sdtPr>
            <w:alias w:val="3 p."/>
            <w:tag w:val="part_17ba9ada97e6405f91e63dcac1fac42c"/>
            <w:lock w:val="sdtLocked"/>
            <w:richText/>
          </w:sdtPr>
          <w:sdtContent>
            <w:p w14:paraId="62BFFA1C" w14:textId="77777777">
              <w:pPr>
                <w:suppressAutoHyphens/>
                <w:spacing w:line="23" w:lineRule="atLeast"/>
                <w:ind w:firstLine="851"/>
                <w:jc w:val="both"/>
                <w:rPr>
                  <w:rFonts w:eastAsia="Aptos"/>
                  <w:kern w:val="2"/>
                  <w:szCs w:val="24"/>
                </w:rPr>
              </w:pPr>
              <w:sdt>
                <w:sdtPr>
                  <w:alias w:val="Numeris"/>
                  <w:tag w:val="nr_17ba9ada97e6405f91e63dcac1fac42c"/>
                  <w:lock w:val="sdtLocked"/>
                  <w:richText/>
                </w:sdtPr>
                <w:sdtContent>
                  <w:r>
                    <w:rPr>
                      <w:b/>
                      <w:bCs/>
                      <w:szCs w:val="24"/>
                    </w:rPr>
                    <w:t>3</w:t>
                  </w:r>
                </w:sdtContent>
              </w:sdt>
              <w:r>
                <w:rPr>
                  <w:b/>
                  <w:bCs/>
                  <w:szCs w:val="24"/>
                </w:rPr>
                <w:t xml:space="preserve">. </w:t>
              </w:r>
              <w:r>
                <w:rPr>
                  <w:rFonts w:eastAsia="Aptos"/>
                  <w:b/>
                  <w:bCs/>
                  <w:kern w:val="2"/>
                  <w:szCs w:val="24"/>
                </w:rPr>
                <w:t>Siūlomos naujos teisinio reguliavimo nuostatos ir kokių teigiamų rezultatų laukiama:</w:t>
              </w:r>
              <w:r>
                <w:rPr>
                  <w:rFonts w:eastAsia="Aptos"/>
                  <w:kern w:val="2"/>
                  <w:szCs w:val="24"/>
                </w:rPr>
                <w:t xml:space="preserve"> </w:t>
              </w:r>
            </w:p>
            <w:p w14:paraId="5BF72630" w14:textId="67E301B5">
              <w:pPr>
                <w:suppressAutoHyphens/>
                <w:spacing w:line="23" w:lineRule="atLeast"/>
                <w:ind w:firstLine="851"/>
                <w:jc w:val="both"/>
                <w:rPr>
                  <w:rFonts w:eastAsia="Aptos"/>
                  <w:color w:val="000000"/>
                  <w:kern w:val="2"/>
                  <w:szCs w:val="24"/>
                </w:rPr>
              </w:pPr>
              <w:r>
                <w:rPr>
                  <w:rFonts w:eastAsia="Aptos"/>
                  <w:color w:val="000000"/>
                  <w:kern w:val="2"/>
                  <w:szCs w:val="24"/>
                </w:rPr>
                <w:t>Parengtu Vilniaus rajono savivaldybės sprendimo projektu pritariama, kad Vilniaus rajono savivaldybės administracija partnerio teisėmis dalyvautų projekte „Pagalba vaikams su negalia Lietuvoje“, o Administracija įgaliojama pasirašyti jungtinės veiklos (partnerystės) sutartį ir kitus su Projektu susijusius dokumentus, siekiant užtikrinti tinkamą Projekto įgyvendinimą.</w:t>
              </w:r>
            </w:p>
            <w:p w14:paraId="2A44BB6F" w14:textId="702E47CE">
              <w:pPr>
                <w:suppressAutoHyphens/>
                <w:spacing w:line="23" w:lineRule="atLeast"/>
                <w:ind w:firstLine="851"/>
                <w:jc w:val="both"/>
                <w:rPr>
                  <w:rFonts w:eastAsia="Aptos"/>
                  <w:color w:val="000000"/>
                  <w:kern w:val="2"/>
                  <w:szCs w:val="24"/>
                </w:rPr>
              </w:pPr>
              <w:r>
                <w:rPr>
                  <w:rFonts w:eastAsia="Aptos"/>
                  <w:color w:val="000000"/>
                  <w:kern w:val="2"/>
                  <w:szCs w:val="24"/>
                </w:rPr>
                <w:t>Įgyvendinant projektą bus prisidedama prie rodiklio P-09-003-02-02-01-02 pasiekimo – ne mažiau kaip 60 asmenų, gavusių bendruomenines paslaugas, susijusias su vaiko garantijų sistemos įgyvendinimu.</w:t>
              </w:r>
            </w:p>
            <w:p w14:paraId="338302B2" w14:textId="77777777">
              <w:pPr>
                <w:suppressAutoHyphens/>
                <w:spacing w:line="23" w:lineRule="atLeast"/>
                <w:ind w:firstLine="851"/>
                <w:jc w:val="both"/>
                <w:rPr>
                  <w:b/>
                  <w:bCs/>
                  <w:szCs w:val="24"/>
                </w:rPr>
              </w:pPr>
            </w:p>
          </w:sdtContent>
        </w:sdt>
        <w:sdt>
          <w:sdtPr>
            <w:alias w:val="4 p."/>
            <w:tag w:val="part_78da3704a47746e698f2a1ca0d3f1f7c"/>
            <w:lock w:val="sdtLocked"/>
            <w:richText/>
          </w:sdtPr>
          <w:sdtContent>
            <w:p w14:paraId="47F552C7" w14:textId="77777777">
              <w:pPr>
                <w:suppressAutoHyphens/>
                <w:spacing w:line="23" w:lineRule="atLeast"/>
                <w:ind w:firstLine="851"/>
                <w:jc w:val="both"/>
                <w:rPr>
                  <w:rFonts w:eastAsia="Aptos"/>
                  <w:b/>
                  <w:kern w:val="2"/>
                  <w:szCs w:val="24"/>
                </w:rPr>
              </w:pPr>
              <w:sdt>
                <w:sdtPr>
                  <w:alias w:val="Numeris"/>
                  <w:tag w:val="nr_78da3704a47746e698f2a1ca0d3f1f7c"/>
                  <w:lock w:val="sdtLocked"/>
                  <w:richText/>
                </w:sdtPr>
                <w:sdtContent>
                  <w:r>
                    <w:rPr>
                      <w:b/>
                      <w:bCs/>
                      <w:szCs w:val="24"/>
                    </w:rPr>
                    <w:t>4</w:t>
                  </w:r>
                </w:sdtContent>
              </w:sdt>
              <w:r>
                <w:rPr>
                  <w:b/>
                  <w:bCs/>
                  <w:szCs w:val="24"/>
                </w:rPr>
                <w:t xml:space="preserve">. </w:t>
              </w:r>
              <w:r>
                <w:rPr>
                  <w:rFonts w:eastAsia="Aptos"/>
                  <w:b/>
                  <w:kern w:val="2"/>
                  <w:szCs w:val="24"/>
                </w:rPr>
                <w:t>Galimos neigiamos priimto sprendimo pasekmės ir kokių priemonių reikėtų imtis, kad tokių pasekmių būtų išvengta:</w:t>
              </w:r>
            </w:p>
            <w:p w14:paraId="35948215" w14:textId="18888224">
              <w:pPr>
                <w:suppressAutoHyphens/>
                <w:spacing w:line="23" w:lineRule="atLeast"/>
                <w:ind w:firstLine="851"/>
                <w:jc w:val="both"/>
                <w:rPr>
                  <w:rFonts w:eastAsia="Aptos"/>
                  <w:kern w:val="2"/>
                  <w:szCs w:val="24"/>
                </w:rPr>
              </w:pPr>
              <w:r>
                <w:rPr>
                  <w:rFonts w:eastAsia="Aptos"/>
                  <w:kern w:val="2"/>
                  <w:szCs w:val="24"/>
                </w:rPr>
                <w:t>Neigiamų pasekmių nebus.</w:t>
              </w:r>
            </w:p>
            <w:p w14:paraId="0B1621B7" w14:textId="77777777">
              <w:pPr>
                <w:suppressAutoHyphens/>
                <w:spacing w:line="23" w:lineRule="atLeast"/>
                <w:ind w:firstLine="851"/>
                <w:jc w:val="both"/>
                <w:rPr>
                  <w:rFonts w:eastAsia="Aptos"/>
                  <w:b/>
                  <w:kern w:val="2"/>
                  <w:szCs w:val="24"/>
                </w:rPr>
              </w:pPr>
            </w:p>
          </w:sdtContent>
        </w:sdt>
        <w:sdt>
          <w:sdtPr>
            <w:alias w:val="5 p."/>
            <w:tag w:val="part_13efd4eb77fb4ab1a507d76935494945"/>
            <w:lock w:val="sdtLocked"/>
            <w:richText/>
          </w:sdtPr>
          <w:sdtContent>
            <w:p w14:paraId="534699E4" w14:textId="4A017C2F">
              <w:pPr>
                <w:suppressAutoHyphens/>
                <w:spacing w:line="23" w:lineRule="atLeast"/>
                <w:ind w:firstLine="851"/>
                <w:jc w:val="both"/>
                <w:rPr>
                  <w:b/>
                  <w:bCs/>
                  <w:szCs w:val="24"/>
                </w:rPr>
              </w:pPr>
              <w:sdt>
                <w:sdtPr>
                  <w:alias w:val="Numeris"/>
                  <w:tag w:val="nr_13efd4eb77fb4ab1a507d76935494945"/>
                  <w:lock w:val="sdtLocked"/>
                  <w:richText/>
                </w:sdtPr>
                <w:sdtContent>
                  <w:r>
                    <w:rPr>
                      <w:b/>
                      <w:bCs/>
                      <w:szCs w:val="24"/>
                    </w:rPr>
                    <w:t>5</w:t>
                  </w:r>
                </w:sdtContent>
              </w:sdt>
              <w:r>
                <w:rPr>
                  <w:b/>
                  <w:bCs/>
                  <w:szCs w:val="24"/>
                </w:rPr>
                <w:t>.  Lėšų poreikis ir šaltiniai:</w:t>
              </w:r>
            </w:p>
            <w:p w14:paraId="62092228" w14:textId="1BCDF37C">
              <w:pPr>
                <w:suppressAutoHyphens/>
                <w:spacing w:line="23" w:lineRule="atLeast"/>
                <w:ind w:firstLine="851"/>
                <w:jc w:val="both"/>
                <w:rPr>
                  <w:bCs/>
                  <w:szCs w:val="24"/>
                </w:rPr>
              </w:pPr>
              <w:r>
                <w:rPr>
                  <w:bCs/>
                  <w:szCs w:val="24"/>
                </w:rPr>
                <w:t>Projektas finansuojamas Europos Sąjungos struktūrinių fondų bei bendrojo finansavimo iš Lietuvos Respublikos valstybės biudžeto lėšomis. Didžiausia galima projektų finansuojamoji dalis sudaro 100 proc. visų tinkamų finansuoti projekto išlaidų. Vilniaus rajono savivaldybei planuojama skirti 1 108 328,09 Eur. Projektui taikoma finansavimo forma – dotacija. Vilniaus rajono savivaldybės biudžeto lėšų nereikės.</w:t>
              </w:r>
            </w:p>
            <w:p w14:paraId="155E28B9" w14:textId="77777777">
              <w:pPr>
                <w:suppressAutoHyphens/>
                <w:spacing w:line="23" w:lineRule="atLeast"/>
                <w:ind w:firstLine="851"/>
                <w:jc w:val="both"/>
                <w:rPr>
                  <w:bCs/>
                  <w:szCs w:val="24"/>
                </w:rPr>
              </w:pPr>
            </w:p>
          </w:sdtContent>
        </w:sdt>
        <w:sdt>
          <w:sdtPr>
            <w:alias w:val="6 p."/>
            <w:tag w:val="part_6d1da4699375418896bfd84ec28e3ed8"/>
            <w:lock w:val="sdtLocked"/>
            <w:richText/>
          </w:sdtPr>
          <w:sdtContent>
            <w:p w14:paraId="7553803C" w14:textId="77777777">
              <w:pPr>
                <w:suppressAutoHyphens/>
                <w:spacing w:line="23" w:lineRule="atLeast"/>
                <w:ind w:firstLine="851"/>
                <w:jc w:val="both"/>
                <w:rPr>
                  <w:rFonts w:eastAsia="Aptos"/>
                  <w:b/>
                  <w:bCs/>
                  <w:kern w:val="2"/>
                  <w:szCs w:val="24"/>
                </w:rPr>
              </w:pPr>
              <w:sdt>
                <w:sdtPr>
                  <w:alias w:val="Numeris"/>
                  <w:tag w:val="nr_6d1da4699375418896bfd84ec28e3ed8"/>
                  <w:lock w:val="sdtLocked"/>
                  <w:richText/>
                </w:sdtPr>
                <w:sdtContent>
                  <w:r>
                    <w:rPr>
                      <w:b/>
                      <w:szCs w:val="24"/>
                    </w:rPr>
                    <w:t>6</w:t>
                  </w:r>
                </w:sdtContent>
              </w:sdt>
              <w:r>
                <w:rPr>
                  <w:b/>
                  <w:szCs w:val="24"/>
                </w:rPr>
                <w:t>.</w:t>
              </w:r>
              <w:r>
                <w:rPr>
                  <w:bCs/>
                  <w:szCs w:val="24"/>
                </w:rPr>
                <w:t xml:space="preserve"> </w:t>
              </w:r>
              <w:r>
                <w:rPr>
                  <w:rFonts w:eastAsia="Aptos"/>
                  <w:b/>
                  <w:bCs/>
                  <w:kern w:val="2"/>
                  <w:szCs w:val="24"/>
                </w:rPr>
                <w:t>Projekto rengimo metu gauti specialistų vertinimai ir išvados:</w:t>
              </w:r>
            </w:p>
            <w:p w14:paraId="3B8FF38D" w14:textId="2B19ED3F">
              <w:pPr>
                <w:suppressAutoHyphens/>
                <w:spacing w:line="23" w:lineRule="atLeast"/>
                <w:ind w:firstLine="851"/>
                <w:jc w:val="both"/>
                <w:rPr>
                  <w:rFonts w:eastAsia="Aptos"/>
                  <w:kern w:val="2"/>
                  <w:szCs w:val="24"/>
                </w:rPr>
              </w:pPr>
              <w:r>
                <w:rPr>
                  <w:rFonts w:eastAsia="Aptos"/>
                  <w:kern w:val="2"/>
                  <w:szCs w:val="24"/>
                </w:rPr>
                <w:t>Specialistų išvadų bei vertinimų negauta. Sprendimo projektas neturi įtakos korupcijai Savivaldybėje pasireikšti.</w:t>
              </w:r>
            </w:p>
            <w:p w14:paraId="0E3B97A3" w14:textId="77777777">
              <w:pPr>
                <w:suppressAutoHyphens/>
                <w:spacing w:line="23" w:lineRule="atLeast"/>
                <w:ind w:firstLine="851"/>
                <w:jc w:val="both"/>
                <w:rPr>
                  <w:bCs/>
                  <w:szCs w:val="24"/>
                </w:rPr>
              </w:pPr>
            </w:p>
          </w:sdtContent>
        </w:sdt>
        <w:sdt>
          <w:sdtPr>
            <w:alias w:val="7 p."/>
            <w:tag w:val="part_f9a38903ec7e402c82c10f2aecc0aec1"/>
            <w:lock w:val="sdtLocked"/>
            <w:richText/>
          </w:sdtPr>
          <w:sdtContent>
            <w:p w14:paraId="18D6030F" w14:textId="77777777">
              <w:pPr>
                <w:suppressAutoHyphens/>
                <w:spacing w:line="23" w:lineRule="atLeast"/>
                <w:ind w:firstLine="851"/>
                <w:jc w:val="both"/>
                <w:rPr>
                  <w:bCs/>
                  <w:szCs w:val="24"/>
                </w:rPr>
              </w:pPr>
              <w:sdt>
                <w:sdtPr>
                  <w:alias w:val="Numeris"/>
                  <w:tag w:val="nr_f9a38903ec7e402c82c10f2aecc0aec1"/>
                  <w:lock w:val="sdtLocked"/>
                  <w:richText/>
                </w:sdtPr>
                <w:sdtContent>
                  <w:r>
                    <w:rPr>
                      <w:rFonts w:eastAsia="Aptos"/>
                      <w:b/>
                      <w:kern w:val="2"/>
                      <w:szCs w:val="24"/>
                      <w:lang w:eastAsia="lt-LT"/>
                    </w:rPr>
                    <w:t>7</w:t>
                  </w:r>
                </w:sdtContent>
              </w:sdt>
              <w:r>
                <w:rPr>
                  <w:rFonts w:eastAsia="Aptos"/>
                  <w:b/>
                  <w:kern w:val="2"/>
                  <w:szCs w:val="24"/>
                  <w:lang w:eastAsia="lt-LT"/>
                </w:rPr>
                <w:t>. Kiti pagrindimai, skaičiavimai ar paaiškinimai:</w:t>
              </w:r>
              <w:r>
                <w:rPr>
                  <w:rFonts w:eastAsia="Aptos"/>
                  <w:kern w:val="2"/>
                  <w:szCs w:val="24"/>
                </w:rPr>
                <w:t xml:space="preserve"> </w:t>
              </w:r>
              <w:r>
                <w:rPr>
                  <w:bCs/>
                  <w:szCs w:val="24"/>
                </w:rPr>
                <w:t xml:space="preserve"> </w:t>
              </w:r>
            </w:p>
            <w:p w14:paraId="35864B87" w14:textId="77777777">
              <w:pPr>
                <w:suppressAutoHyphens/>
                <w:spacing w:line="23" w:lineRule="atLeast"/>
                <w:ind w:firstLine="851"/>
                <w:jc w:val="both"/>
                <w:rPr>
                  <w:rFonts w:eastAsia="Aptos"/>
                  <w:bCs/>
                  <w:kern w:val="2"/>
                  <w:szCs w:val="24"/>
                  <w:lang w:eastAsia="lt-LT"/>
                </w:rPr>
              </w:pPr>
              <w:r>
                <w:rPr>
                  <w:rFonts w:eastAsia="Aptos"/>
                  <w:bCs/>
                  <w:kern w:val="2"/>
                  <w:szCs w:val="24"/>
                  <w:lang w:eastAsia="lt-LT"/>
                </w:rPr>
                <w:t>Sprendimo projektas neprieštarauja galiojantiems teisės aktams.</w:t>
              </w:r>
            </w:p>
            <w:p w14:paraId="53B905CD" w14:textId="77777777">
              <w:pPr>
                <w:suppressAutoHyphens/>
                <w:spacing w:line="23" w:lineRule="atLeast"/>
                <w:ind w:firstLine="851"/>
                <w:jc w:val="both"/>
                <w:rPr>
                  <w:bCs/>
                  <w:szCs w:val="24"/>
                </w:rPr>
              </w:pPr>
            </w:p>
          </w:sdtContent>
        </w:sdt>
        <w:sdt>
          <w:sdtPr>
            <w:alias w:val="8 p."/>
            <w:tag w:val="part_a2847117f2304d69bb920b98e5ae3255"/>
            <w:lock w:val="sdtLocked"/>
            <w:richText/>
          </w:sdtPr>
          <w:sdtContent>
            <w:p w14:paraId="7A6FAB44" w14:textId="77777777">
              <w:pPr>
                <w:suppressAutoHyphens/>
                <w:spacing w:line="23" w:lineRule="atLeast"/>
                <w:ind w:firstLine="851"/>
                <w:jc w:val="both"/>
                <w:rPr>
                  <w:bCs/>
                  <w:szCs w:val="24"/>
                </w:rPr>
              </w:pPr>
              <w:sdt>
                <w:sdtPr>
                  <w:alias w:val="Numeris"/>
                  <w:tag w:val="nr_a2847117f2304d69bb920b98e5ae3255"/>
                  <w:lock w:val="sdtLocked"/>
                  <w:richText/>
                </w:sdtPr>
                <w:sdtContent>
                  <w:r>
                    <w:rPr>
                      <w:rFonts w:eastAsia="Aptos"/>
                      <w:b/>
                      <w:kern w:val="2"/>
                      <w:szCs w:val="24"/>
                      <w:lang w:eastAsia="lt-LT"/>
                    </w:rPr>
                    <w:t>8</w:t>
                  </w:r>
                </w:sdtContent>
              </w:sdt>
              <w:r>
                <w:rPr>
                  <w:rFonts w:eastAsia="Aptos"/>
                  <w:b/>
                  <w:kern w:val="2"/>
                  <w:szCs w:val="24"/>
                  <w:lang w:eastAsia="lt-LT"/>
                </w:rPr>
                <w:t>.</w:t>
              </w:r>
              <w:r>
                <w:rPr>
                  <w:rFonts w:eastAsia="Aptos"/>
                  <w:bCs/>
                  <w:kern w:val="2"/>
                  <w:szCs w:val="24"/>
                  <w:lang w:eastAsia="lt-LT"/>
                </w:rPr>
                <w:t xml:space="preserve"> </w:t>
              </w:r>
              <w:r>
                <w:rPr>
                  <w:rFonts w:eastAsia="Aptos"/>
                  <w:b/>
                  <w:kern w:val="2"/>
                  <w:szCs w:val="24"/>
                  <w:lang w:eastAsia="lt-LT"/>
                </w:rPr>
                <w:t>Projektą siūloma svarstyti komitete (-uose):</w:t>
              </w:r>
            </w:p>
            <w:p w14:paraId="438DDCEA" w14:textId="5B197378">
              <w:pPr>
                <w:suppressAutoHyphens/>
                <w:spacing w:line="23" w:lineRule="atLeast"/>
                <w:ind w:firstLine="851"/>
                <w:jc w:val="both"/>
                <w:rPr>
                  <w:bCs/>
                  <w:szCs w:val="24"/>
                </w:rPr>
              </w:pPr>
              <w:r>
                <w:rPr>
                  <w:rFonts w:eastAsia="Aptos"/>
                  <w:kern w:val="2"/>
                  <w:szCs w:val="24"/>
                  <w:lang w:eastAsia="lt-LT"/>
                </w:rPr>
                <w:t>Sveikatos, šeimos ir socialinių reikalų (pagrindinis).</w:t>
              </w:r>
            </w:p>
            <w:p w14:paraId="6D4C279B" w14:textId="1ACE16FF">
              <w:pPr>
                <w:tabs>
                  <w:tab w:val="left" w:pos="4712"/>
                </w:tabs>
                <w:suppressAutoHyphens/>
                <w:spacing w:line="23" w:lineRule="atLeast"/>
                <w:ind w:firstLine="620"/>
                <w:jc w:val="both"/>
                <w:rPr>
                  <w:rFonts w:eastAsia="Aptos"/>
                  <w:color w:val="1F497D"/>
                  <w:kern w:val="2"/>
                  <w:szCs w:val="24"/>
                </w:rPr>
              </w:pPr>
            </w:p>
            <w:p w14:paraId="08C5F490" w14:textId="77777777">
              <w:pPr>
                <w:tabs>
                  <w:tab w:val="left" w:pos="7125"/>
                </w:tabs>
                <w:suppressAutoHyphens/>
                <w:spacing w:line="276" w:lineRule="auto"/>
                <w:jc w:val="both"/>
                <w:rPr>
                  <w:szCs w:val="24"/>
                  <w:lang w:eastAsia="lt-LT"/>
                </w:rPr>
              </w:pPr>
            </w:p>
            <w:p w14:paraId="5DFADBF3" w14:textId="77777777">
              <w:pPr>
                <w:tabs>
                  <w:tab w:val="left" w:pos="7125"/>
                </w:tabs>
                <w:suppressAutoHyphens/>
                <w:spacing w:line="276" w:lineRule="auto"/>
                <w:jc w:val="both"/>
                <w:rPr>
                  <w:szCs w:val="24"/>
                  <w:lang w:eastAsia="lt-LT"/>
                </w:rPr>
              </w:pPr>
            </w:p>
          </w:sdtContent>
        </w:sdt>
        <w:sdt>
          <w:sdtPr>
            <w:alias w:val="signatura"/>
            <w:tag w:val="part_8b7f7f20cf154b0a8b711682b4d8e967"/>
            <w:lock w:val="sdtLocked"/>
            <w:richText/>
          </w:sdtPr>
          <w:sdtContent>
            <w:p w14:paraId="28542E2E" w14:textId="4BC8F725">
              <w:pPr>
                <w:tabs>
                  <w:tab w:val="left" w:pos="7125"/>
                </w:tabs>
                <w:suppressAutoHyphens/>
                <w:spacing w:line="276" w:lineRule="auto"/>
                <w:jc w:val="both"/>
                <w:rPr>
                  <w:szCs w:val="24"/>
                  <w:lang w:eastAsia="lt-LT"/>
                </w:rPr>
              </w:pPr>
              <w:r>
                <w:rPr>
                  <w:szCs w:val="24"/>
                  <w:lang w:eastAsia="lt-LT"/>
                </w:rPr>
                <w:t>Socialinės gerovės skyriaus vedėja</w:t>
                <w:tab/>
                <w:t>Kristina Malinovska</w:t>
              </w:r>
            </w:p>
            <w:p w14:paraId="0F2FFFEC" w14:textId="77777777">
              <w:pPr>
                <w:tabs>
                  <w:tab w:val="left" w:pos="7125"/>
                </w:tabs>
                <w:suppressAutoHyphens/>
                <w:spacing w:line="276" w:lineRule="auto"/>
                <w:jc w:val="both"/>
                <w:rPr>
                  <w:szCs w:val="24"/>
                  <w:lang w:eastAsia="lt-LT"/>
                </w:rPr>
              </w:pPr>
            </w:p>
            <w:p w14:paraId="4E93E937" w14:textId="1B482EA2">
              <w:pPr>
                <w:tabs>
                  <w:tab w:val="left" w:pos="7125"/>
                </w:tabs>
                <w:suppressAutoHyphens/>
                <w:spacing w:line="276" w:lineRule="auto"/>
                <w:jc w:val="both"/>
                <w:rPr>
                  <w:b/>
                  <w:bCs/>
                  <w:szCs w:val="24"/>
                  <w:lang w:eastAsia="lt-LT"/>
                </w:rPr>
              </w:pPr>
              <w:r>
                <w:rPr>
                  <w:szCs w:val="24"/>
                  <w:lang w:eastAsia="lt-LT"/>
                </w:rPr>
                <w:t>Socialinės gerovės skyriaus vyr. specialistė</w:t>
                <w:tab/>
                <w:t xml:space="preserve">        Diana Viduto</w:t>
              </w:r>
            </w:p>
            <w:p w14:paraId="6A42A9AD" w14:textId="77777777">
              <w:pPr>
                <w:tabs>
                  <w:tab w:val="left" w:pos="7125"/>
                </w:tabs>
                <w:suppressAutoHyphens/>
                <w:spacing w:line="276" w:lineRule="auto"/>
                <w:jc w:val="both"/>
                <w:rPr>
                  <w:szCs w:val="24"/>
                  <w:lang w:eastAsia="lt-LT"/>
                </w:rPr>
              </w:pP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65ADEA" w14:textId="77777777">
      <w:pPr>
        <w:suppressAutoHyphens/>
        <w:rPr>
          <w:rFonts w:ascii="Aptos" w:eastAsia="Aptos" w:hAnsi="Aptos" w:cs="Aptos"/>
          <w:kern w:val="2"/>
          <w:szCs w:val="24"/>
        </w:rPr>
      </w:pPr>
      <w:r>
        <w:rPr>
          <w:rFonts w:ascii="Aptos" w:eastAsia="Aptos" w:hAnsi="Aptos" w:cs="Aptos"/>
          <w:kern w:val="2"/>
          <w:szCs w:val="24"/>
        </w:rPr>
        <w:separator/>
      </w:r>
    </w:p>
  </w:endnote>
  <w:endnote w:type="continuationSeparator" w:id="0">
    <w:p w14:paraId="26EF67BF" w14:textId="77777777">
      <w:pPr>
        <w:suppressAutoHyphens/>
        <w:rPr>
          <w:rFonts w:ascii="Aptos" w:eastAsia="Aptos" w:hAnsi="Aptos" w:cs="Aptos"/>
          <w:kern w:val="2"/>
          <w:szCs w:val="24"/>
        </w:rPr>
      </w:pPr>
      <w:r>
        <w:rPr>
          <w:rFonts w:ascii="Aptos" w:eastAsia="Aptos" w:hAnsi="Aptos" w:cs="Aptos"/>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07D2FE" w14:textId="77777777">
      <w:pPr>
        <w:suppressAutoHyphens/>
        <w:rPr>
          <w:rFonts w:ascii="Aptos" w:eastAsia="Aptos" w:hAnsi="Aptos" w:cs="Aptos"/>
          <w:kern w:val="2"/>
          <w:szCs w:val="24"/>
        </w:rPr>
      </w:pPr>
      <w:r>
        <w:rPr>
          <w:rFonts w:ascii="Aptos" w:eastAsia="Aptos" w:hAnsi="Aptos" w:cs="Aptos"/>
          <w:kern w:val="2"/>
          <w:szCs w:val="24"/>
        </w:rPr>
        <w:separator/>
      </w:r>
    </w:p>
  </w:footnote>
  <w:footnote w:type="continuationSeparator" w:id="0">
    <w:p w14:paraId="4556E1B8" w14:textId="77777777">
      <w:pPr>
        <w:suppressAutoHyphens/>
        <w:rPr>
          <w:rFonts w:ascii="Aptos" w:eastAsia="Aptos" w:hAnsi="Aptos" w:cs="Aptos"/>
          <w:kern w:val="2"/>
          <w:szCs w:val="24"/>
        </w:rPr>
      </w:pPr>
      <w:r>
        <w:rPr>
          <w:rFonts w:ascii="Aptos" w:eastAsia="Aptos" w:hAnsi="Aptos" w:cs="Aptos"/>
          <w:kern w:val="2"/>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1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C5616"/>
  <w15:chartTrackingRefBased/>
  <w15:docId w15:val="{E5759250-48BF-448B-B4BB-2A9BE83A028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0e21c1d61c343b39eed5867fb91e1eb" PartId="bfa2bced434c4eef9f54187c3e9dea33">
    <Part Type="punktas" Nr="1" Abbr="1 p." DocPartId="753944ba6d964cea9a649d73d207a46c" PartId="849c31d8d4a24b24b6b510b35415f5fc"/>
    <Part Type="punktas" Nr="2" Abbr="2 p." DocPartId="d6392d6a170442a4b55e15b478750651" PartId="5b44f075cce34775948c14ae2b7a0c09"/>
    <Part Type="punktas" Nr="1" Abbr="1 p." Notes="Numeris ne iš eilės. Trūksta dalių? [DocDalys]" DocPartId="fa61c2e6ba9a4bbfbe6558cd138f9f93" PartId="7df9fee5cf28403bb31c797417c3a427"/>
    <Part Type="punktas" Nr="2" Abbr="2 p." DocPartId="bc0446a59b1f4e038097363698a414ec" PartId="1f7abae44a9e4399a634c38d98e3e249"/>
    <Part Type="punktas" Nr="3" Abbr="3 p." DocPartId="a4ba67e589ba4ba5b3bd29035195bcec" PartId="d050b0f30bab4687ab7f2c0ee7d3d12c"/>
    <Part Type="punktas" Nr="4" Abbr="4 p." DocPartId="62df0277861748e9ac3475e8466dd9e1" PartId="06aa984bd48946cda695b9c4e6c15f74"/>
    <Part Type="punktas" Nr="3" Abbr="3 p." Notes="Numeris ne iš eilės. Trūksta dalių? [DocDalys]" DocPartId="64cd00404e384f199d6aed9f0274a4c8" PartId="17ba9ada97e6405f91e63dcac1fac42c"/>
    <Part Type="punktas" Nr="4" Abbr="4 p." DocPartId="f6bb0163302d4e8e98b81e82b373f87f" PartId="78da3704a47746e698f2a1ca0d3f1f7c"/>
    <Part Type="punktas" Nr="5" Abbr="5 p." DocPartId="5694cbde69db490e84c7b3d35c6451ef" PartId="13efd4eb77fb4ab1a507d76935494945"/>
    <Part Type="punktas" Nr="6" Abbr="6 p." DocPartId="b6546f4c354049fd85b603d122ee7cb7" PartId="6d1da4699375418896bfd84ec28e3ed8"/>
    <Part Type="punktas" Nr="7" Abbr="7 p." DocPartId="daef0a715c5247ceaba649131cfdf922" PartId="f9a38903ec7e402c82c10f2aecc0aec1"/>
    <Part Type="punktas" Nr="8" Abbr="8 p." DocPartId="c5dce8ec87c147c980dee4dd385071f7" PartId="a2847117f2304d69bb920b98e5ae3255"/>
    <Part Type="signatura" DocPartId="84926f41a5c747af82846d242cf501a7" PartId="8b7f7f20cf154b0a8b711682b4d8e967"/>
  </Part>
</Parts>
</file>

<file path=customXml/itemProps1.xml><?xml version="1.0" encoding="utf-8"?>
<ds:datastoreItem xmlns:ds="http://schemas.openxmlformats.org/officeDocument/2006/customXml" ds:itemID="{DB82AE68-9FBA-4750-BE0E-40E79810FB78}">
  <ds:schemaRefs>
    <ds:schemaRef ds:uri="http://schemas.openxmlformats.org/officeDocument/2006/bibliography"/>
  </ds:schemaRefs>
</ds:datastoreItem>
</file>

<file path=customXml/itemProps2.xml><?xml version="1.0" encoding="utf-8"?>
<ds:datastoreItem xmlns:ds="http://schemas.openxmlformats.org/officeDocument/2006/customXml" ds:itemID="{0EF23741-3CB4-4A1F-B998-D4976D4F10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673</Words>
  <Characters>5073</Characters>
  <Application>Microsoft Office Word</Application>
  <DocSecurity>4</DocSecurity>
  <Lines>93</Lines>
  <Paragraphs>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5707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2026-05-14T08:03:00Z</dcterms:created>
  <dc:creator>Justinas Usonis</dc:creator>
  <lastModifiedBy>adlibuser</lastModifiedBy>
  <lastPrinted>2026-05-12T06:40:00Z</lastPrinted>
  <dcterms:modified xsi:type="dcterms:W3CDTF">2026-05-14T08:03:00Z</dcterms:modified>
  <revision>2</revision>
</coreProperties>
</file>