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92f8213ec4624d6284b0ebd72da5c8e6"/>
        <w:lock w:val="sdtLocked"/>
        <w:richText/>
      </w:sdtPr>
      <w:sdtContent>
        <w:tbl>
          <w:tblPr>
            <w:tblW w:w="10644"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1704"/>
            <w:gridCol w:w="283"/>
            <w:gridCol w:w="1707"/>
            <w:gridCol w:w="2133"/>
          </w:tblGrid>
          <w:tr>
            <w:tc>
              <w:tcPr>
                <w:tcW w:w="10644"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102C70BE" wp14:editId="13EDDA8E">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10644"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bCs/>
                    <w:szCs w:val="24"/>
                    <w:lang w:bidi="en-US"/>
                  </w:rPr>
                </w:pPr>
                <w:r>
                  <w:rPr>
                    <w:rFonts w:eastAsia="Andale Sans UI" w:cs="Tahoma"/>
                    <w:bCs/>
                    <w:szCs w:val="24"/>
                    <w:lang w:bidi="en-US"/>
                  </w:rPr>
                  <w:t xml:space="preserve">Pagal adresatų sąrašą </w:t>
                </w:r>
              </w:p>
              <w:p>
                <w:pPr>
                  <w:widowControl w:val="0"/>
                  <w:suppressLineNumbers/>
                  <w:suppressAutoHyphens/>
                  <w:rPr>
                    <w:rFonts w:eastAsia="Andale Sans UI" w:cs="Tahoma"/>
                    <w:spacing w:val="10"/>
                    <w:szCs w:val="24"/>
                    <w:lang w:bidi="en-US"/>
                  </w:rPr>
                </w:pPr>
              </w:p>
              <w:p>
                <w:pPr>
                  <w:widowControl w:val="0"/>
                  <w:suppressLineNumbers/>
                  <w:suppressAutoHyphens/>
                  <w:rPr>
                    <w:rFonts w:eastAsia="Andale Sans UI" w:cs="Tahoma"/>
                    <w:spacing w:val="10"/>
                    <w:szCs w:val="24"/>
                    <w:lang w:bidi="en-US"/>
                  </w:rPr>
                </w:pPr>
              </w:p>
            </w:tc>
            <w:tc>
              <w:tcPr>
                <w:tcW w:w="1704" w:type="dxa"/>
                <w:tcMar>
                  <w:top w:w="0" w:type="dxa"/>
                  <w:left w:w="0" w:type="dxa"/>
                  <w:bottom w:w="0" w:type="dxa"/>
                  <w:right w:w="0" w:type="dxa"/>
                </w:tcMar>
              </w:tcPr>
              <w:p>
                <w:pPr>
                  <w:widowControl w:val="0"/>
                  <w:suppressAutoHyphens/>
                  <w:ind w:right="67"/>
                  <w:jc w:val="center"/>
                  <w:rPr>
                    <w:rFonts w:eastAsia="Andale Sans UI" w:cs="Tahoma"/>
                    <w:spacing w:val="10"/>
                    <w:szCs w:val="24"/>
                    <w:lang w:bidi="en-US"/>
                  </w:rPr>
                </w:pPr>
                <w:r>
                  <w:rPr>
                    <w:rFonts w:eastAsia="Andale Sans UI" w:cs="Tahoma"/>
                    <w:spacing w:val="10"/>
                    <w:szCs w:val="24"/>
                    <w:lang w:bidi="en-US"/>
                  </w:rPr>
                  <w:t>2021-07-</w:t>
                </w:r>
              </w:p>
            </w:tc>
            <w:tc>
              <w:tcPr>
                <w:tcW w:w="283"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1707"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 xml:space="preserve">Nr.  </w:t>
                </w:r>
              </w:p>
            </w:tc>
            <w:tc>
              <w:tcPr>
                <w:tcW w:w="2133" w:type="dxa"/>
              </w:tcPr>
              <w:p>
                <w:pPr>
                  <w:widowControl w:val="0"/>
                  <w:suppressLineNumbers/>
                  <w:suppressAutoHyphens/>
                  <w:ind w:right="67"/>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1704" w:type="dxa"/>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c>
              <w:tcPr>
                <w:tcW w:w="283"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1707" w:type="dxa"/>
              </w:tcPr>
              <w:p>
                <w:pPr>
                  <w:widowControl w:val="0"/>
                  <w:tabs>
                    <w:tab w:val="left" w:pos="2869"/>
                  </w:tabs>
                  <w:suppressAutoHyphens/>
                  <w:ind w:right="67"/>
                  <w:rPr>
                    <w:rFonts w:eastAsia="Andale Sans UI" w:cs="Tahoma"/>
                    <w:spacing w:val="10"/>
                    <w:szCs w:val="24"/>
                    <w:lang w:bidi="en-US"/>
                  </w:rPr>
                </w:pPr>
              </w:p>
            </w:tc>
            <w:tc>
              <w:tcPr>
                <w:tcW w:w="2133" w:type="dxa"/>
              </w:tcPr>
              <w:p>
                <w:pPr>
                  <w:widowControl w:val="0"/>
                  <w:suppressLineNumbers/>
                  <w:suppressAutoHyphens/>
                  <w:ind w:right="67"/>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5827"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bl>
        <w:sdt>
          <w:sdtPr>
            <w:alias w:val="skirsnis"/>
            <w:tag w:val="part_5878f9d0cfc640329b450ba6511bf40e"/>
            <w:lock w:val="sdtLocked"/>
            <w:richText/>
          </w:sdtPr>
          <w:sdtContent>
            <w:p>
              <w:pPr>
                <w:widowControl w:val="0"/>
                <w:suppressAutoHyphens/>
                <w:jc w:val="both"/>
                <w:rPr>
                  <w:rFonts w:eastAsia="Andale Sans UI" w:cs="Tahoma"/>
                  <w:b/>
                  <w:szCs w:val="24"/>
                  <w:lang w:bidi="en-US"/>
                </w:rPr>
              </w:pPr>
              <w:sdt>
                <w:sdtPr>
                  <w:alias w:val="Pavadinimas"/>
                  <w:tag w:val="title_5878f9d0cfc640329b450ba6511bf40e"/>
                  <w:lock w:val="sdtLocked"/>
                  <w:richText/>
                </w:sdtPr>
                <w:sdtContent>
                  <w:r>
                    <w:rPr>
                      <w:rFonts w:eastAsia="Andale Sans UI" w:cs="Tahoma"/>
                      <w:b/>
                      <w:szCs w:val="24"/>
                      <w:lang w:bidi="en-US"/>
                    </w:rPr>
                    <w:t>DĖL ATLIEKŲ DEGINIMO ĮRENGINIUOSE IR BENDRO ATLIEKŲ DEGINIMO ĮRENGINIUOSE SUSIDARIUSIŲ NEPAVOJINGŲJŲ PELENŲ IR ŠLAKO TVARKYMO REIKALAVIMŲ</w:t>
                  </w:r>
                </w:sdtContent>
              </w:sdt>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bCs/>
                  <w:iCs/>
                  <w:szCs w:val="24"/>
                  <w:lang w:bidi="en-US"/>
                </w:rPr>
              </w:pPr>
              <w:r>
                <w:rPr>
                  <w:rFonts w:eastAsia="Andale Sans UI" w:cs="Tahoma"/>
                  <w:szCs w:val="24"/>
                  <w:lang w:bidi="en-US"/>
                </w:rPr>
                <w:t>Įvertinę suinteresuotų institucijų ir asmenų pateiktas pastabas ir pasiūlymus</w:t>
              </w:r>
              <w:r>
                <w:rPr>
                  <w:rFonts w:eastAsia="Andale Sans UI" w:cs="Tahoma"/>
                  <w:szCs w:val="24"/>
                  <w:vertAlign w:val="superscript"/>
                  <w:lang w:bidi="en-US"/>
                </w:rPr>
                <w:footnoteReference w:id="1"/>
              </w:r>
              <w:r>
                <w:rPr>
                  <w:rFonts w:eastAsia="Andale Sans UI" w:cs="Tahoma"/>
                  <w:szCs w:val="24"/>
                  <w:lang w:bidi="en-US"/>
                </w:rPr>
                <w:t xml:space="preserve">, teikiame pakartotinai derinti Lietuvos Respublikos aplinkos ministro įsakymo „Dėl Lietuvos Respublikos aplinkos ministro 2016 m. lapkričio 25 d. įsakymo Nr. D1-805 „Dėl Atliekų deginimo įrenginiuose ir bendro atliekų deginimo įrenginiuose susidariusių pelenų ir šlako tvarkymo reikalavimų patvirtinimo“ pakeitimo“ </w:t>
              </w:r>
              <w:r>
                <w:rPr>
                  <w:rFonts w:eastAsia="Andale Sans UI" w:cs="Tahoma"/>
                  <w:bCs/>
                  <w:szCs w:val="24"/>
                  <w:lang w:bidi="en-US"/>
                </w:rPr>
                <w:t>projektą (toliau – Įsakymo projektas).</w:t>
              </w:r>
              <w:r>
                <w:rPr>
                  <w:rFonts w:eastAsia="Andale Sans UI" w:cs="Tahoma"/>
                  <w:bCs/>
                  <w:iCs/>
                  <w:szCs w:val="24"/>
                  <w:lang w:bidi="en-US"/>
                </w:rPr>
                <w:t xml:space="preserve"> </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Suinteresuotų šalių pateiktos pastabos ir pasiūlymai buvo aptarti 2021 m. kovo 22 d. įvykusiame pasitarime, kuriame dalyvavo akademinės ir mokslo visuomenės atstovai, asocijuotų struktūrų nariai, socialiniai partneriai ir verslo atstovai, valstybinių institucijų atstovai, teikę pastabas ir pasiūlymus pirminiam Aplinkos ministerijos parengtam Įsakymo projektui.</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 xml:space="preserve">Galiojantis teisinis reguliavimas neužtikrina, kad laikomos, gabenamos ar apdorojamos atliekų deginimo įrenginiuose ir bendro atliekų deginimo įrenginiuose susidariusios nepavojingosios pelenų ir šlako atliekos (toliau – pelenų ir šlako atliekos) nedarytų neigiamo poveikio aplinkai, taip pat nėra nustatyti pelenų ir šlako atliekų nebelaikymo atliekomis kriterijai, todėl cheminės medžiagos, kaip antrinės žaliavos, panaudojimo galimybės nėra aiškiai apibrėžtos. </w:t>
              </w:r>
            </w:p>
            <w:p>
              <w:pPr>
                <w:widowControl w:val="0"/>
                <w:suppressAutoHyphens/>
                <w:ind w:firstLine="567"/>
                <w:jc w:val="both"/>
                <w:rPr>
                  <w:rFonts w:eastAsia="Andale Sans UI" w:cs="Tahoma"/>
                  <w:bCs/>
                  <w:iCs/>
                  <w:szCs w:val="24"/>
                  <w:lang w:bidi="en-US"/>
                </w:rPr>
              </w:pPr>
              <w:r>
                <w:rPr>
                  <w:rFonts w:eastAsia="Andale Sans UI" w:cs="Tahoma"/>
                  <w:bCs/>
                  <w:szCs w:val="24"/>
                  <w:lang w:bidi="en-US"/>
                </w:rPr>
                <w:t xml:space="preserve">Įsakymo projekto tikslas – nustatyti pelenų ir šlako atliekų tvarkymo ir panaudojimo aplinkos apsaugos reikalavimus, pelenų ir šlako atliekų nelaikymo atliekomis kriterijus, siekiant plėtoti žiedinę ekonomiką ir užtikrinti, kad pelenai ir šlakas nekeltų neigiamo poveikio visuomenės sveikatai ir aplinkai dėl galimos taršos kietosiomis dalelėmis (dulkėmis) ar cheminių medžiagų, esančių pelenuose ir šlake, patekimo į požeminius ir (ar) paviršinius vandenis. </w:t>
              </w:r>
              <w:r>
                <w:rPr>
                  <w:rFonts w:eastAsia="Andale Sans UI" w:cs="Tahoma"/>
                  <w:bCs/>
                  <w:iCs/>
                  <w:szCs w:val="24"/>
                  <w:lang w:bidi="en-US"/>
                </w:rPr>
                <w:t xml:space="preserve">Įsakymo projektu siūloma leisti pelenus ir šlaką, jei jie atitinka nustatytus reikalavimus, naudoti statinių statyboje ir statybos produktų gamyboje. </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 xml:space="preserve">Įsakymo projektu siūloma nustatyti, kad pereinamuoju laikotarpiu (iki 2023 m. pabaigos) atliekų deginimo įrenginiuose ir bendro atliekų deginimo įrenginiuose susidariusius nepavojinguosius pelenus ir šlaką galima bus panaudoti statinių statyboje ir atliekų statuse, ir kaip cheminę medžiagą. Jei statinių statyboje bus panaudojamos apdorotų pelenų ir šlako atliekos, įmonė privalės turėti  taršos ar taršos integruotos prevencijos ir kontrolės (toliau – TIPK) leidimą arba su Aplinkos apsaugos agentūra suderintą Apdorotų pelenų ir šlako atliekų panaudojimo statinių statyboje planą (toliau – Planas). Planą veiklos vykdytojas rengs tais atvejais, kai planuojama pelenų ir šlako atliekų panaudojimo veikla neatitiks kriterijų, kuriais, vadovaujantis Taršos leidimų išdavimo, pakeitimo ir galiojimo panaikinimo taisyklėmis</w:t>
              </w:r>
              <w:r>
                <w:rPr>
                  <w:rFonts w:eastAsia="Andale Sans UI" w:cs="Tahoma"/>
                  <w:bCs/>
                  <w:iCs/>
                  <w:szCs w:val="24"/>
                  <w:vertAlign w:val="superscript"/>
                  <w:lang w:bidi="en-US"/>
                </w:rPr>
                <w:footnoteReference w:id="2"/>
              </w:r>
              <w:r>
                <w:rPr>
                  <w:rFonts w:eastAsia="Andale Sans UI" w:cs="Tahoma"/>
                  <w:bCs/>
                  <w:iCs/>
                  <w:szCs w:val="24"/>
                  <w:lang w:bidi="en-US"/>
                </w:rPr>
                <w:t xml:space="preserve"> ar Taršos integruotos prevencijos ir kontrolės leidimų išdavimo, pakeitimo ir galiojimo panaikinimo taisyklėmis</w:t>
              </w:r>
              <w:r>
                <w:rPr>
                  <w:rFonts w:eastAsia="Andale Sans UI" w:cs="Tahoma"/>
                  <w:bCs/>
                  <w:iCs/>
                  <w:szCs w:val="24"/>
                  <w:vertAlign w:val="superscript"/>
                  <w:lang w:bidi="en-US"/>
                </w:rPr>
                <w:footnoteReference w:id="3"/>
              </w:r>
              <w:r>
                <w:rPr>
                  <w:rFonts w:eastAsia="Andale Sans UI" w:cs="Tahoma"/>
                  <w:bCs/>
                  <w:iCs/>
                  <w:szCs w:val="24"/>
                  <w:lang w:bidi="en-US"/>
                </w:rPr>
                <w:t xml:space="preserve">, atliekų apdorojimo įrenginių eksploatavimui privaloma turėti taršos ar TIPK leidimą. </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Pelenų ir šlako atliekų nelaikymo atliekomis kriterijai nustatyti vadovaujantis Atliekų tvarkymo įstatymu</w:t>
              </w:r>
              <w:r>
                <w:rPr>
                  <w:rFonts w:eastAsia="Andale Sans UI" w:cs="Tahoma"/>
                  <w:bCs/>
                  <w:iCs/>
                  <w:szCs w:val="24"/>
                  <w:vertAlign w:val="superscript"/>
                  <w:lang w:bidi="en-US"/>
                </w:rPr>
                <w:footnoteReference w:id="4"/>
              </w:r>
              <w:r>
                <w:rPr>
                  <w:rFonts w:eastAsia="Andale Sans UI" w:cs="Tahoma"/>
                  <w:bCs/>
                  <w:iCs/>
                  <w:szCs w:val="24"/>
                  <w:lang w:bidi="en-US"/>
                </w:rPr>
                <w:t>. Nuo 2024 m. pelenus ir šlaką galima bus naudoti statinių statyboje tik kaip produktą (cheminę medžiagą).</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Įsakymo projektu nustatomos naujos sąvokos: „atliekų deginimo įrenginiuose ir bendro atliekų deginimo įrenginiuose susidariusios nepavojingosios pelenų atliekos“, „atliekų deginimo įrenginiuose ir bendro atliekų deginimo įrenginiuose susidaręs nepavojingasis šlakas“, „pelenai ir šlakas“, „pelenų ir šlako siunta“.</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 xml:space="preserve">Įsakymo projektas paskelbtas Seimo Teisės aktų informacinėje sistemoje (TAIS). </w:t>
              </w:r>
            </w:p>
            <w:p>
              <w:pPr>
                <w:widowControl w:val="0"/>
                <w:suppressAutoHyphens/>
                <w:ind w:firstLine="567"/>
                <w:jc w:val="both"/>
                <w:rPr>
                  <w:rFonts w:eastAsia="Andale Sans UI" w:cs="Tahoma"/>
                  <w:bCs/>
                  <w:iCs/>
                  <w:szCs w:val="24"/>
                  <w:lang w:bidi="en-US"/>
                </w:rPr>
              </w:pPr>
              <w:r>
                <w:rPr>
                  <w:rFonts w:eastAsia="Andale Sans UI" w:cs="Tahoma"/>
                  <w:bCs/>
                  <w:iCs/>
                  <w:szCs w:val="24"/>
                  <w:lang w:bidi="en-US"/>
                </w:rPr>
                <w:t xml:space="preserve">Įsakymo projektą parengė Aplinkos ministerijos Atliekų politikos grupės (vadovė Vilma Slavinskienė, tel. 8 698 75027 el. p. vilma.slavinskiene@am.lt, patarėja Jovita Surdokienė                             (tel. 8 696 54712 el. p. jovita.surdokiene@am.lt).</w:t>
              </w:r>
            </w:p>
            <w:p>
              <w:pPr>
                <w:widowControl w:val="0"/>
                <w:suppressAutoHyphens/>
                <w:ind w:firstLine="567"/>
                <w:jc w:val="both"/>
                <w:rPr>
                  <w:rFonts w:eastAsia="Andale Sans UI" w:cs="Tahoma"/>
                  <w:szCs w:val="24"/>
                  <w:lang w:bidi="en-US"/>
                </w:rPr>
              </w:pPr>
              <w:r>
                <w:rPr>
                  <w:rFonts w:eastAsia="Andale Sans UI" w:cs="Tahoma"/>
                  <w:szCs w:val="24"/>
                  <w:lang w:bidi="en-US"/>
                </w:rPr>
                <w:t>Prašome per 10 darbo dienų po projektų paskelbimo TAIS pagal kompetenciją Įsakymo projektui pateikti pastabas ir pasiūlymus. Negavus argumentuotų pastabų ir pasiūlymų iki nurodyto laiko, bus laikoma, kad projektams pritarta.</w:t>
              </w:r>
            </w:p>
            <w:p>
              <w:pPr>
                <w:widowControl w:val="0"/>
                <w:suppressAutoHyphens/>
                <w:ind w:firstLine="567"/>
                <w:jc w:val="both"/>
                <w:rPr>
                  <w:rFonts w:eastAsia="Andale Sans UI" w:cs="Tahoma"/>
                  <w:szCs w:val="24"/>
                  <w:lang w:bidi="en-US"/>
                </w:rPr>
              </w:pPr>
              <w:r>
                <w:rPr>
                  <w:rFonts w:eastAsia="Andale Sans UI" w:cs="Tahoma"/>
                  <w:szCs w:val="24"/>
                  <w:lang w:val="x-none" w:bidi="en-US"/>
                </w:rPr>
                <w:t>PRIDEDAMA</w:t>
              </w:r>
              <w:r>
                <w:rPr>
                  <w:rFonts w:eastAsia="Andale Sans UI" w:cs="Tahoma"/>
                  <w:szCs w:val="24"/>
                  <w:lang w:bidi="en-US"/>
                </w:rPr>
                <w:t>:</w:t>
              </w:r>
            </w:p>
            <w:sdt>
              <w:sdtPr>
                <w:alias w:val="1 p."/>
                <w:tag w:val="part_88bb72f66fce46c59fb5ee3e6ae1bfd4"/>
                <w:lock w:val="sdtLocked"/>
                <w:richText/>
              </w:sdtPr>
              <w:sdtContent>
                <w:p>
                  <w:pPr>
                    <w:widowControl w:val="0"/>
                    <w:suppressAutoHyphens/>
                    <w:ind w:firstLine="567"/>
                    <w:jc w:val="both"/>
                    <w:rPr>
                      <w:rFonts w:eastAsia="Andale Sans UI" w:cs="Tahoma"/>
                      <w:szCs w:val="24"/>
                      <w:lang w:bidi="en-US"/>
                    </w:rPr>
                  </w:pPr>
                  <w:sdt>
                    <w:sdtPr>
                      <w:alias w:val="Numeris"/>
                      <w:tag w:val="nr_88bb72f66fce46c59fb5ee3e6ae1bfd4"/>
                      <w:lock w:val="sdtLocked"/>
                      <w:richText/>
                    </w:sdtPr>
                    <w:sdtContent>
                      <w:r>
                        <w:rPr>
                          <w:rFonts w:eastAsia="Andale Sans UI" w:cs="Tahoma"/>
                          <w:szCs w:val="24"/>
                          <w:lang w:bidi="en-US"/>
                        </w:rPr>
                        <w:t>1</w:t>
                      </w:r>
                    </w:sdtContent>
                  </w:sdt>
                  <w:r>
                    <w:rPr>
                      <w:rFonts w:eastAsia="Andale Sans UI" w:cs="Tahoma"/>
                      <w:szCs w:val="24"/>
                      <w:lang w:bidi="en-US"/>
                    </w:rPr>
                    <w:t xml:space="preserve">. </w:t>
                  </w:r>
                  <w:r>
                    <w:rPr>
                      <w:rFonts w:eastAsia="Andale Sans UI" w:cs="Tahoma"/>
                      <w:szCs w:val="24"/>
                      <w:lang w:val="x-none" w:bidi="en-US"/>
                    </w:rPr>
                    <w:t>Įsakymo projekt</w:t>
                  </w:r>
                  <w:r>
                    <w:rPr>
                      <w:rFonts w:eastAsia="Andale Sans UI" w:cs="Tahoma"/>
                      <w:szCs w:val="24"/>
                      <w:lang w:bidi="en-US"/>
                    </w:rPr>
                    <w:t>as, 18</w:t>
                  </w:r>
                  <w:r>
                    <w:rPr>
                      <w:rFonts w:eastAsia="Andale Sans UI" w:cs="Tahoma"/>
                      <w:szCs w:val="24"/>
                      <w:lang w:val="x-none" w:bidi="en-US"/>
                    </w:rPr>
                    <w:t xml:space="preserve"> lap</w:t>
                  </w:r>
                  <w:r>
                    <w:rPr>
                      <w:rFonts w:eastAsia="Andale Sans UI" w:cs="Tahoma"/>
                      <w:szCs w:val="24"/>
                      <w:lang w:bidi="en-US"/>
                    </w:rPr>
                    <w:t>ų.</w:t>
                  </w:r>
                </w:p>
              </w:sdtContent>
            </w:sdt>
            <w:sdt>
              <w:sdtPr>
                <w:alias w:val="2 p."/>
                <w:tag w:val="part_6950c03302fa460fa3f1d59213fea005"/>
                <w:lock w:val="sdtLocked"/>
                <w:richText/>
              </w:sdtPr>
              <w:sdtContent>
                <w:p>
                  <w:pPr>
                    <w:widowControl w:val="0"/>
                    <w:suppressAutoHyphens/>
                    <w:ind w:firstLine="567"/>
                    <w:jc w:val="both"/>
                    <w:rPr>
                      <w:rFonts w:eastAsia="Andale Sans UI" w:cs="Tahoma"/>
                      <w:szCs w:val="24"/>
                      <w:lang w:bidi="en-US"/>
                    </w:rPr>
                  </w:pPr>
                  <w:sdt>
                    <w:sdtPr>
                      <w:alias w:val="Numeris"/>
                      <w:tag w:val="nr_6950c03302fa460fa3f1d59213fea005"/>
                      <w:lock w:val="sdtLocked"/>
                      <w:richText/>
                    </w:sdtPr>
                    <w:sdtContent>
                      <w:r>
                        <w:rPr>
                          <w:rFonts w:eastAsia="Andale Sans UI" w:cs="Tahoma"/>
                          <w:szCs w:val="24"/>
                          <w:lang w:bidi="en-US"/>
                        </w:rPr>
                        <w:t>2</w:t>
                      </w:r>
                    </w:sdtContent>
                  </w:sdt>
                  <w:r>
                    <w:rPr>
                      <w:rFonts w:eastAsia="Andale Sans UI" w:cs="Tahoma"/>
                      <w:szCs w:val="24"/>
                      <w:lang w:bidi="en-US"/>
                    </w:rPr>
                    <w:t>. Pastabų ir pasiūlymų derinimo pažyma, 25 lapai.</w:t>
                  </w:r>
                </w:p>
              </w:sdtContent>
            </w:sdt>
            <w:sdt>
              <w:sdtPr>
                <w:alias w:val="3 p."/>
                <w:tag w:val="part_82a77b17537246a1a1c9c7c97e5dd689"/>
                <w:lock w:val="sdtLocked"/>
                <w:richText/>
              </w:sdtPr>
              <w:sdtContent>
                <w:p>
                  <w:pPr>
                    <w:widowControl w:val="0"/>
                    <w:suppressAutoHyphens/>
                    <w:ind w:firstLine="567"/>
                    <w:jc w:val="both"/>
                    <w:rPr>
                      <w:rFonts w:eastAsia="Andale Sans UI" w:cs="Tahoma"/>
                      <w:szCs w:val="24"/>
                      <w:lang w:bidi="en-US"/>
                    </w:rPr>
                  </w:pPr>
                  <w:sdt>
                    <w:sdtPr>
                      <w:alias w:val="Numeris"/>
                      <w:tag w:val="nr_82a77b17537246a1a1c9c7c97e5dd689"/>
                      <w:lock w:val="sdtLocked"/>
                      <w:richText/>
                    </w:sdtPr>
                    <w:sdtContent>
                      <w:r>
                        <w:rPr>
                          <w:rFonts w:eastAsia="Andale Sans UI" w:cs="Tahoma"/>
                          <w:szCs w:val="24"/>
                          <w:lang w:bidi="en-US"/>
                        </w:rPr>
                        <w:t>3</w:t>
                      </w:r>
                    </w:sdtContent>
                  </w:sdt>
                  <w:r>
                    <w:rPr>
                      <w:rFonts w:eastAsia="Andale Sans UI" w:cs="Tahoma"/>
                      <w:szCs w:val="24"/>
                      <w:lang w:bidi="en-US"/>
                    </w:rPr>
                    <w:t>. Numatomo teisinio reguliavimo poveikio vertinimo pažyma, 2 lapai.</w:t>
                  </w:r>
                </w:p>
              </w:sdtContent>
            </w:sdt>
          </w:sdtContent>
        </w:sdt>
      </w:sdtContent>
    </w:sdt>
    <w:sdt>
      <w:sdtPr>
        <w:alias w:val="lentele"/>
        <w:tag w:val="part_c49fea563d884cf7a3d23e89135dd82c"/>
        <w:lock w:val="sdtLocked"/>
        <w:richText/>
      </w:sdtPr>
      <w:sdtContent>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442"/>
            </w:trPr>
            <w:tc>
              <w:tcPr>
                <w:tcW w:w="4817" w:type="dxa"/>
                <w:vAlign w:val="bottom"/>
              </w:tcPr>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r>
                  <w:rPr>
                    <w:rFonts w:eastAsia="Andale Sans UI" w:cs="Tahoma"/>
                    <w:szCs w:val="24"/>
                    <w:lang w:bidi="en-US"/>
                  </w:rPr>
                  <w:t>Aplinkos viceministras</w:t>
                </w:r>
              </w:p>
            </w:tc>
            <w:tc>
              <w:tcPr>
                <w:tcW w:w="4826" w:type="dxa"/>
                <w:vAlign w:val="bottom"/>
              </w:tcPr>
              <w:p>
                <w:pPr>
                  <w:widowControl w:val="0"/>
                  <w:suppressAutoHyphens/>
                  <w:ind w:firstLine="567"/>
                  <w:jc w:val="both"/>
                  <w:rPr>
                    <w:rFonts w:eastAsia="Andale Sans UI" w:cs="Tahoma"/>
                    <w:szCs w:val="24"/>
                    <w:lang w:bidi="en-US"/>
                  </w:rPr>
                </w:pP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jc w:val="both"/>
            <w:rPr>
              <w:rFonts w:eastAsia="Andale Sans UI" w:cs="Tahoma"/>
              <w:sz w:val="20"/>
              <w:lang w:bidi="en-US"/>
            </w:rPr>
          </w:pPr>
        </w:p>
      </w:sdtContent>
    </w:sdt>
    <w:sdt>
      <w:sdtPr>
        <w:alias w:val="pastraipa"/>
        <w:tag w:val="part_94c6c45f5c9c45acac6ad85a29c60cc5"/>
        <w:lock w:val="sdtLocked"/>
        <w:richText/>
      </w:sdtPr>
      <w:sdtContent>
        <w:p>
          <w:pPr>
            <w:widowControl w:val="0"/>
            <w:suppressAutoHyphens/>
            <w:jc w:val="both"/>
            <w:rPr>
              <w:rFonts w:eastAsia="Andale Sans UI" w:cs="Tahoma"/>
              <w:color w:val="000080"/>
              <w:szCs w:val="24"/>
              <w:u w:val="single"/>
              <w:lang w:bidi="en-US"/>
            </w:rPr>
          </w:pPr>
          <w:r>
            <w:rPr>
              <w:rFonts w:eastAsia="Andale Sans UI" w:cs="Tahoma"/>
              <w:szCs w:val="24"/>
              <w:lang w:bidi="en-US"/>
            </w:rPr>
            <w:t xml:space="preserve">J. Surdokienė, 8 696 54712, el. p. </w:t>
          </w:r>
          <w:r>
            <w:rPr>
              <w:rFonts w:eastAsia="Andale Sans UI" w:cs="Tahoma"/>
              <w:color w:val="000080"/>
              <w:szCs w:val="24"/>
              <w:u w:val="single"/>
              <w:lang w:bidi="en-US"/>
            </w:rPr>
            <w:t>jovita.surdokiene@am.lt</w:t>
          </w: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p>
          <w:pPr>
            <w:widowControl w:val="0"/>
            <w:suppressAutoHyphens/>
            <w:jc w:val="both"/>
            <w:rPr>
              <w:rFonts w:eastAsia="Andale Sans UI" w:cs="Tahoma"/>
              <w:color w:val="000080"/>
              <w:szCs w:val="24"/>
              <w:u w:val="single"/>
              <w:lang w:bidi="en-US"/>
            </w:rPr>
          </w:pPr>
        </w:p>
        <w:sdt>
          <w:sdtPr>
            <w:alias w:val="skirsnis"/>
            <w:tag w:val="part_704e73957d704d8bbad8eee8464e7754"/>
            <w:lock w:val="sdtLocked"/>
            <w:richText/>
          </w:sdtPr>
          <w:sdtContent>
            <w:p>
              <w:pPr>
                <w:widowControl w:val="0"/>
                <w:suppressAutoHyphens/>
                <w:ind w:firstLine="567"/>
                <w:jc w:val="both"/>
                <w:rPr>
                  <w:rFonts w:eastAsia="Andale Sans UI" w:cs="Tahoma"/>
                  <w:szCs w:val="24"/>
                  <w:lang w:bidi="en-US"/>
                </w:rPr>
              </w:pPr>
              <w:sdt>
                <w:sdtPr>
                  <w:alias w:val="Pavadinimas"/>
                  <w:tag w:val="title_704e73957d704d8bbad8eee8464e7754"/>
                  <w:lock w:val="sdtLocked"/>
                  <w:richText/>
                </w:sdtPr>
                <w:sdtContent>
                  <w:r>
                    <w:rPr>
                      <w:rFonts w:eastAsia="Andale Sans UI" w:cs="Tahoma"/>
                      <w:b/>
                      <w:szCs w:val="24"/>
                      <w:lang w:bidi="en-US"/>
                    </w:rPr>
                    <w:t>Adresatų sąrašas:</w:t>
                  </w:r>
                </w:sdtContent>
              </w:sdt>
            </w:p>
            <w:p>
              <w:pPr>
                <w:widowControl w:val="0"/>
                <w:suppressAutoHyphens/>
                <w:ind w:firstLine="567"/>
                <w:jc w:val="both"/>
                <w:rPr>
                  <w:rFonts w:eastAsia="Andale Sans UI" w:cs="Tahoma"/>
                  <w:szCs w:val="24"/>
                  <w:lang w:bidi="en-US"/>
                </w:rPr>
              </w:pPr>
              <w:r>
                <w:rPr>
                  <w:rFonts w:eastAsia="Andale Sans UI" w:cs="Tahoma"/>
                  <w:szCs w:val="24"/>
                  <w:lang w:bidi="en-US"/>
                </w:rPr>
                <w:t>Antrinių žaliavų ir atliekų surinkėjų, perdirbėjų asociacijai</w:t>
              </w:r>
            </w:p>
            <w:p>
              <w:pPr>
                <w:widowControl w:val="0"/>
                <w:suppressAutoHyphens/>
                <w:ind w:firstLine="567"/>
                <w:jc w:val="both"/>
                <w:rPr>
                  <w:rFonts w:eastAsia="Andale Sans UI" w:cs="Tahoma"/>
                  <w:szCs w:val="24"/>
                  <w:lang w:bidi="en-US"/>
                </w:rPr>
              </w:pPr>
              <w:r>
                <w:rPr>
                  <w:rFonts w:eastAsia="Andale Sans UI" w:cs="Tahoma"/>
                  <w:szCs w:val="24"/>
                  <w:lang w:bidi="en-US"/>
                </w:rPr>
                <w:t>Aplinkos apsaugos agentūrai</w:t>
              </w:r>
            </w:p>
            <w:p>
              <w:pPr>
                <w:widowControl w:val="0"/>
                <w:suppressAutoHyphens/>
                <w:ind w:firstLine="567"/>
                <w:jc w:val="both"/>
                <w:rPr>
                  <w:rFonts w:eastAsia="Andale Sans UI" w:cs="Tahoma"/>
                  <w:szCs w:val="24"/>
                  <w:lang w:bidi="en-US"/>
                </w:rPr>
              </w:pPr>
              <w:r>
                <w:rPr>
                  <w:rFonts w:eastAsia="Andale Sans UI" w:cs="Tahoma"/>
                  <w:szCs w:val="24"/>
                  <w:lang w:bidi="en-US"/>
                </w:rPr>
                <w:t>Aplinkos apsaugos departamentui prie Aplinkos ministerijos</w:t>
              </w:r>
            </w:p>
            <w:p>
              <w:pPr>
                <w:widowControl w:val="0"/>
                <w:suppressAutoHyphens/>
                <w:ind w:firstLine="567"/>
                <w:jc w:val="both"/>
                <w:rPr>
                  <w:rFonts w:eastAsia="Andale Sans UI" w:cs="Tahoma"/>
                  <w:szCs w:val="24"/>
                  <w:lang w:bidi="en-US"/>
                </w:rPr>
              </w:pPr>
              <w:r>
                <w:rPr>
                  <w:rFonts w:eastAsia="Andale Sans UI" w:cs="Tahoma"/>
                  <w:szCs w:val="24"/>
                  <w:lang w:bidi="en-US"/>
                </w:rPr>
                <w:t>Aplinkosaugos koalicijai</w:t>
              </w:r>
            </w:p>
            <w:p>
              <w:pPr>
                <w:widowControl w:val="0"/>
                <w:suppressAutoHyphens/>
                <w:ind w:firstLine="567"/>
                <w:jc w:val="both"/>
                <w:rPr>
                  <w:rFonts w:eastAsia="Andale Sans UI" w:cs="Tahoma"/>
                  <w:szCs w:val="24"/>
                  <w:lang w:bidi="en-US"/>
                </w:rPr>
              </w:pPr>
              <w:r>
                <w:rPr>
                  <w:rFonts w:eastAsia="Andale Sans UI" w:cs="Tahoma"/>
                  <w:szCs w:val="24"/>
                  <w:lang w:bidi="en-US"/>
                </w:rPr>
                <w:t>Asociacijai „Klaipėdos Marių bendruomenė“</w:t>
              </w:r>
            </w:p>
            <w:p>
              <w:pPr>
                <w:widowControl w:val="0"/>
                <w:suppressAutoHyphens/>
                <w:ind w:firstLine="567"/>
                <w:jc w:val="both"/>
                <w:rPr>
                  <w:rFonts w:eastAsia="Andale Sans UI" w:cs="Tahoma"/>
                  <w:szCs w:val="24"/>
                  <w:lang w:bidi="en-US"/>
                </w:rPr>
              </w:pPr>
              <w:r>
                <w:rPr>
                  <w:rFonts w:eastAsia="Andale Sans UI" w:cs="Tahoma"/>
                  <w:szCs w:val="24"/>
                  <w:lang w:bidi="en-US"/>
                </w:rPr>
                <w:t>Asociacijai „Šernų ir Ketvergių kaimų bendruomenė“</w:t>
              </w:r>
            </w:p>
            <w:p>
              <w:pPr>
                <w:widowControl w:val="0"/>
                <w:suppressAutoHyphens/>
                <w:ind w:firstLine="567"/>
                <w:jc w:val="both"/>
                <w:rPr>
                  <w:rFonts w:eastAsia="Andale Sans UI" w:cs="Tahoma"/>
                  <w:szCs w:val="24"/>
                  <w:lang w:bidi="en-US"/>
                </w:rPr>
              </w:pPr>
              <w:r>
                <w:rPr>
                  <w:rFonts w:eastAsia="Andale Sans UI" w:cs="Tahoma"/>
                  <w:szCs w:val="24"/>
                  <w:lang w:bidi="en-US"/>
                </w:rPr>
                <w:t>Asociacijai „Šimkų kaimo bendruomenė“</w:t>
              </w:r>
            </w:p>
            <w:p>
              <w:pPr>
                <w:widowControl w:val="0"/>
                <w:suppressAutoHyphens/>
                <w:ind w:firstLine="567"/>
                <w:jc w:val="both"/>
                <w:rPr>
                  <w:rFonts w:eastAsia="Andale Sans UI" w:cs="Tahoma"/>
                  <w:szCs w:val="24"/>
                  <w:lang w:bidi="en-US"/>
                </w:rPr>
              </w:pPr>
              <w:r>
                <w:rPr>
                  <w:rFonts w:eastAsia="Andale Sans UI" w:cs="Tahoma"/>
                  <w:szCs w:val="24"/>
                  <w:lang w:bidi="en-US"/>
                </w:rPr>
                <w:t>Atliekų tvarkytojų ir turėtojų asociacijai</w:t>
              </w:r>
            </w:p>
            <w:p>
              <w:pPr>
                <w:widowControl w:val="0"/>
                <w:suppressAutoHyphens/>
                <w:ind w:firstLine="567"/>
                <w:jc w:val="both"/>
                <w:rPr>
                  <w:rFonts w:eastAsia="Andale Sans UI" w:cs="Tahoma"/>
                  <w:szCs w:val="24"/>
                  <w:lang w:bidi="en-US"/>
                </w:rPr>
              </w:pPr>
              <w:r>
                <w:rPr>
                  <w:rFonts w:eastAsia="Andale Sans UI" w:cs="Tahoma"/>
                  <w:szCs w:val="24"/>
                  <w:lang w:bidi="en-US"/>
                </w:rPr>
                <w:t>Ekonomikos ir inovacijų ministerijai</w:t>
              </w:r>
            </w:p>
            <w:p>
              <w:pPr>
                <w:widowControl w:val="0"/>
                <w:suppressAutoHyphens/>
                <w:ind w:firstLine="567"/>
                <w:jc w:val="both"/>
                <w:rPr>
                  <w:rFonts w:eastAsia="Andale Sans UI" w:cs="Tahoma"/>
                  <w:szCs w:val="24"/>
                  <w:lang w:bidi="en-US"/>
                </w:rPr>
              </w:pPr>
              <w:r>
                <w:rPr>
                  <w:rFonts w:eastAsia="Andale Sans UI" w:cs="Tahoma"/>
                  <w:szCs w:val="24"/>
                  <w:lang w:bidi="en-US"/>
                </w:rPr>
                <w:t>Finansinių nusikaltimų tyrimo tarnybai</w:t>
              </w:r>
            </w:p>
            <w:p>
              <w:pPr>
                <w:widowControl w:val="0"/>
                <w:suppressAutoHyphens/>
                <w:ind w:firstLine="567"/>
                <w:jc w:val="both"/>
                <w:rPr>
                  <w:rFonts w:eastAsia="Andale Sans UI" w:cs="Tahoma"/>
                  <w:szCs w:val="24"/>
                  <w:lang w:bidi="en-US"/>
                </w:rPr>
              </w:pPr>
              <w:r>
                <w:rPr>
                  <w:rFonts w:eastAsia="Andale Sans UI" w:cs="Tahoma"/>
                  <w:szCs w:val="24"/>
                  <w:lang w:bidi="en-US"/>
                </w:rPr>
                <w:t>Gamintojų ir importuotojų asociacijai</w:t>
              </w:r>
            </w:p>
            <w:p>
              <w:pPr>
                <w:widowControl w:val="0"/>
                <w:suppressAutoHyphens/>
                <w:ind w:firstLine="567"/>
                <w:jc w:val="both"/>
                <w:rPr>
                  <w:rFonts w:eastAsia="Andale Sans UI" w:cs="Tahoma"/>
                  <w:szCs w:val="24"/>
                  <w:lang w:bidi="en-US"/>
                </w:rPr>
              </w:pPr>
              <w:r>
                <w:rPr>
                  <w:rFonts w:eastAsia="Andale Sans UI" w:cs="Tahoma"/>
                  <w:szCs w:val="24"/>
                  <w:lang w:bidi="en-US"/>
                </w:rPr>
                <w:t>Kauno technologijos universitetui</w:t>
              </w:r>
            </w:p>
            <w:p>
              <w:pPr>
                <w:widowControl w:val="0"/>
                <w:suppressAutoHyphens/>
                <w:ind w:firstLine="567"/>
                <w:jc w:val="both"/>
                <w:rPr>
                  <w:rFonts w:eastAsia="Andale Sans UI" w:cs="Tahoma"/>
                  <w:szCs w:val="24"/>
                  <w:lang w:bidi="en-US"/>
                </w:rPr>
              </w:pPr>
              <w:r>
                <w:rPr>
                  <w:rFonts w:eastAsia="Andale Sans UI" w:cs="Tahoma"/>
                  <w:szCs w:val="24"/>
                  <w:lang w:bidi="en-US"/>
                </w:rPr>
                <w:t>Lietuvos chemijos pramonės įmonių asociacijai</w:t>
              </w:r>
            </w:p>
            <w:p>
              <w:pPr>
                <w:widowControl w:val="0"/>
                <w:suppressAutoHyphens/>
                <w:ind w:firstLine="567"/>
                <w:jc w:val="both"/>
                <w:rPr>
                  <w:rFonts w:eastAsia="Andale Sans UI" w:cs="Tahoma"/>
                  <w:szCs w:val="24"/>
                  <w:lang w:bidi="en-US"/>
                </w:rPr>
              </w:pPr>
              <w:r>
                <w:rPr>
                  <w:rFonts w:eastAsia="Andale Sans UI" w:cs="Tahoma"/>
                  <w:szCs w:val="24"/>
                  <w:lang w:bidi="en-US"/>
                </w:rPr>
                <w:t>Lietuvos geologijos tarnybai prie Aplinkos ministerijos</w:t>
              </w:r>
            </w:p>
            <w:p>
              <w:pPr>
                <w:widowControl w:val="0"/>
                <w:suppressAutoHyphens/>
                <w:ind w:firstLine="567"/>
                <w:jc w:val="both"/>
                <w:rPr>
                  <w:rFonts w:eastAsia="Andale Sans UI" w:cs="Tahoma"/>
                  <w:szCs w:val="24"/>
                  <w:lang w:bidi="en-US"/>
                </w:rPr>
              </w:pPr>
              <w:r>
                <w:rPr>
                  <w:rFonts w:eastAsia="Andale Sans UI" w:cs="Tahoma"/>
                  <w:szCs w:val="24"/>
                  <w:lang w:bidi="en-US"/>
                </w:rPr>
                <w:t>Lietuvos komunalininkų ir atliekų tvarkytojų asociacijai</w:t>
              </w:r>
            </w:p>
            <w:p>
              <w:pPr>
                <w:widowControl w:val="0"/>
                <w:suppressAutoHyphens/>
                <w:ind w:firstLine="567"/>
                <w:jc w:val="both"/>
                <w:rPr>
                  <w:rFonts w:eastAsia="Andale Sans UI" w:cs="Tahoma"/>
                  <w:szCs w:val="24"/>
                  <w:lang w:bidi="en-US"/>
                </w:rPr>
              </w:pPr>
              <w:r>
                <w:rPr>
                  <w:rFonts w:eastAsia="Andale Sans UI" w:cs="Tahoma"/>
                  <w:szCs w:val="24"/>
                  <w:lang w:bidi="en-US"/>
                </w:rPr>
                <w:t>Lietuvos pramonininkų konfederacijai</w:t>
              </w:r>
            </w:p>
            <w:p>
              <w:pPr>
                <w:widowControl w:val="0"/>
                <w:suppressAutoHyphens/>
                <w:ind w:firstLine="567"/>
                <w:jc w:val="both"/>
                <w:rPr>
                  <w:rFonts w:eastAsia="Andale Sans UI" w:cs="Tahoma"/>
                  <w:szCs w:val="24"/>
                  <w:lang w:bidi="en-US"/>
                </w:rPr>
              </w:pPr>
              <w:r>
                <w:rPr>
                  <w:rFonts w:eastAsia="Andale Sans UI" w:cs="Tahoma"/>
                  <w:szCs w:val="24"/>
                  <w:lang w:bidi="en-US"/>
                </w:rPr>
                <w:t>Lietuvos prekybos, pramonės ir amatų rūmų asociacijai</w:t>
              </w:r>
            </w:p>
            <w:p>
              <w:pPr>
                <w:widowControl w:val="0"/>
                <w:suppressAutoHyphens/>
                <w:ind w:firstLine="567"/>
                <w:jc w:val="both"/>
                <w:rPr>
                  <w:rFonts w:eastAsia="Andale Sans UI" w:cs="Tahoma"/>
                  <w:szCs w:val="24"/>
                  <w:lang w:bidi="en-US"/>
                </w:rPr>
              </w:pPr>
              <w:r>
                <w:rPr>
                  <w:rFonts w:eastAsia="Andale Sans UI" w:cs="Tahoma"/>
                  <w:szCs w:val="24"/>
                  <w:lang w:bidi="en-US"/>
                </w:rPr>
                <w:t>Lietuvos regioninių atliekų tvarkymo centrų asociacijai</w:t>
              </w:r>
            </w:p>
            <w:p>
              <w:pPr>
                <w:widowControl w:val="0"/>
                <w:suppressAutoHyphens/>
                <w:ind w:firstLine="567"/>
                <w:jc w:val="both"/>
                <w:rPr>
                  <w:rFonts w:eastAsia="Andale Sans UI" w:cs="Tahoma"/>
                  <w:szCs w:val="24"/>
                  <w:lang w:bidi="en-US"/>
                </w:rPr>
              </w:pPr>
              <w:r>
                <w:rPr>
                  <w:rFonts w:eastAsia="Andale Sans UI" w:cs="Tahoma"/>
                  <w:szCs w:val="24"/>
                  <w:lang w:bidi="en-US"/>
                </w:rPr>
                <w:t>Lietuvos Respublikos konkurencijos tarybai</w:t>
              </w:r>
            </w:p>
            <w:p>
              <w:pPr>
                <w:widowControl w:val="0"/>
                <w:suppressAutoHyphens/>
                <w:ind w:firstLine="567"/>
                <w:jc w:val="both"/>
                <w:rPr>
                  <w:rFonts w:eastAsia="Andale Sans UI" w:cs="Tahoma"/>
                  <w:szCs w:val="24"/>
                  <w:lang w:bidi="en-US"/>
                </w:rPr>
              </w:pPr>
              <w:r>
                <w:rPr>
                  <w:rFonts w:eastAsia="Andale Sans UI" w:cs="Tahoma"/>
                  <w:color w:val="000000"/>
                  <w:szCs w:val="24"/>
                  <w:lang w:bidi="en-US"/>
                </w:rPr>
                <w:t>Lietuvos Respublikos žemės ūkio rūmams</w:t>
              </w:r>
            </w:p>
            <w:p>
              <w:pPr>
                <w:widowControl w:val="0"/>
                <w:suppressAutoHyphens/>
                <w:ind w:firstLine="567"/>
                <w:jc w:val="both"/>
                <w:rPr>
                  <w:rFonts w:eastAsia="Andale Sans UI" w:cs="Tahoma"/>
                  <w:szCs w:val="24"/>
                  <w:lang w:bidi="en-US"/>
                </w:rPr>
              </w:pPr>
              <w:r>
                <w:rPr>
                  <w:rFonts w:eastAsia="Andale Sans UI" w:cs="Tahoma"/>
                  <w:szCs w:val="24"/>
                  <w:lang w:bidi="en-US"/>
                </w:rPr>
                <w:t>Lietuvos savivaldybių asociacijai</w:t>
              </w:r>
            </w:p>
            <w:p>
              <w:pPr>
                <w:widowControl w:val="0"/>
                <w:suppressAutoHyphens/>
                <w:ind w:firstLine="567"/>
                <w:jc w:val="both"/>
                <w:rPr>
                  <w:rFonts w:eastAsia="Andale Sans UI" w:cs="Tahoma"/>
                  <w:szCs w:val="24"/>
                  <w:lang w:bidi="en-US"/>
                </w:rPr>
              </w:pPr>
              <w:r>
                <w:rPr>
                  <w:rFonts w:eastAsia="Andale Sans UI" w:cs="Tahoma"/>
                  <w:szCs w:val="24"/>
                  <w:lang w:bidi="en-US"/>
                </w:rPr>
                <w:t>Lietuvos savivaldybių komunalinių įmonių asociacijai</w:t>
              </w:r>
            </w:p>
            <w:p>
              <w:pPr>
                <w:widowControl w:val="0"/>
                <w:suppressAutoHyphens/>
                <w:ind w:firstLine="567"/>
                <w:jc w:val="both"/>
                <w:rPr>
                  <w:rFonts w:eastAsia="Andale Sans UI" w:cs="Tahoma"/>
                  <w:szCs w:val="24"/>
                  <w:lang w:bidi="en-US"/>
                </w:rPr>
              </w:pPr>
              <w:r>
                <w:rPr>
                  <w:rFonts w:eastAsia="Andale Sans UI" w:cs="Tahoma"/>
                  <w:szCs w:val="24"/>
                  <w:lang w:bidi="en-US"/>
                </w:rPr>
                <w:t>Lietuvos statybininkų asociacijai</w:t>
              </w:r>
            </w:p>
            <w:p>
              <w:pPr>
                <w:widowControl w:val="0"/>
                <w:suppressAutoHyphens/>
                <w:ind w:firstLine="567"/>
                <w:jc w:val="both"/>
                <w:rPr>
                  <w:rFonts w:eastAsia="Andale Sans UI" w:cs="Tahoma"/>
                  <w:color w:val="000000"/>
                  <w:szCs w:val="24"/>
                  <w:lang w:bidi="en-US"/>
                </w:rPr>
              </w:pPr>
              <w:r>
                <w:rPr>
                  <w:rFonts w:eastAsia="Andale Sans UI" w:cs="Tahoma"/>
                  <w:szCs w:val="24"/>
                  <w:lang w:bidi="en-US"/>
                </w:rPr>
                <w:t>Lietuvos verslo konfederacijai</w:t>
              </w:r>
              <w:r>
                <w:rPr>
                  <w:rFonts w:eastAsia="Andale Sans UI" w:cs="Tahoma"/>
                  <w:color w:val="000000"/>
                  <w:szCs w:val="24"/>
                  <w:lang w:bidi="en-US"/>
                </w:rPr>
                <w:br/>
                <w:t xml:space="preserve">        Lietuvos vyriausiojo archyvaro tarnybai</w:t>
              </w:r>
            </w:p>
            <w:p>
              <w:pPr>
                <w:widowControl w:val="0"/>
                <w:suppressAutoHyphens/>
                <w:ind w:firstLine="567"/>
                <w:jc w:val="both"/>
                <w:rPr>
                  <w:rFonts w:eastAsia="Andale Sans UI" w:cs="Tahoma"/>
                  <w:szCs w:val="24"/>
                  <w:lang w:bidi="en-US"/>
                </w:rPr>
              </w:pPr>
              <w:r>
                <w:rPr>
                  <w:rFonts w:eastAsia="Andale Sans UI" w:cs="Tahoma"/>
                  <w:szCs w:val="24"/>
                  <w:lang w:bidi="en-US"/>
                </w:rPr>
                <w:t>Pavojingųjų atliekų tvarkytojų asociacijai</w:t>
              </w:r>
            </w:p>
            <w:p>
              <w:pPr>
                <w:widowControl w:val="0"/>
                <w:suppressLineNumbers/>
                <w:suppressAutoHyphens/>
                <w:ind w:firstLine="567"/>
                <w:rPr>
                  <w:rFonts w:eastAsia="Andale Sans UI" w:cs="Tahoma"/>
                  <w:szCs w:val="24"/>
                  <w:lang w:bidi="en-US"/>
                </w:rPr>
              </w:pPr>
              <w:r>
                <w:rPr>
                  <w:rFonts w:eastAsia="Andale Sans UI" w:cs="Tahoma"/>
                  <w:szCs w:val="24"/>
                  <w:lang w:bidi="en-US"/>
                </w:rPr>
                <w:t>Piliečių teisių gynimo asociacijai „Mūsų teisė“</w:t>
              </w:r>
            </w:p>
            <w:p>
              <w:pPr>
                <w:widowControl w:val="0"/>
                <w:suppressAutoHyphens/>
                <w:ind w:firstLine="567"/>
                <w:jc w:val="both"/>
                <w:rPr>
                  <w:rFonts w:eastAsia="Andale Sans UI" w:cs="Tahoma"/>
                  <w:szCs w:val="24"/>
                  <w:lang w:bidi="en-US"/>
                </w:rPr>
              </w:pPr>
              <w:r>
                <w:rPr>
                  <w:rFonts w:eastAsia="Andale Sans UI" w:cs="Tahoma"/>
                  <w:szCs w:val="24"/>
                  <w:lang w:bidi="en-US"/>
                </w:rPr>
                <w:t>Priešgaisrinės apsaugos ir gelbėjimo departamentui prie Vidaus reikalų ministerijos</w:t>
              </w:r>
            </w:p>
            <w:p>
              <w:pPr>
                <w:widowControl w:val="0"/>
                <w:suppressAutoHyphens/>
                <w:ind w:firstLine="567"/>
                <w:jc w:val="both"/>
                <w:rPr>
                  <w:rFonts w:eastAsia="Andale Sans UI" w:cs="Tahoma"/>
                  <w:szCs w:val="24"/>
                  <w:lang w:bidi="en-US"/>
                </w:rPr>
              </w:pPr>
              <w:r>
                <w:rPr>
                  <w:rFonts w:eastAsia="Andale Sans UI" w:cs="Tahoma"/>
                  <w:szCs w:val="24"/>
                  <w:lang w:bidi="en-US"/>
                </w:rPr>
                <w:t>Specialiųjų tyrimų tarnybai</w:t>
              </w:r>
            </w:p>
            <w:p>
              <w:pPr>
                <w:widowControl w:val="0"/>
                <w:suppressAutoHyphens/>
                <w:ind w:firstLine="567"/>
                <w:jc w:val="both"/>
                <w:rPr>
                  <w:rFonts w:eastAsia="Andale Sans UI" w:cs="Tahoma"/>
                  <w:szCs w:val="24"/>
                  <w:lang w:bidi="en-US"/>
                </w:rPr>
              </w:pPr>
              <w:r>
                <w:rPr>
                  <w:rFonts w:eastAsia="Andale Sans UI" w:cs="Tahoma"/>
                  <w:szCs w:val="24"/>
                  <w:lang w:bidi="en-US"/>
                </w:rPr>
                <w:t>Susisiekimo ministerijai</w:t>
              </w:r>
            </w:p>
            <w:p>
              <w:pPr>
                <w:widowControl w:val="0"/>
                <w:suppressAutoHyphens/>
                <w:ind w:firstLine="567"/>
                <w:jc w:val="both"/>
                <w:rPr>
                  <w:rFonts w:eastAsia="Andale Sans UI" w:cs="Tahoma"/>
                  <w:szCs w:val="24"/>
                  <w:lang w:bidi="en-US"/>
                </w:rPr>
              </w:pPr>
              <w:r>
                <w:rPr>
                  <w:rFonts w:eastAsia="Andale Sans UI" w:cs="Tahoma"/>
                  <w:szCs w:val="24"/>
                  <w:lang w:bidi="en-US"/>
                </w:rPr>
                <w:t xml:space="preserve">Teisingumo ministerijai </w:t>
              </w:r>
            </w:p>
            <w:p>
              <w:pPr>
                <w:widowControl w:val="0"/>
                <w:suppressAutoHyphens/>
                <w:ind w:firstLine="567"/>
                <w:jc w:val="both"/>
                <w:rPr>
                  <w:rFonts w:eastAsia="Andale Sans UI" w:cs="Tahoma"/>
                  <w:szCs w:val="24"/>
                  <w:lang w:bidi="en-US"/>
                </w:rPr>
              </w:pPr>
              <w:r>
                <w:rPr>
                  <w:rFonts w:eastAsia="Andale Sans UI" w:cs="Tahoma"/>
                  <w:szCs w:val="24"/>
                  <w:lang w:bidi="en-US"/>
                </w:rPr>
                <w:t>AB „Ignitis“</w:t>
              </w:r>
            </w:p>
            <w:p>
              <w:pPr>
                <w:widowControl w:val="0"/>
                <w:suppressAutoHyphens/>
                <w:ind w:firstLine="567"/>
                <w:jc w:val="both"/>
                <w:rPr>
                  <w:rFonts w:eastAsia="Andale Sans UI" w:cs="Tahoma"/>
                  <w:szCs w:val="24"/>
                  <w:lang w:bidi="en-US"/>
                </w:rPr>
              </w:pPr>
              <w:r>
                <w:rPr>
                  <w:rFonts w:eastAsia="Andale Sans UI" w:cs="Tahoma"/>
                  <w:szCs w:val="24"/>
                  <w:lang w:bidi="en-US"/>
                </w:rPr>
                <w:t>UAB „AC3 grupė“</w:t>
              </w:r>
            </w:p>
            <w:p>
              <w:pPr>
                <w:widowControl w:val="0"/>
                <w:suppressAutoHyphens/>
                <w:ind w:firstLine="567"/>
                <w:jc w:val="both"/>
                <w:rPr>
                  <w:rFonts w:eastAsia="Andale Sans UI" w:cs="Tahoma"/>
                  <w:szCs w:val="24"/>
                  <w:lang w:bidi="en-US"/>
                </w:rPr>
              </w:pPr>
              <w:r>
                <w:rPr>
                  <w:rFonts w:eastAsia="Andale Sans UI" w:cs="Tahoma"/>
                  <w:szCs w:val="24"/>
                  <w:lang w:bidi="en-US"/>
                </w:rPr>
                <w:t>UAB „Eco Nord“</w:t>
              </w:r>
            </w:p>
            <w:p>
              <w:pPr>
                <w:widowControl w:val="0"/>
                <w:suppressAutoHyphens/>
                <w:ind w:firstLine="567"/>
                <w:jc w:val="both"/>
                <w:rPr>
                  <w:rFonts w:eastAsia="Andale Sans UI" w:cs="Tahoma"/>
                  <w:szCs w:val="24"/>
                  <w:lang w:bidi="en-US"/>
                </w:rPr>
              </w:pPr>
              <w:r>
                <w:rPr>
                  <w:rFonts w:eastAsia="Andale Sans UI" w:cs="Tahoma"/>
                  <w:szCs w:val="24"/>
                  <w:lang w:bidi="en-US"/>
                </w:rPr>
                <w:t>UAB „Fortum Heat Lietuva“</w:t>
              </w:r>
            </w:p>
            <w:p>
              <w:pPr>
                <w:widowControl w:val="0"/>
                <w:suppressAutoHyphens/>
                <w:ind w:firstLine="567"/>
                <w:jc w:val="both"/>
                <w:rPr>
                  <w:rFonts w:eastAsia="Andale Sans UI" w:cs="Tahoma"/>
                  <w:szCs w:val="24"/>
                  <w:lang w:bidi="en-US"/>
                </w:rPr>
              </w:pPr>
              <w:r>
                <w:rPr>
                  <w:rFonts w:eastAsia="Andale Sans UI" w:cs="Tahoma"/>
                  <w:szCs w:val="24"/>
                  <w:lang w:bidi="en-US"/>
                </w:rPr>
                <w:t>UAB „Kauno švara“</w:t>
              </w:r>
            </w:p>
            <w:p>
              <w:pPr>
                <w:widowControl w:val="0"/>
                <w:suppressAutoHyphens/>
                <w:ind w:firstLine="567"/>
                <w:jc w:val="both"/>
                <w:rPr>
                  <w:rFonts w:eastAsia="Andale Sans UI" w:cs="Tahoma"/>
                  <w:szCs w:val="24"/>
                  <w:lang w:bidi="en-US"/>
                </w:rPr>
              </w:pPr>
              <w:r>
                <w:rPr>
                  <w:rFonts w:eastAsia="Andale Sans UI" w:cs="Tahoma"/>
                  <w:szCs w:val="24"/>
                  <w:lang w:bidi="en-US"/>
                </w:rPr>
                <w:t>UAB „Raguvilė“</w:t>
              </w:r>
            </w:p>
            <w:p>
              <w:pPr>
                <w:widowControl w:val="0"/>
                <w:suppressAutoHyphens/>
                <w:ind w:firstLine="567"/>
                <w:jc w:val="both"/>
                <w:rPr>
                  <w:rFonts w:eastAsia="Andale Sans UI" w:cs="Tahoma"/>
                  <w:szCs w:val="24"/>
                  <w:lang w:bidi="en-US"/>
                </w:rPr>
              </w:pPr>
              <w:r>
                <w:rPr>
                  <w:rFonts w:eastAsia="Andale Sans UI" w:cs="Tahoma"/>
                  <w:szCs w:val="24"/>
                  <w:lang w:bidi="en-US"/>
                </w:rPr>
                <w:t>UAB „Šilinė“</w:t>
              </w:r>
            </w:p>
            <w:p>
              <w:pPr>
                <w:widowControl w:val="0"/>
                <w:suppressAutoHyphens/>
                <w:ind w:firstLine="567"/>
                <w:jc w:val="both"/>
                <w:rPr>
                  <w:rFonts w:eastAsia="Andale Sans UI" w:cs="Tahoma"/>
                  <w:szCs w:val="24"/>
                  <w:lang w:bidi="en-US"/>
                </w:rPr>
              </w:pPr>
              <w:r>
                <w:rPr>
                  <w:rFonts w:eastAsia="Andale Sans UI" w:cs="Tahoma"/>
                  <w:szCs w:val="24"/>
                  <w:lang w:bidi="en-US"/>
                </w:rPr>
                <w:t>Valstybinei teritorijų planavimo ir statybos inspekcijai prie Aplinkos ministerijos</w:t>
              </w:r>
            </w:p>
            <w:p>
              <w:pPr>
                <w:widowControl w:val="0"/>
                <w:suppressAutoHyphens/>
                <w:ind w:firstLine="567"/>
                <w:jc w:val="both"/>
                <w:rPr>
                  <w:rFonts w:eastAsia="Andale Sans UI" w:cs="Tahoma"/>
                  <w:szCs w:val="24"/>
                  <w:lang w:bidi="en-US"/>
                </w:rPr>
              </w:pPr>
              <w:r>
                <w:rPr>
                  <w:rFonts w:eastAsia="Andale Sans UI" w:cs="Tahoma"/>
                  <w:szCs w:val="24"/>
                  <w:lang w:bidi="en-US"/>
                </w:rPr>
                <w:t>Vilniaus Gedimino technikos universitetui</w:t>
              </w:r>
            </w:p>
            <w:p>
              <w:pPr>
                <w:widowControl w:val="0"/>
                <w:suppressAutoHyphens/>
                <w:ind w:firstLine="567"/>
                <w:jc w:val="both"/>
                <w:rPr>
                  <w:rFonts w:eastAsia="Andale Sans UI" w:cs="Tahoma"/>
                  <w:szCs w:val="24"/>
                  <w:lang w:bidi="en-US"/>
                </w:rPr>
              </w:pPr>
              <w:r>
                <w:rPr>
                  <w:rFonts w:eastAsia="Andale Sans UI" w:cs="Tahoma"/>
                  <w:szCs w:val="24"/>
                  <w:lang w:bidi="en-US"/>
                </w:rPr>
                <w:t>Vilniaus universitetui</w:t>
              </w:r>
            </w:p>
            <w:p>
              <w:pPr>
                <w:widowControl w:val="0"/>
                <w:suppressAutoHyphens/>
                <w:ind w:firstLine="567"/>
                <w:jc w:val="both"/>
                <w:rPr>
                  <w:rFonts w:eastAsia="Andale Sans UI"/>
                  <w:szCs w:val="24"/>
                  <w:lang w:bidi="en-US"/>
                </w:rPr>
              </w:pPr>
              <w:r>
                <w:rPr>
                  <w:rFonts w:eastAsia="Andale Sans UI"/>
                  <w:szCs w:val="24"/>
                  <w:lang w:bidi="en-US"/>
                </w:rPr>
                <w:t>Valstybinei vartotojų teisių apsaugos tarnybai</w:t>
              </w:r>
            </w:p>
            <w:p>
              <w:pPr>
                <w:widowControl w:val="0"/>
                <w:suppressAutoHyphens/>
                <w:ind w:firstLine="567"/>
                <w:jc w:val="both"/>
                <w:rPr>
                  <w:rFonts w:eastAsia="Andale Sans UI"/>
                  <w:szCs w:val="24"/>
                  <w:lang w:bidi="en-US"/>
                </w:rPr>
              </w:pPr>
              <w:r>
                <w:rPr>
                  <w:rFonts w:eastAsia="Andale Sans UI"/>
                  <w:szCs w:val="24"/>
                  <w:lang w:bidi="en-US"/>
                </w:rPr>
                <w:t>VĮ Lietuvos automobilių kelių direkcijai</w:t>
              </w:r>
            </w:p>
            <w:p>
              <w:pPr>
                <w:widowControl w:val="0"/>
                <w:suppressAutoHyphens/>
                <w:ind w:firstLine="567"/>
                <w:jc w:val="both"/>
                <w:rPr>
                  <w:rFonts w:eastAsia="Andale Sans UI"/>
                  <w:szCs w:val="24"/>
                  <w:lang w:bidi="en-US"/>
                </w:rPr>
              </w:pPr>
              <w:r>
                <w:rPr>
                  <w:rFonts w:eastAsia="Andale Sans UI"/>
                  <w:szCs w:val="24"/>
                  <w:lang w:bidi="en-US"/>
                </w:rPr>
                <w:t>VĮ Statybos produkcijos sertifikavimo centrui</w:t>
              </w:r>
            </w:p>
            <w:p>
              <w:pPr>
                <w:widowControl w:val="0"/>
                <w:suppressAutoHyphens/>
                <w:ind w:firstLine="567"/>
                <w:jc w:val="both"/>
                <w:rPr>
                  <w:rFonts w:eastAsia="Andale Sans UI"/>
                  <w:szCs w:val="24"/>
                  <w:lang w:bidi="en-US"/>
                </w:rPr>
              </w:pPr>
              <w:r>
                <w:rPr>
                  <w:rFonts w:eastAsia="Andale Sans UI"/>
                  <w:szCs w:val="24"/>
                  <w:lang w:bidi="en-US"/>
                </w:rPr>
                <w:t>VšĮ „Žiedinė ekonomika“</w:t>
              </w:r>
            </w:p>
            <w:p>
              <w:pPr>
                <w:widowControl w:val="0"/>
                <w:suppressAutoHyphens/>
                <w:ind w:firstLine="567"/>
                <w:jc w:val="both"/>
                <w:rPr>
                  <w:rFonts w:eastAsia="Andale Sans UI" w:cs="Tahoma"/>
                  <w:color w:val="000080"/>
                  <w:szCs w:val="24"/>
                  <w:u w:val="single"/>
                  <w:lang w:bidi="en-US"/>
                </w:rPr>
              </w:pPr>
              <w:r>
                <w:rPr>
                  <w:rFonts w:eastAsia="Andale Sans UI" w:cs="Tahoma"/>
                  <w:szCs w:val="24"/>
                  <w:lang w:bidi="en-US"/>
                </w:rPr>
                <w:t>Žemės ūkio ministerijai</w:t>
              </w:r>
            </w:p>
            <w:p>
              <w:pPr>
                <w:widowControl w:val="0"/>
                <w:suppressAutoHyphens/>
                <w:ind w:firstLine="567"/>
                <w:jc w:val="both"/>
                <w:rPr>
                  <w:rFonts w:eastAsia="Andale Sans UI" w:cs="Tahoma"/>
                  <w:szCs w:val="24"/>
                  <w:lang w:bidi="en-US"/>
                </w:rPr>
              </w:pPr>
              <w:r>
                <w:rPr>
                  <w:rFonts w:eastAsia="Andale Sans UI" w:cs="Tahoma"/>
                  <w:szCs w:val="24"/>
                  <w:lang w:bidi="en-US"/>
                </w:rPr>
                <w:t>Aplinkos ministerijos Taršos prevencijos politikos grupei</w:t>
              </w:r>
            </w:p>
            <w:p>
              <w:pPr>
                <w:widowControl w:val="0"/>
                <w:suppressAutoHyphens/>
                <w:ind w:firstLine="567"/>
                <w:jc w:val="both"/>
                <w:rPr>
                  <w:rFonts w:eastAsia="Andale Sans UI" w:cs="Tahoma"/>
                  <w:szCs w:val="24"/>
                  <w:lang w:bidi="en-US"/>
                </w:rPr>
              </w:pPr>
              <w:r>
                <w:rPr>
                  <w:rFonts w:eastAsia="Andale Sans UI" w:cs="Tahoma"/>
                  <w:szCs w:val="24"/>
                  <w:lang w:bidi="en-US"/>
                </w:rPr>
                <w:t>Aplinkos ministerijos Statybos ir teritorijų planavimo politikos grupei</w:t>
              </w:r>
            </w:p>
            <w:p>
              <w:pPr>
                <w:widowControl w:val="0"/>
                <w:suppressAutoHyphens/>
                <w:ind w:firstLine="567"/>
                <w:jc w:val="both"/>
                <w:rPr>
                  <w:rFonts w:eastAsia="Andale Sans UI" w:cs="Tahoma"/>
                  <w:szCs w:val="24"/>
                  <w:lang w:bidi="en-US"/>
                </w:rPr>
              </w:pPr>
              <w:r>
                <w:rPr>
                  <w:rFonts w:eastAsia="Andale Sans UI" w:cs="Tahoma"/>
                  <w:szCs w:val="24"/>
                  <w:lang w:bidi="en-US"/>
                </w:rPr>
                <w:t xml:space="preserve">Aplinkos ministerijos Aplinkos apsaugos politikos įgyvendinimo koordinavimo grupei </w:t>
              </w:r>
            </w:p>
            <w:p>
              <w:pPr>
                <w:widowControl w:val="0"/>
                <w:suppressAutoHyphens/>
                <w:ind w:firstLine="567"/>
                <w:jc w:val="both"/>
                <w:rPr>
                  <w:rFonts w:eastAsia="Andale Sans UI" w:cs="Tahoma"/>
                  <w:b/>
                  <w:szCs w:val="24"/>
                  <w:lang w:bidi="en-US"/>
                </w:rPr>
              </w:pPr>
              <w:r>
                <w:rPr>
                  <w:rFonts w:eastAsia="Andale Sans UI" w:cs="Tahoma"/>
                  <w:szCs w:val="24"/>
                  <w:lang w:bidi="en-US"/>
                </w:rPr>
                <w:t>Aplinkos ministerijos duomenų apsaugos pareigūnui Mykolui Okulič-Kazarinui</w:t>
              </w:r>
            </w:p>
            <w:p>
              <w:pPr>
                <w:widowControl w:val="0"/>
                <w:suppressAutoHyphens/>
                <w:ind w:firstLine="567"/>
                <w:jc w:val="both"/>
                <w:rPr>
                  <w:rFonts w:eastAsia="Andale Sans UI" w:cs="Tahoma"/>
                  <w:b/>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134" w:right="567" w:bottom="851"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Yu Gothic"/>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Lietuvos Respublikos aplinkos ministro įsakymo „Dėl Lietuvos Respublikos aplinkos ministro 2016 m. lapkričio 25 d. įsakymo Nr. D1-805 „Dėl Atliekų deginimo įrenginiuose ir bendro atliekų deginimo įrenginiuose susidariusių pelenų ir šlako tvarkymo reikalavimų patvirtinimo“ pakeitimo“ </w:t>
      </w:r>
      <w:r>
        <w:rPr>
          <w:rFonts w:eastAsia="Andale Sans UI" w:cs="Tahoma"/>
          <w:bCs/>
          <w:sz w:val="20"/>
          <w:lang w:bidi="en-US"/>
        </w:rPr>
        <w:t xml:space="preserve">projektas buvo pateiktas derinti suinteresuotoms pusėms            2021-02-13, su pateiktu teisės akto projektu galite susipažinti Lietuvos Respublikos Seimo teisės aktų informacinės sistemos Projektų registravimo posistemyje, registracijos Nr. 21-19191.</w:t>
      </w:r>
    </w:p>
  </w:footnote>
  <w:footnote w:id="2">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cs="Tahoma"/>
          <w:bCs/>
          <w:iCs/>
          <w:sz w:val="20"/>
          <w:lang w:bidi="en-US"/>
        </w:rPr>
        <w:t xml:space="preserve">Taršos leidimų išdavimo, pakeitimo ir galiojimo panaikinimo taisyklės, patvirtintos  Lietuvos Respublikos aplinkos ministro 2014 m. kovo 6 d. įsakymu Nr. D1-259 „Dėl Taršos leidimų išdavimo, pakeitimo ir galiojimo panaikinimo taisyklių patvirtinimo“.</w:t>
      </w:r>
    </w:p>
  </w:footnote>
  <w:footnote w:id="3">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cs="Tahoma"/>
          <w:bCs/>
          <w:iCs/>
          <w:sz w:val="20"/>
          <w:lang w:bidi="en-US"/>
        </w:rPr>
        <w:t>Taršos integruotos prevencijos ir kontrolės leidimų išdavimo, pakeitimo ir galiojimo panaikinimo taisyklės , patvirtintomis Lietuvos Respublikos aplinkos ministro 2013 m. liepos 15 d. įsakymu Nr. D1-528 „Dėl Taršos integruotos prevencijos ir kontrolės leidimų išdavimo, pakeitimo ir galiojimo panaikinimo taisyklių patvirtinimo“.</w:t>
      </w:r>
    </w:p>
  </w:footnote>
  <w:footnote w:id="4">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Atliekų tvarkymo įstatymo 3</w:t>
      </w:r>
      <w:r>
        <w:rPr>
          <w:rFonts w:eastAsia="Andale Sans UI" w:cs="Tahoma"/>
          <w:sz w:val="20"/>
          <w:vertAlign w:val="superscript"/>
          <w:lang w:bidi="en-US"/>
        </w:rPr>
        <w:t>2</w:t>
      </w:r>
      <w:r>
        <w:rPr>
          <w:rFonts w:eastAsia="Andale Sans UI" w:cs="Tahoma"/>
          <w:sz w:val="20"/>
          <w:lang w:bidi="en-US"/>
        </w:rPr>
        <w:t xml:space="preserve"> straipsnio 2 dalis.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6385"/>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9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99918025">
      <w:bodyDiv w:val="1"/>
      <w:marLeft w:val="0"/>
      <w:marRight w:val="0"/>
      <w:marTop w:val="0"/>
      <w:marBottom w:val="0"/>
      <w:divBdr>
        <w:top w:val="none" w:sz="0" w:space="0" w:color="auto"/>
        <w:left w:val="none" w:sz="0" w:space="0" w:color="auto"/>
        <w:bottom w:val="none" w:sz="0" w:space="0" w:color="auto"/>
        <w:right w:val="none" w:sz="0" w:space="0" w:color="auto"/>
      </w:divBdr>
    </w:div>
    <w:div w:id="699160186">
      <w:bodyDiv w:val="1"/>
      <w:marLeft w:val="0"/>
      <w:marRight w:val="0"/>
      <w:marTop w:val="0"/>
      <w:marBottom w:val="0"/>
      <w:divBdr>
        <w:top w:val="none" w:sz="0" w:space="0" w:color="auto"/>
        <w:left w:val="none" w:sz="0" w:space="0" w:color="auto"/>
        <w:bottom w:val="none" w:sz="0" w:space="0" w:color="auto"/>
        <w:right w:val="none" w:sz="0" w:space="0" w:color="auto"/>
      </w:divBdr>
      <w:divsChild>
        <w:div w:id="1099326662">
          <w:marLeft w:val="0"/>
          <w:marRight w:val="0"/>
          <w:marTop w:val="0"/>
          <w:marBottom w:val="0"/>
          <w:divBdr>
            <w:top w:val="none" w:sz="0" w:space="0" w:color="auto"/>
            <w:left w:val="none" w:sz="0" w:space="0" w:color="auto"/>
            <w:bottom w:val="none" w:sz="0" w:space="0" w:color="auto"/>
            <w:right w:val="none" w:sz="0" w:space="0" w:color="auto"/>
          </w:divBdr>
          <w:divsChild>
            <w:div w:id="369427231">
              <w:marLeft w:val="0"/>
              <w:marRight w:val="0"/>
              <w:marTop w:val="0"/>
              <w:marBottom w:val="0"/>
              <w:divBdr>
                <w:top w:val="none" w:sz="0" w:space="0" w:color="auto"/>
                <w:left w:val="none" w:sz="0" w:space="0" w:color="auto"/>
                <w:bottom w:val="none" w:sz="0" w:space="0" w:color="auto"/>
                <w:right w:val="none" w:sz="0" w:space="0" w:color="auto"/>
              </w:divBdr>
              <w:divsChild>
                <w:div w:id="1945382495">
                  <w:marLeft w:val="0"/>
                  <w:marRight w:val="0"/>
                  <w:marTop w:val="0"/>
                  <w:marBottom w:val="0"/>
                  <w:divBdr>
                    <w:top w:val="none" w:sz="0" w:space="0" w:color="auto"/>
                    <w:left w:val="none" w:sz="0" w:space="0" w:color="auto"/>
                    <w:bottom w:val="none" w:sz="0" w:space="0" w:color="auto"/>
                    <w:right w:val="none" w:sz="0" w:space="0" w:color="auto"/>
                  </w:divBdr>
                  <w:divsChild>
                    <w:div w:id="2066224015">
                      <w:marLeft w:val="0"/>
                      <w:marRight w:val="0"/>
                      <w:marTop w:val="0"/>
                      <w:marBottom w:val="0"/>
                      <w:divBdr>
                        <w:top w:val="none" w:sz="0" w:space="0" w:color="auto"/>
                        <w:left w:val="none" w:sz="0" w:space="0" w:color="auto"/>
                        <w:bottom w:val="none" w:sz="0" w:space="0" w:color="auto"/>
                        <w:right w:val="none" w:sz="0" w:space="0" w:color="auto"/>
                      </w:divBdr>
                      <w:divsChild>
                        <w:div w:id="17268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8876267">
      <w:bodyDiv w:val="1"/>
      <w:marLeft w:val="0"/>
      <w:marRight w:val="0"/>
      <w:marTop w:val="0"/>
      <w:marBottom w:val="0"/>
      <w:divBdr>
        <w:top w:val="none" w:sz="0" w:space="0" w:color="auto"/>
        <w:left w:val="none" w:sz="0" w:space="0" w:color="auto"/>
        <w:bottom w:val="none" w:sz="0" w:space="0" w:color="auto"/>
        <w:right w:val="none" w:sz="0" w:space="0" w:color="auto"/>
      </w:divBdr>
    </w:div>
    <w:div w:id="1718309095">
      <w:bodyDiv w:val="1"/>
      <w:marLeft w:val="0"/>
      <w:marRight w:val="0"/>
      <w:marTop w:val="0"/>
      <w:marBottom w:val="0"/>
      <w:divBdr>
        <w:top w:val="none" w:sz="0" w:space="0" w:color="auto"/>
        <w:left w:val="none" w:sz="0" w:space="0" w:color="auto"/>
        <w:bottom w:val="none" w:sz="0" w:space="0" w:color="auto"/>
        <w:right w:val="none" w:sz="0" w:space="0" w:color="auto"/>
      </w:divBdr>
    </w:div>
    <w:div w:id="1828744634">
      <w:bodyDiv w:val="1"/>
      <w:marLeft w:val="0"/>
      <w:marRight w:val="0"/>
      <w:marTop w:val="0"/>
      <w:marBottom w:val="0"/>
      <w:divBdr>
        <w:top w:val="none" w:sz="0" w:space="0" w:color="auto"/>
        <w:left w:val="none" w:sz="0" w:space="0" w:color="auto"/>
        <w:bottom w:val="none" w:sz="0" w:space="0" w:color="auto"/>
        <w:right w:val="none" w:sz="0" w:space="0" w:color="auto"/>
      </w:divBdr>
    </w:div>
    <w:div w:id="1940333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Jovita Surdokienė</DisplayName>
        <AccountId>175</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3be3d2c9e9a84d65a3fe8a27e1b3b975" PartId="92f8213ec4624d6284b0ebd72da5c8e6">
    <Part Type="skirsnis" Title="DĖL ATLIEKŲ DEGINIMO ĮRENGINIUOSE IR BENDRO ATLIEKŲ DEGINIMO ĮRENGINIUOSE SUSIDARIUSIŲ NEPAVOJINGŲJŲ PELENŲ IR ŠLAKO TVARKYMO REIKALAVIMŲ" DocPartId="60579643c8824577a63d1e1def246229" PartId="5878f9d0cfc640329b450ba6511bf40e">
      <Part Type="punktas" Nr="1" Abbr="1 p." DocPartId="6db929fe3cb547e9bc32f6f63de8ef9b" PartId="88bb72f66fce46c59fb5ee3e6ae1bfd4"/>
      <Part Type="punktas" Nr="2" Abbr="2 p." DocPartId="2064e4729a5c435fa2f1b0821b649e9f" PartId="6950c03302fa460fa3f1d59213fea005"/>
      <Part Type="punktas" Nr="3" Abbr="3 p." DocPartId="09a28d9d5000409bb5d6950bbf3f9937" PartId="82a77b17537246a1a1c9c7c97e5dd689"/>
    </Part>
  </Part>
  <Part Type="lentele" DocPartId="0a6fe8364480414f9e3014689a1bddb8" PartId="c49fea563d884cf7a3d23e89135dd82c"/>
  <Part Type="pastraipa" DocPartId="4de42825b1d6469c9facb89413dae555" PartId="94c6c45f5c9c45acac6ad85a29c60cc5">
    <Part Type="skirsnis" Title="Adresatų sąrašas:" DocPartId="555e1cb1fd45403a88c104890e0f38c1" PartId="704e73957d704d8bbad8eee8464e7754"/>
  </Part>
</Parts>
</file>

<file path=customXml/itemProps1.xml><?xml version="1.0" encoding="utf-8"?>
<ds:datastoreItem xmlns:ds="http://schemas.openxmlformats.org/officeDocument/2006/customXml" ds:itemID="{6027E5CC-2674-4985-A45D-D1AF8E9848F0}">
  <ds:schemaRefs>
    <ds:schemaRef ds:uri="http://schemas.microsoft.com/sharepoint/v3/contenttype/forms"/>
  </ds:schemaRefs>
</ds:datastoreItem>
</file>

<file path=customXml/itemProps2.xml><?xml version="1.0" encoding="utf-8"?>
<ds:datastoreItem xmlns:ds="http://schemas.openxmlformats.org/officeDocument/2006/customXml" ds:itemID="{3F7AB916-F337-43B1-A96D-D7E97C167657}">
  <ds:schemaRefs>
    <ds:schemaRef ds:uri="http://purl.org/dc/elements/1.1/"/>
    <ds:schemaRef ds:uri="http://schemas.openxmlformats.org/package/2006/metadata/core-properties"/>
    <ds:schemaRef ds:uri="http://schemas.microsoft.com/sharepoint/v3"/>
    <ds:schemaRef ds:uri="http://purl.org/dc/terms/"/>
    <ds:schemaRef ds:uri="http://schemas.microsoft.com/office/2006/documentManagement/types"/>
    <ds:schemaRef ds:uri="f5aad5d0-9c26-490e-8743-a6c7ceabd501"/>
    <ds:schemaRef ds:uri="http://schemas.microsoft.com/office/infopath/2007/PartnerControls"/>
    <ds:schemaRef ds:uri="19cf09c5-daa1-4028-a0ff-74a0be4ec5cc"/>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9586136E-BE3A-4585-83AB-A1D6D3F55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AEDCD5-6A40-4D25-9204-2CBAD35AE9C1}">
  <ds:schemaRefs>
    <ds:schemaRef ds:uri="http://schemas.openxmlformats.org/officeDocument/2006/bibliography"/>
  </ds:schemaRefs>
</ds:datastoreItem>
</file>

<file path=customXml/itemProps5.xml><?xml version="1.0" encoding="utf-8"?>
<ds:datastoreItem xmlns:ds="http://schemas.openxmlformats.org/officeDocument/2006/customXml" ds:itemID="{E32859C4-E997-44E7-A4ED-11258947B6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811</Words>
  <Characters>6024</Characters>
  <Application>Microsoft Office Word</Application>
  <DocSecurity>4</DocSecurity>
  <Lines>158</Lines>
  <Paragraphs>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6750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2021-07-08T05:37:00Z</dcterms:created>
  <dcterms:modified xsi:type="dcterms:W3CDTF">2021-07-08T05:37:00Z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