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fd3122a796c4c6f8085ff692a2410aa"/>
        <w:lock w:val="sdtLocked"/>
        <w:richText/>
      </w:sdtPr>
      <w:sdtContent>
        <w:p w14:paraId="6EF47A31" w14:textId="77777777">
          <w:pPr>
            <w:framePr w:hSpace="180" w:wrap="auto" w:vAnchor="text" w:hAnchor="page" w:x="5728" w:y="-61"/>
            <w:tabs>
              <w:tab w:val="center" w:pos="4153"/>
              <w:tab w:val="right" w:pos="8306"/>
            </w:tabs>
            <w:overflowPunct w:val="0"/>
            <w:textAlignment w:val="baseline"/>
            <w:rPr>
              <w:lang w:eastAsia="lt-LT"/>
            </w:rPr>
          </w:pPr>
        </w:p>
        <w:p w14:paraId="601C7B2A" w14:textId="77777777">
          <w:pPr>
            <w:framePr w:hSpace="180" w:wrap="auto" w:vAnchor="text" w:hAnchor="page" w:x="5728" w:y="-61"/>
            <w:overflowPunct w:val="0"/>
            <w:jc w:val="both"/>
            <w:textAlignment w:val="baseline"/>
            <w:rPr>
              <w:sz w:val="8"/>
              <w:lang w:eastAsia="lt-LT"/>
            </w:rPr>
          </w:pPr>
          <w:r>
            <w:rPr>
              <w:sz w:val="8"/>
              <w:lang w:val="en-US"/>
            </w:rPr>
            <w:drawing>
              <wp:inline distT="0" distB="0" distL="0" distR="0" wp14:anchorId="54C308FF" wp14:editId="593CF733">
                <wp:extent cx="1059180" cy="723900"/>
                <wp:effectExtent l="0" t="0" r="7620" b="0"/>
                <wp:docPr id="1" name="Paveikslėlis 1" descr="LOGOnespalv-maz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nespalv-maz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059180" cy="723900"/>
                        </a:xfrm>
                        <a:prstGeom prst="rect">
                          <a:avLst/>
                        </a:prstGeom>
                        <a:noFill/>
                        <a:ln>
                          <a:noFill/>
                        </a:ln>
                      </pic:spPr>
                    </pic:pic>
                  </a:graphicData>
                </a:graphic>
              </wp:inline>
            </w:drawing>
          </w:r>
        </w:p>
        <w:p w14:paraId="3FADF344" w14:textId="77777777">
          <w:pPr>
            <w:overflowPunct w:val="0"/>
            <w:jc w:val="both"/>
            <w:textAlignment w:val="baseline"/>
            <w:rPr>
              <w:lang w:eastAsia="lt-LT"/>
            </w:rPr>
          </w:pPr>
        </w:p>
        <w:p w14:paraId="0F5A5EF5" w14:textId="77777777">
          <w:pPr>
            <w:overflowPunct w:val="0"/>
            <w:jc w:val="both"/>
            <w:textAlignment w:val="baseline"/>
            <w:rPr>
              <w:lang w:eastAsia="lt-LT"/>
            </w:rPr>
          </w:pPr>
        </w:p>
        <w:p w14:paraId="18F99C05" w14:textId="77777777">
          <w:pPr>
            <w:framePr w:w="9921" w:h="754" w:hSpace="181" w:wrap="notBeside" w:vAnchor="text" w:hAnchor="page" w:x="1551" w:y="647" w:anchorLock="1"/>
            <w:overflowPunct w:val="0"/>
            <w:jc w:val="center"/>
            <w:textAlignment w:val="baseline"/>
            <w:rPr>
              <w:b/>
              <w:szCs w:val="24"/>
              <w:lang w:eastAsia="lt-LT"/>
            </w:rPr>
          </w:pPr>
          <w:r>
            <w:rPr>
              <w:b/>
              <w:szCs w:val="24"/>
              <w:lang w:eastAsia="lt-LT"/>
            </w:rPr>
            <w:t xml:space="preserve">LIETUVOS RESPUBLIKOS ŽEMĖS ŪKIO MINISTERIJOS </w:t>
          </w:r>
        </w:p>
        <w:p w14:paraId="3AE33C71" w14:textId="77777777">
          <w:pPr>
            <w:framePr w:w="9921" w:h="754" w:hSpace="181" w:wrap="notBeside" w:vAnchor="text" w:hAnchor="page" w:x="1551" w:y="647" w:anchorLock="1"/>
            <w:overflowPunct w:val="0"/>
            <w:jc w:val="center"/>
            <w:textAlignment w:val="baseline"/>
            <w:rPr>
              <w:b/>
              <w:szCs w:val="24"/>
              <w:lang w:eastAsia="lt-LT"/>
            </w:rPr>
          </w:pPr>
          <w:r>
            <w:rPr>
              <w:b/>
              <w:szCs w:val="24"/>
              <w:lang w:eastAsia="lt-LT"/>
            </w:rPr>
            <w:t>TVARIOS ŽEMĖS ŪKIO GAMYBOS IR MAISTO PRAMONĖS DEPARTAMENTAS</w:t>
          </w:r>
        </w:p>
        <w:p w14:paraId="3A927F9C" w14:textId="77777777">
          <w:pPr>
            <w:overflowPunct w:val="0"/>
            <w:jc w:val="both"/>
            <w:textAlignment w:val="baseline"/>
            <w:rPr>
              <w:lang w:eastAsia="lt-LT"/>
            </w:rPr>
          </w:pPr>
        </w:p>
        <w:p w14:paraId="2136653B" w14:textId="77777777">
          <w:pPr>
            <w:framePr w:w="9185" w:h="1077" w:hSpace="181" w:wrap="notBeside" w:vAnchor="text" w:hAnchor="page" w:x="2169" w:y="1099"/>
            <w:overflowPunct w:val="0"/>
            <w:jc w:val="center"/>
            <w:textAlignment w:val="baseline"/>
            <w:rPr>
              <w:b/>
              <w:lang w:eastAsia="lt-LT"/>
            </w:rPr>
          </w:pPr>
          <w:r>
            <w:rPr>
              <w:b/>
              <w:lang w:eastAsia="lt-LT"/>
            </w:rPr>
            <w:t xml:space="preserve">AIŠKINAMASIS RAŠTAS </w:t>
          </w:r>
        </w:p>
        <w:p w14:paraId="54C31566" w14:textId="05DEFB15">
          <w:pPr>
            <w:framePr w:w="9185" w:h="1077" w:hSpace="181" w:wrap="notBeside" w:vAnchor="text" w:hAnchor="page" w:x="2169" w:y="1099"/>
            <w:overflowPunct w:val="0"/>
            <w:jc w:val="center"/>
            <w:textAlignment w:val="baseline"/>
            <w:rPr>
              <w:b/>
              <w:bCs/>
              <w:caps/>
              <w:lang w:eastAsia="lt-LT"/>
            </w:rPr>
          </w:pPr>
          <w:r>
            <w:rPr>
              <w:b/>
              <w:caps/>
              <w:lang w:eastAsia="lt-LT"/>
            </w:rPr>
            <w:t xml:space="preserve">Dėl </w:t>
          </w:r>
          <w:r>
            <w:rPr>
              <w:b/>
              <w:bCs/>
              <w:lang w:eastAsia="lt-LT"/>
            </w:rPr>
            <w:t xml:space="preserve">2023 M. EUROPOS SĄJUNGOS </w:t>
          </w:r>
          <w:r>
            <w:rPr>
              <w:b/>
              <w:bCs/>
              <w:szCs w:val="24"/>
              <w:lang w:eastAsia="lt-LT"/>
            </w:rPr>
            <w:t xml:space="preserve">PARAMOS PIENO GAMINTOJAMS EKONOMINIAM GYVYBINGUMUI IŠSAUGOTI ADMINISTRAVIMO </w:t>
          </w:r>
          <w:r>
            <w:rPr>
              <w:b/>
              <w:bCs/>
              <w:lang w:eastAsia="lt-LT"/>
            </w:rPr>
            <w:t>TAISYKLIŲ PATVIRTINIMO</w:t>
          </w:r>
        </w:p>
        <w:p w14:paraId="3ED64EF1" w14:textId="187DB69B">
          <w:pPr>
            <w:keepNext/>
            <w:framePr w:w="9185" w:h="1077" w:hSpace="181" w:wrap="notBeside" w:vAnchor="text" w:hAnchor="page" w:x="2169" w:y="1099"/>
            <w:shd w:val="solid" w:color="FFFFFF" w:fill="FFFFFF"/>
            <w:overflowPunct w:val="0"/>
            <w:jc w:val="center"/>
            <w:textAlignment w:val="baseline"/>
            <w:rPr>
              <w:b/>
              <w:szCs w:val="24"/>
              <w:lang w:eastAsia="lt-LT"/>
            </w:rPr>
          </w:pPr>
        </w:p>
        <w:p w14:paraId="3E9F4A78" w14:textId="77777777">
          <w:pPr>
            <w:framePr w:w="9185" w:h="1077" w:hSpace="181" w:wrap="notBeside" w:vAnchor="text" w:hAnchor="page" w:x="2169" w:y="1099"/>
            <w:overflowPunct w:val="0"/>
            <w:jc w:val="center"/>
            <w:textAlignment w:val="baseline"/>
            <w:rPr>
              <w:b/>
              <w:lang w:eastAsia="lt-LT"/>
            </w:rPr>
          </w:pPr>
        </w:p>
        <w:p w14:paraId="7FF8AC0A" w14:textId="77777777">
          <w:pPr>
            <w:framePr w:w="9185" w:h="1077" w:hSpace="181" w:wrap="notBeside" w:vAnchor="text" w:hAnchor="page" w:x="2169" w:y="1099"/>
            <w:overflowPunct w:val="0"/>
            <w:spacing w:line="360" w:lineRule="auto"/>
            <w:textAlignment w:val="baseline"/>
            <w:rPr>
              <w:sz w:val="20"/>
              <w:lang w:eastAsia="lt-LT"/>
            </w:rPr>
          </w:pPr>
          <w:r>
            <w:rPr>
              <w:rFonts w:ascii="TimesLT" w:hAnsi="TimesLT"/>
              <w:sz w:val="20"/>
              <w:lang w:val="en-US"/>
            </w:rPr>
            <mc:AlternateContent>
              <mc:Choice Requires="wps">
                <w:drawing>
                  <wp:anchor distT="0" distB="0" distL="114300" distR="114300" simplePos="0" relativeHeight="251657216" behindDoc="0" locked="0" layoutInCell="1" allowOverlap="1" wp14:anchorId="12E45432" wp14:editId="5C7EAE85">
                    <wp:simplePos x="0" y="0"/>
                    <wp:positionH relativeFrom="column">
                      <wp:posOffset>1583690</wp:posOffset>
                    </wp:positionH>
                    <wp:positionV relativeFrom="paragraph">
                      <wp:posOffset>131445</wp:posOffset>
                    </wp:positionV>
                    <wp:extent cx="1143000" cy="200025"/>
                    <wp:effectExtent l="0" t="0" r="0" b="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0" cy="200025"/>
                            </a:xfrm>
                            <a:prstGeom prst="rect">
                              <a:avLst/>
                            </a:prstGeom>
                            <a:solidFill>
                              <a:srgbClr val="FFFFFF"/>
                            </a:solidFill>
                            <a:ln w="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426576B" w14:textId="2BFFB37B">
                                <w:pPr>
                                  <w:overflowPunct w:val="0"/>
                                  <w:textAlignment w:val="baseline"/>
                                  <w:rPr>
                                    <w:lang w:val="en-US" w:eastAsia="lt-LT"/>
                                  </w:rPr>
                                </w:pPr>
                                <w:r>
                                  <w:rPr>
                                    <w:lang w:eastAsia="lt-LT"/>
                                  </w:rPr>
                                  <w:t>202</w:t>
                                </w:r>
                                <w:r>
                                  <w:rPr>
                                    <w:lang w:val="en-US" w:eastAsia="lt-LT"/>
                                  </w:rPr>
                                  <w:t>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E45432" id="Rectangle 2" o:spid="_x0000_s1026" style="position:absolute;margin-left:124.7pt;margin-top:10.35pt;width:90pt;height:15.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fmn4FqgIAAIIFAAAOAAAAZHJzL2Uyb0RvYy54bWysVN9v0zAQfkfif7D83iXpj7VETae2axHS gImBeHZtJ7Fw7GC7TQbif+fsNFlhL2iilaI7+/z5u7vPt7xpK4lO3FihVYaTqxgjrqhmQhUZ/vJ5 P1pgZB1RjEiteIYfucU3q9evlk2d8rEutWTcIABRNm3qDJfO1WkUWVryitgrXXMFm7k2FXHgmiJi hjSAXsloHMfXUaMNq42m3FpYve028Srg5zmn7mOeW+6QzDBwc+Frwvfgv9FqSdLCkLoU9EyDvIBF RYSCSweoW+IIOhrxDKoS1Girc3dFdRXpPBeUhxwgmyT+K5uHktQ85ALFsfVQJvv/YOmH071BgmV4 gpEiFbToExSNqEJyNPblaWqbQtRDfW98gra+0/SbRUpvS4jia2N0U3LCgFTi46M/DnjHwlF0aN5r Bujk6HSoVJubygNCDVAbGvI4NIS3DlFYTJLpJI6hbxT2oN3xeBauIGl/ujbWveW6Qt7IsAHuAZ2c 7qzzbEjahwT2Wgq2F1IGxxSHrTToREAc+/A7o9vLMKlQ45m99HwlHEhciirDC0gB0gmi8zXbKRZs R4TsbOArlb+JB/F2SYDXOjDDOpQmCOvnej+L59PJYjSfzyaj6WQXjzaL/Xa03ibX1/PdZrvZJb88 62SaloIxrnYB0/Y6T6b/pqPzi+sUOih9IOhZ6SPk+FCyBjHh+zCZvRknGBx4auN5lzUisoAZQZ3B yGj3VbgyCHyo7WU7FrH/n9sxoId+XlwcPcuti2ihVFDJvmpBkl6FnZpde2ih7F6aB80eQZxAx7Pw gwyMUpsfGDUwFDJsvx+J4RjJdwoE7idIb5jeOPQGURSOZthh1Jlb102aY21EUQJyEkSk9BoeQS6C Pp9YAGXvwEMP5M9DyU+SSz9EPY3O1W8AAAD//wMAUEsDBBQABgAIAAAAIQAoA8cD3wAAAAkBAAAP AAAAZHJzL2Rvd25yZXYueG1sTI89T8MwEIZ3JP6DdUhs1MYKFEKcCiExINGBpEJic+MjTojPaey2 4d/jTmW7j0fvPVesZjewA06h86TgdiGAITXedNQq2NSvNw/AQtRk9OAJFfxigFV5eVHo3PgjfeCh ii1LIRRyrcDGOOach8ai02HhR6S0+/aT0zG1U8vNpI8p3A1cCnHPne4oXbB6xBeLzU+1dwr63fpr LTbvfV0tbfP2ueu9c7VS11fz8xOwiHM8w3DST+pQJqet35MJbFAgs8csoakQS2AJyORpsFVwJyXw suD/Pyj/AAAA//8DAFBLAQItABQABgAIAAAAIQC2gziS/gAAAOEBAAATAAAAAAAAAAAAAAAAAAAA AABbQ29udGVudF9UeXBlc10ueG1sUEsBAi0AFAAGAAgAAAAhADj9If/WAAAAlAEAAAsAAAAAAAAA AAAAAAAALwEAAF9yZWxzLy5yZWxzUEsBAi0AFAAGAAgAAAAhAN+afgWqAgAAggUAAA4AAAAAAAAA AAAAAAAALgIAAGRycy9lMm9Eb2MueG1sUEsBAi0AFAAGAAgAAAAhACgDxwPfAAAACQEAAA8AAAAA AAAAAAAAAAAABAUAAGRycy9kb3ducmV2LnhtbFBLBQYAAAAABAAEAPMAAAAQBgAAAAA= " strokecolor="white" strokeweight="0">
                    <v:textbox inset="0,0,0,0">
                      <w:txbxContent>
                        <w:p w14:paraId="7426576B" w14:textId="2BFFB37B">
                          <w:pPr>
                            <w:overflowPunct w:val="0"/>
                            <w:textAlignment w:val="baseline"/>
                            <w:rPr>
                              <w:rFonts w:ascii="Times New Roman" w:hAnsi="Times New Roman" w:eastAsia="Times New Roman" w:cs="Times New Roman"/>
                              <w:lang w:val="en-US" w:eastAsia="lt-LT"/>
                            </w:rPr>
                          </w:pPr>
                          <w:r>
                            <w:rPr>
                              <w:rFonts w:ascii="Times New Roman" w:hAnsi="Times New Roman" w:eastAsia="Times New Roman" w:cs="Times New Roman"/>
                              <w:lang w:eastAsia="lt-LT"/>
                            </w:rPr>
                            <w:t>202</w:t>
                          </w:r>
                          <w:r>
                            <w:rPr>
                              <w:rFonts w:ascii="Times New Roman" w:hAnsi="Times New Roman" w:eastAsia="Times New Roman" w:cs="Times New Roman"/>
                              <w:lang w:val="en-US" w:eastAsia="lt-LT"/>
                            </w:rPr>
                            <w:t>3-</w:t>
                          </w:r>
                        </w:p>
                      </w:txbxContent>
                    </v:textbox>
                  </v:rect>
                </w:pict>
              </mc:Fallback>
            </mc:AlternateContent>
            <mc:AlternateContent>
              <mc:Choice Requires="wps">
                <w:drawing>
                  <wp:anchor distT="0" distB="0" distL="114300" distR="114300" simplePos="0" relativeHeight="251658240" behindDoc="0" locked="0" layoutInCell="1" allowOverlap="1" wp14:anchorId="02FA128A" wp14:editId="4EA5F307">
                    <wp:simplePos x="0" y="0"/>
                    <wp:positionH relativeFrom="column">
                      <wp:posOffset>3180080</wp:posOffset>
                    </wp:positionH>
                    <wp:positionV relativeFrom="paragraph">
                      <wp:posOffset>127635</wp:posOffset>
                    </wp:positionV>
                    <wp:extent cx="1028700" cy="196215"/>
                    <wp:effectExtent l="0" t="0" r="0" b="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196215"/>
                            </a:xfrm>
                            <a:prstGeom prst="rect">
                              <a:avLst/>
                            </a:prstGeom>
                            <a:solidFill>
                              <a:srgbClr val="FFFFFF"/>
                            </a:solidFill>
                            <a:ln w="0">
                              <a:solidFill>
                                <a:srgbClr val="FFFFFF"/>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ACBFB4F" w14:textId="77777777">
                                <w:pPr>
                                  <w:overflowPunct w:val="0"/>
                                  <w:textAlignment w:val="baseline"/>
                                  <w:rPr>
                                    <w:szCs w:val="24"/>
                                    <w:lang w:eastAsia="lt-LT"/>
                                  </w:rPr>
                                </w:pPr>
                                <w:r>
                                  <w:rPr>
                                    <w:szCs w:val="24"/>
                                    <w:lang w:eastAsia="lt-LT"/>
                                  </w:rPr>
                                  <w:t>21D-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FA128A" id="Rectangle 3" o:spid="_x0000_s1027" style="position:absolute;margin-left:250.4pt;margin-top:10.05pt;width:81pt;height:15.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mzuWmrQIAAIkFAAAOAAAAZHJzL2Uyb0RvYy54bWysVG1v0zAQ/o7Ef7D8vctLXxctnbquRUgD Jgbis2s7jYVjB9ttsiH+O2enyQr7giYSKbqLz4+fu3t8V9dtJdGRGyu0ynFyEWPEFdVMqH2Ov37Z jhYYWUcUI1IrnuNHbvH18u2bq6bOeKpLLRk3CECUzZo6x6VzdRZFlpa8IvZC11zBYqFNRRy4Zh8x QxpAr2SUxvEsarRhtdGUWwt/b7tFvAz4RcGp+1QUljskcwzcXPia8N35b7S8ItnekLoU9ESDvIJF RYSCQweoW+IIOhjxAqoS1GirC3dBdRXpohCUhxwgmyT+K5uHktQ85ALFsfVQJvv/YOnH471BguU4 xUiRClr0GYpG1F5yNPblaWqbQdRDfW98gra+0/S7RUqvS4jiK2N0U3LCgFTi46M/NnjHwla0az5o Bujk4HSoVFuYygNCDVAbGvI4NIS3DlH4mcTpYh5D3yisJZezNJmGI0jW766Nde+4rpA3cmyAe0An xzvrPBuS9SGBvZaCbYWUwTH73VoadCQgjm14Tuj2PEwq1Hhmr91fCQcSl6LK8SL2jz+EZL5mG8WC 7YiQnQ18pfLLPIi3SwK81oEZ/kNpgrB+rrbTeD4ZL0bz+XQ8mow38ehmsV2PVutkNptvbtY3m+SX Z51MslIwxtUmYNpe58nk33R0unGdQgelDwQ9K32AHB9K1iAmfB/G08s0weDAVUuhgz5rROQeZgR1 BiOj3TfhyiDwobbn7VjE/j21Y0AP/Tw7OHqRWxfRQqmgkn3VgiS9Cjs1u3bXBskHvXqF7jR7BI0C K0/GzzMwSm2eMGpgNuTY/jgQwzGS7xXo3A+S3jC9sesNoihszbGDjIO5dt3AOdRG7EtAToKWlF7B XShEkOkzC2DuHbjvIYfTbPID5dwPUc8TdPkbAAD//wMAUEsDBBQABgAIAAAAIQBrSq7u3wAAAAkB AAAPAAAAZHJzL2Rvd25yZXYueG1sTI/NTsMwEITvSLyDtUjcqJ1IBBTiVBUSByR6IKmQuLnxkp/G 6zR22/D2LCc4zs5o5ttivbhRnHEOvScNyUqBQGq87anVsKtf7h5BhGjImtETavjGAOvy+qowufUX esdzFVvBJRRyo6GLccqlDE2HzoSVn5DY+/KzM5Hl3Eo7mwuXu1GmSmXSmZ54oTMTPnfYHKqT0zAc t59btXsb6uqha14/joN3rtb69mbZPIGIuMS/MPziMzqUzLT3J7JBjBrulWL0qCFVCQgOZFnKhz07 iQJZFvL/B+UPAAAA//8DAFBLAQItABQABgAIAAAAIQC2gziS/gAAAOEBAAATAAAAAAAAAAAAAAAA AAAAAABbQ29udGVudF9UeXBlc10ueG1sUEsBAi0AFAAGAAgAAAAhADj9If/WAAAAlAEAAAsAAAAA AAAAAAAAAAAALwEAAF9yZWxzLy5yZWxzUEsBAi0AFAAGAAgAAAAhAGbO5aatAgAAiQUAAA4AAAAA AAAAAAAAAAAALgIAAGRycy9lMm9Eb2MueG1sUEsBAi0AFAAGAAgAAAAhAGtKru7fAAAACQEAAA8A AAAAAAAAAAAAAAAABwUAAGRycy9kb3ducmV2LnhtbFBLBQYAAAAABAAEAPMAAAATBgAAAAA= " strokecolor="white" strokeweight="0">
                    <v:textbox inset="0,0,0,0">
                      <w:txbxContent>
                        <w:p w14:paraId="2ACBFB4F" w14:textId="77777777">
                          <w:pPr>
                            <w:overflowPunct w:val="0"/>
                            <w:textAlignment w:val="baseline"/>
                            <w:rPr>
                              <w:rFonts w:ascii="Times New Roman" w:hAnsi="Times New Roman" w:eastAsia="Times New Roman" w:cs="Times New Roman"/>
                              <w:szCs w:val="24"/>
                              <w:lang w:eastAsia="lt-LT"/>
                            </w:rPr>
                          </w:pPr>
                          <w:r>
                            <w:rPr>
                              <w:rFonts w:ascii="Times New Roman" w:hAnsi="Times New Roman" w:eastAsia="Times New Roman" w:cs="Times New Roman"/>
                              <w:szCs w:val="24"/>
                              <w:lang w:eastAsia="lt-LT"/>
                            </w:rPr>
                            <w:t>21D-</w:t>
                          </w:r>
                        </w:p>
                      </w:txbxContent>
                    </v:textbox>
                  </v:rect>
                </w:pict>
              </mc:Fallback>
            </mc:AlternateContent>
          </w:r>
        </w:p>
        <w:p w14:paraId="01ED02A8" w14:textId="77777777">
          <w:pPr>
            <w:framePr w:w="9185" w:h="1077" w:hSpace="181" w:wrap="notBeside" w:vAnchor="text" w:hAnchor="page" w:x="2169" w:y="1099"/>
            <w:overflowPunct w:val="0"/>
            <w:spacing w:line="360" w:lineRule="auto"/>
            <w:jc w:val="center"/>
            <w:textAlignment w:val="baseline"/>
            <w:rPr>
              <w:sz w:val="20"/>
              <w:lang w:eastAsia="lt-LT"/>
            </w:rPr>
          </w:pPr>
          <w:r>
            <w:rPr>
              <w:sz w:val="20"/>
              <w:lang w:eastAsia="lt-LT"/>
            </w:rPr>
            <w:t xml:space="preserve">____________________ </w:t>
          </w:r>
          <w:r>
            <w:rPr>
              <w:lang w:eastAsia="lt-LT"/>
            </w:rPr>
            <w:t xml:space="preserve">Nr. </w:t>
          </w:r>
          <w:r>
            <w:rPr>
              <w:sz w:val="20"/>
              <w:lang w:eastAsia="lt-LT"/>
            </w:rPr>
            <w:t>__________________</w:t>
          </w:r>
        </w:p>
        <w:p w14:paraId="7C8BA6CB" w14:textId="77777777">
          <w:pPr>
            <w:framePr w:w="9185" w:h="1077" w:hSpace="181" w:wrap="notBeside" w:vAnchor="text" w:hAnchor="page" w:x="2169" w:y="1099"/>
            <w:overflowPunct w:val="0"/>
            <w:spacing w:line="360" w:lineRule="auto"/>
            <w:jc w:val="center"/>
            <w:textAlignment w:val="baseline"/>
            <w:rPr>
              <w:lang w:eastAsia="lt-LT"/>
            </w:rPr>
          </w:pPr>
          <w:r>
            <w:rPr>
              <w:lang w:eastAsia="lt-LT"/>
            </w:rPr>
            <w:t>Vilnius</w:t>
          </w:r>
        </w:p>
        <w:p w14:paraId="148AA9B2" w14:textId="77777777">
          <w:pPr>
            <w:overflowPunct w:val="0"/>
            <w:jc w:val="both"/>
            <w:textAlignment w:val="baseline"/>
            <w:rPr>
              <w:lang w:eastAsia="lt-LT"/>
            </w:rPr>
          </w:pPr>
        </w:p>
        <w:p w14:paraId="0AB724F1" w14:textId="77777777">
          <w:pPr>
            <w:overflowPunct w:val="0"/>
            <w:spacing w:line="276" w:lineRule="auto"/>
            <w:jc w:val="both"/>
            <w:textAlignment w:val="baseline"/>
            <w:rPr>
              <w:szCs w:val="24"/>
              <w:lang w:eastAsia="lt-LT"/>
            </w:rPr>
          </w:pPr>
        </w:p>
        <w:sdt>
          <w:sdtPr>
            <w:alias w:val="1 p."/>
            <w:tag w:val="part_4c597d999a0741199bb6ab443f26b103"/>
            <w:lock w:val="sdtLocked"/>
            <w:richText/>
          </w:sdtPr>
          <w:sdtContent>
            <w:p w14:paraId="45F817A5" w14:textId="7BD787C9">
              <w:pPr>
                <w:tabs>
                  <w:tab w:val="left" w:pos="851"/>
                </w:tabs>
                <w:spacing w:line="276" w:lineRule="auto"/>
                <w:ind w:firstLine="709"/>
                <w:jc w:val="both"/>
                <w:rPr>
                  <w:b/>
                  <w:bCs/>
                  <w:color w:val="000000"/>
                  <w:lang w:eastAsia="lt-LT"/>
                </w:rPr>
              </w:pPr>
              <w:sdt>
                <w:sdtPr>
                  <w:alias w:val="Numeris"/>
                  <w:tag w:val="nr_4c597d999a0741199bb6ab443f26b103"/>
                  <w:lock w:val="sdtLocked"/>
                  <w:richText/>
                </w:sdtPr>
                <w:sdtContent>
                  <w:r>
                    <w:rPr>
                      <w:b/>
                      <w:bCs/>
                      <w:color w:val="000000"/>
                      <w:lang w:eastAsia="lt-LT"/>
                    </w:rPr>
                    <w:t>1</w:t>
                  </w:r>
                </w:sdtContent>
              </w:sdt>
              <w:r>
                <w:rPr>
                  <w:b/>
                  <w:bCs/>
                  <w:color w:val="000000"/>
                  <w:lang w:eastAsia="lt-LT"/>
                </w:rPr>
                <w:t>.</w:t>
                <w:tab/>
                <w:t>Įsakymo projekto rengimą paskatinusios priežastys, įsakymo projekto tikslai ir uždaviniai.</w:t>
              </w:r>
            </w:p>
            <w:p w14:paraId="386FFF9F" w14:textId="3AE657FA">
              <w:pPr>
                <w:spacing w:line="276" w:lineRule="auto"/>
                <w:ind w:firstLine="709"/>
                <w:jc w:val="both"/>
                <w:rPr>
                  <w:bCs/>
                  <w:szCs w:val="24"/>
                </w:rPr>
              </w:pPr>
              <w:r>
                <w:rPr>
                  <w:bCs/>
                </w:rPr>
                <w:t xml:space="preserve">Atsižvelgiant į tai, kad 2023 m. liepos 14 d. Komisijos įgyvendinimo reglamentu </w:t>
              </w:r>
              <w:fldSimple w:instr="HYPERLINK http://eur-lex.europa.eu/legal-content/LIT/TXT/?uri=CELEX:31465R2023&amp;locale=lt \t _blank">
                <w:r>
                  <w:rPr>
                    <w:bCs/>
                    <w:u w:val="single"/>
                    <w:color w:val="0000FF" w:themeColor="hyperlink"/>
                  </w:rPr>
                  <w:t>(ES) Nr. 2023/1465</w:t>
                </w:r>
              </w:fldSimple>
              <w:r>
                <w:rPr>
                  <w:bCs/>
                </w:rPr>
                <w:t>, kuriuo</w:t>
              </w:r>
              <w:r>
                <w:rPr>
                  <w:bCs/>
                  <w:color w:val="000000"/>
                </w:rPr>
                <w:t xml:space="preserve"> numatoma </w:t>
              </w:r>
              <w:r>
                <w:rPr>
                  <w:bCs/>
                  <w:color w:val="000000"/>
                  <w:szCs w:val="24"/>
                  <w:lang w:eastAsia="lt-LT"/>
                </w:rPr>
                <w:t>skubi finansinė parama žemės ūkio sektoriams, patyrusiems konkrečių problemų, darančių poveikį žemės ūkio produktų gamintojų ekonominiam gyvybingumui</w:t>
              </w:r>
              <w:r>
                <w:rPr>
                  <w:bCs/>
                </w:rPr>
                <w:t>, Lietuvai skirta 10,66 mln. Eur ES paramos, būtina patvirtinti paramos pieno gamintojams paskirstymo ir administravimo taisykles.</w:t>
              </w:r>
            </w:p>
            <w:p w14:paraId="6BB65149" w14:textId="34AA5140">
              <w:pPr>
                <w:tabs>
                  <w:tab w:val="left" w:pos="1134"/>
                </w:tabs>
                <w:suppressAutoHyphens/>
                <w:overflowPunct w:val="0"/>
                <w:spacing w:line="276" w:lineRule="auto"/>
                <w:ind w:firstLine="709"/>
                <w:jc w:val="both"/>
                <w:textAlignment w:val="center"/>
                <w:rPr>
                  <w:szCs w:val="24"/>
                  <w:lang w:eastAsia="lt-LT"/>
                </w:rPr>
              </w:pPr>
              <w:r>
                <w:rPr>
                  <w:szCs w:val="24"/>
                  <w:lang w:eastAsia="lt-LT"/>
                </w:rPr>
                <w:t>Taisyklių projekte numatyta, kad parama skiriama pieno gamintojams, atitinkantiems visus šiuos reikalavimus:</w:t>
              </w:r>
            </w:p>
          </w:sdtContent>
        </w:sdt>
        <w:sdt>
          <w:sdtPr>
            <w:alias w:val="1 p."/>
            <w:tag w:val="part_23ef59a4ff224beb9be70f92f5e81cac"/>
            <w:lock w:val="sdtLocked"/>
            <w:richText/>
          </w:sdtPr>
          <w:sdtContent>
            <w:p w14:paraId="577FE69C" w14:textId="26978891">
              <w:pPr>
                <w:spacing w:line="276" w:lineRule="auto"/>
                <w:ind w:firstLine="709"/>
                <w:jc w:val="both"/>
                <w:rPr>
                  <w:rFonts w:eastAsia="Calibri"/>
                  <w:szCs w:val="24"/>
                </w:rPr>
              </w:pPr>
              <w:sdt>
                <w:sdtPr>
                  <w:alias w:val="Numeris"/>
                  <w:tag w:val="nr_23ef59a4ff224beb9be70f92f5e81cac"/>
                  <w:lock w:val="sdtLocked"/>
                  <w:richText/>
                </w:sdtPr>
                <w:sdtContent>
                  <w:r>
                    <w:rPr>
                      <w:rFonts w:eastAsia="Calibri"/>
                      <w:color w:val="000000"/>
                      <w:szCs w:val="24"/>
                    </w:rPr>
                    <w:t>1</w:t>
                  </w:r>
                </w:sdtContent>
              </w:sdt>
              <w:r>
                <w:rPr>
                  <w:rFonts w:eastAsia="Calibri"/>
                  <w:color w:val="000000"/>
                  <w:szCs w:val="24"/>
                </w:rPr>
                <w:t xml:space="preserve">. </w:t>
              </w:r>
              <w:r>
                <w:rPr>
                  <w:rFonts w:eastAsia="Calibri"/>
                  <w:szCs w:val="24"/>
                </w:rPr>
                <w:t>Lietuvos Respublikos žemės ūkio ir kaimo verslo registre užregistruoti kaip valdos valdytojai arba partneriai ne vėliau kaip iki 2023 m. kovo 31 d. (imtinai);</w:t>
              </w:r>
            </w:p>
          </w:sdtContent>
        </w:sdt>
        <w:sdt>
          <w:sdtPr>
            <w:alias w:val="2 p."/>
            <w:tag w:val="part_3417b7ccbc0c41eda713cf6a4f9ef216"/>
            <w:lock w:val="sdtLocked"/>
            <w:richText/>
          </w:sdtPr>
          <w:sdtContent>
            <w:p w14:paraId="60BEE50F" w14:textId="3A190782">
              <w:pPr>
                <w:spacing w:line="276" w:lineRule="auto"/>
                <w:ind w:firstLine="709"/>
                <w:jc w:val="both"/>
                <w:rPr>
                  <w:rFonts w:eastAsia="Calibri"/>
                  <w:szCs w:val="24"/>
                </w:rPr>
              </w:pPr>
              <w:sdt>
                <w:sdtPr>
                  <w:alias w:val="Numeris"/>
                  <w:tag w:val="nr_3417b7ccbc0c41eda713cf6a4f9ef216"/>
                  <w:lock w:val="sdtLocked"/>
                  <w:richText/>
                </w:sdtPr>
                <w:sdtContent>
                  <w:r>
                    <w:rPr>
                      <w:rFonts w:eastAsia="Calibri"/>
                      <w:szCs w:val="24"/>
                    </w:rPr>
                    <w:t>2</w:t>
                  </w:r>
                </w:sdtContent>
              </w:sdt>
              <w:r>
                <w:rPr>
                  <w:rFonts w:eastAsia="Calibri"/>
                  <w:szCs w:val="24"/>
                </w:rPr>
                <w:t>. kurių vardu Ūkinių gyvūnų registre (toliau – ŪGR) 2023 m. liepos 1 d. buvo registruotų pieninių karvių;</w:t>
              </w:r>
            </w:p>
          </w:sdtContent>
        </w:sdt>
        <w:sdt>
          <w:sdtPr>
            <w:alias w:val="3 p."/>
            <w:tag w:val="part_dea9596543cf46e2b36c3ebf5f20019c"/>
            <w:lock w:val="sdtLocked"/>
            <w:richText/>
          </w:sdtPr>
          <w:sdtContent>
            <w:p w14:paraId="166649FE" w14:textId="1401350E">
              <w:pPr>
                <w:spacing w:line="276" w:lineRule="auto"/>
                <w:ind w:firstLine="709"/>
                <w:jc w:val="both"/>
                <w:rPr>
                  <w:rFonts w:eastAsia="Calibri"/>
                  <w:color w:val="000000"/>
                  <w:szCs w:val="24"/>
                </w:rPr>
              </w:pPr>
              <w:sdt>
                <w:sdtPr>
                  <w:alias w:val="Numeris"/>
                  <w:tag w:val="nr_dea9596543cf46e2b36c3ebf5f20019c"/>
                  <w:lock w:val="sdtLocked"/>
                  <w:richText/>
                </w:sdtPr>
                <w:sdtContent>
                  <w:r>
                    <w:rPr>
                      <w:rFonts w:eastAsia="Calibri"/>
                      <w:szCs w:val="24"/>
                    </w:rPr>
                    <w:t>3</w:t>
                  </w:r>
                </w:sdtContent>
              </w:sdt>
              <w:r>
                <w:rPr>
                  <w:rFonts w:eastAsia="Calibri"/>
                  <w:szCs w:val="24"/>
                </w:rPr>
                <w:t xml:space="preserve">. kurie 2023 m. balandžio–birželio mėnesiais pardavė pieną perdirbti VĮ Žemės ūkio duomenų centre (toliau – Centras) </w:t>
              </w:r>
              <w:r>
                <w:rPr>
                  <w:rFonts w:eastAsia="Calibri"/>
                  <w:color w:val="000000"/>
                  <w:szCs w:val="24"/>
                </w:rPr>
                <w:t>registruotiems pieno supirkėjams (toliau – supirkėjai);</w:t>
              </w:r>
            </w:p>
          </w:sdtContent>
        </w:sdt>
        <w:sdt>
          <w:sdtPr>
            <w:alias w:val="4 p."/>
            <w:tag w:val="part_6a3a6600cb6f403cb985ae3761b6c1ca"/>
            <w:lock w:val="sdtLocked"/>
            <w:richText/>
          </w:sdtPr>
          <w:sdtContent>
            <w:p w14:paraId="6D314B12" w14:textId="15E90DD7">
              <w:pPr>
                <w:spacing w:line="276" w:lineRule="auto"/>
                <w:ind w:firstLine="709"/>
                <w:jc w:val="both"/>
                <w:rPr>
                  <w:rFonts w:eastAsia="Calibri"/>
                  <w:szCs w:val="24"/>
                </w:rPr>
              </w:pPr>
              <w:sdt>
                <w:sdtPr>
                  <w:alias w:val="Numeris"/>
                  <w:tag w:val="nr_6a3a6600cb6f403cb985ae3761b6c1ca"/>
                  <w:lock w:val="sdtLocked"/>
                  <w:richText/>
                </w:sdtPr>
                <w:sdtContent>
                  <w:r>
                    <w:rPr>
                      <w:rFonts w:eastAsia="Calibri"/>
                      <w:color w:val="000000"/>
                      <w:szCs w:val="24"/>
                    </w:rPr>
                    <w:t>4</w:t>
                  </w:r>
                </w:sdtContent>
              </w:sdt>
              <w:r>
                <w:rPr>
                  <w:rFonts w:eastAsia="Calibri"/>
                  <w:color w:val="000000"/>
                  <w:szCs w:val="24"/>
                </w:rPr>
                <w:t xml:space="preserve">. kuriems supirkėjai už supirktą </w:t>
              </w:r>
              <w:r>
                <w:rPr>
                  <w:rFonts w:eastAsia="Calibri"/>
                  <w:szCs w:val="24"/>
                </w:rPr>
                <w:t>natūralų žalią pieną 2023 m. balandžio–birželio mėnesiais mokėjo vidutinę pieno pirkimo kainą, ne didesnę kaip 40 ct už kilogramą žalio pieno, išskyrus gamintojus, kurių ūkiai 2023 m. rugpjūčio 1 d. turėjo ekologinio gamybos ūkio sertifikatą žalio pieno gamybai (įskaitant ir ūkius, turinčius pereinamojo laikotarpio į ekologinę gamybos sistemą statusą), ir (arba) 2023 m. kovo 1 d. buvo</w:t>
              </w:r>
              <w:r>
                <w:rPr>
                  <w:rFonts w:eastAsia="Calibri"/>
                  <w:color w:val="000000"/>
                  <w:szCs w:val="24"/>
                </w:rPr>
                <w:t xml:space="preserve"> </w:t>
              </w:r>
              <w:r>
                <w:rPr>
                  <w:rFonts w:eastAsia="Calibri"/>
                  <w:szCs w:val="24"/>
                </w:rPr>
                <w:t xml:space="preserve">kooperatinės bendrovės (kooperatyvo), kuri yra pripažinta žemės ūkio kooperatine bendrove, vadovaujantis Kooperatinių bendrovių (kooperatyvų) pripažinimo žemės ūkio kooperatinėmis bendrovėmis (kooperatyvais) tvarkos aprašu, patvirtintu Lietuvos Respublikos žemės ūkio ministro 2016 m. liepos 22 d. įsakymu Nr. 3D-435 „Dėl Kooperatinių bendrovių (kooperatyvų) pripažinimo žemės ūkio kooperatinėmis bendrovėmis (kooperatyvais) tvarkos aprašo patvirtinimo“, ir kuri Centre yra registruota pieno supirkėja, nariais; šiems gamintojams parama skiriama tuo atveju, jei 2023 m. balandžio–birželio mėnesiais supirkėjai jiems </w:t>
              </w:r>
              <w:r>
                <w:rPr>
                  <w:rFonts w:eastAsia="Calibri"/>
                  <w:color w:val="000000"/>
                  <w:szCs w:val="24"/>
                </w:rPr>
                <w:t xml:space="preserve">už supirktą </w:t>
              </w:r>
              <w:r>
                <w:rPr>
                  <w:rFonts w:eastAsia="Calibri"/>
                  <w:szCs w:val="24"/>
                </w:rPr>
                <w:t xml:space="preserve">natūralų žalią pieną mokėjo vidutinę pieno pirkimo kainą, ne didesnę kaip 45 ct už kilogramą žalio pieno; </w:t>
              </w:r>
            </w:p>
          </w:sdtContent>
        </w:sdt>
        <w:sdt>
          <w:sdtPr>
            <w:alias w:val="5 p."/>
            <w:tag w:val="part_47d057243cd248f6b34c6ff7b0302519"/>
            <w:lock w:val="sdtLocked"/>
            <w:richText/>
          </w:sdtPr>
          <w:sdtContent>
            <w:p w14:paraId="1719DB6A" w14:textId="423546C9">
              <w:pPr>
                <w:spacing w:line="276" w:lineRule="auto"/>
                <w:ind w:firstLine="709"/>
                <w:jc w:val="both"/>
                <w:rPr>
                  <w:rFonts w:eastAsia="Calibri"/>
                  <w:color w:val="000000"/>
                  <w:szCs w:val="24"/>
                </w:rPr>
              </w:pPr>
              <w:sdt>
                <w:sdtPr>
                  <w:alias w:val="Numeris"/>
                  <w:tag w:val="nr_47d057243cd248f6b34c6ff7b0302519"/>
                  <w:lock w:val="sdtLocked"/>
                  <w:richText/>
                </w:sdtPr>
                <w:sdtContent>
                  <w:r>
                    <w:rPr>
                      <w:rFonts w:eastAsia="Calibri"/>
                      <w:color w:val="000000"/>
                      <w:szCs w:val="24"/>
                    </w:rPr>
                    <w:t>5</w:t>
                  </w:r>
                </w:sdtContent>
              </w:sdt>
              <w:r>
                <w:rPr>
                  <w:rFonts w:eastAsia="Calibri"/>
                  <w:color w:val="000000"/>
                  <w:szCs w:val="24"/>
                </w:rPr>
                <w:t>. kurie ir kurių sutuoktiniai nėra ir nebuvo patvirtinti paramos gavėjai pagal Kaimo plėtros 2004–2006 metų plano priemonę „Ankstyvo pasitraukimo iš prekinės žemės ūkio gamybos rėmimas“ ir Lietuvos kaimo plėtros 2007–2013 metų programos priemonę „Ankstyvas pasitraukimas iš prekinės žemės ūkio gamybos“.</w:t>
              </w:r>
            </w:p>
            <w:p w14:paraId="41037FB1" w14:textId="56DA9E99">
              <w:pPr>
                <w:spacing w:line="276" w:lineRule="auto"/>
                <w:ind w:firstLine="709"/>
                <w:jc w:val="both"/>
                <w:rPr>
                  <w:rFonts w:eastAsia="Calibri"/>
                  <w:szCs w:val="24"/>
                </w:rPr>
              </w:pPr>
              <w:r>
                <w:rPr>
                  <w:rFonts w:eastAsia="Calibri"/>
                  <w:color w:val="000000"/>
                  <w:szCs w:val="24"/>
                </w:rPr>
                <w:t xml:space="preserve">Parama skaičiuojama pagal </w:t>
              </w:r>
              <w:r>
                <w:rPr>
                  <w:rFonts w:eastAsia="Calibri"/>
                  <w:szCs w:val="24"/>
                </w:rPr>
                <w:t xml:space="preserve">2023 m. balandžio 1 d.–birželio 30 d. kiekvieno pieno gamintojo faktiškai parduotą pieno </w:t>
              </w:r>
              <w:r>
                <w:rPr>
                  <w:rFonts w:eastAsia="Calibri"/>
                  <w:color w:val="000000"/>
                  <w:szCs w:val="24"/>
                </w:rPr>
                <w:t>(natūralaus riebumo)</w:t>
              </w:r>
              <w:r>
                <w:rPr>
                  <w:rFonts w:eastAsia="Calibri"/>
                  <w:szCs w:val="24"/>
                </w:rPr>
                <w:t xml:space="preserve"> kiekį</w:t>
              </w:r>
              <w:r>
                <w:rPr>
                  <w:rFonts w:eastAsia="Calibri"/>
                  <w:color w:val="000000"/>
                  <w:szCs w:val="24"/>
                </w:rPr>
                <w:t xml:space="preserve"> </w:t>
              </w:r>
              <w:r>
                <w:rPr>
                  <w:rFonts w:eastAsia="Calibri"/>
                  <w:szCs w:val="24"/>
                </w:rPr>
                <w:t xml:space="preserve">Centre </w:t>
              </w:r>
              <w:r>
                <w:rPr>
                  <w:rFonts w:eastAsia="Calibri"/>
                  <w:color w:val="000000"/>
                  <w:szCs w:val="24"/>
                </w:rPr>
                <w:t>registruotiems pieno supirkėjams.</w:t>
              </w:r>
            </w:p>
            <w:p w14:paraId="62A095ED" w14:textId="77777777">
              <w:pPr>
                <w:spacing w:line="276" w:lineRule="auto"/>
                <w:ind w:firstLine="709"/>
                <w:jc w:val="both"/>
                <w:rPr>
                  <w:rFonts w:eastAsia="Calibri"/>
                  <w:color w:val="000000"/>
                  <w:szCs w:val="24"/>
                </w:rPr>
              </w:pPr>
              <w:r>
                <w:rPr>
                  <w:rFonts w:eastAsia="Calibri"/>
                  <w:szCs w:val="24"/>
                </w:rPr>
                <w:t xml:space="preserve">Paramos dydis yra diferencijuotas </w:t>
              </w:r>
              <w:r>
                <w:rPr>
                  <w:rFonts w:eastAsia="Calibri"/>
                  <w:color w:val="000000"/>
                  <w:szCs w:val="24"/>
                </w:rPr>
                <w:t xml:space="preserve">pagal 2023 m. liepos 1 d. gamintojo ŪGR įregistruotų pieninių veislių karvių skaičių pagal 4 pakopas, kurios nustatytos </w:t>
              </w:r>
              <w:r>
                <w:rPr>
                  <w:rFonts w:eastAsia="Calibri"/>
                  <w:szCs w:val="24"/>
                </w:rPr>
                <w:t xml:space="preserve">Lietuvos 2023–2027 metų BŽŪP strateginiame </w:t>
              </w:r>
              <w:r>
                <w:rPr>
                  <w:rFonts w:eastAsia="Calibri"/>
                  <w:color w:val="000000"/>
                  <w:szCs w:val="24"/>
                </w:rPr>
                <w:t>plane. Nustatomi šie paramos dydžiai:</w:t>
              </w:r>
            </w:p>
            <w:p w14:paraId="206D7A02" w14:textId="3085938F">
              <w:pPr>
                <w:tabs>
                  <w:tab w:val="left" w:pos="1134"/>
                </w:tabs>
                <w:spacing w:line="276" w:lineRule="auto"/>
                <w:ind w:firstLine="709"/>
                <w:jc w:val="both"/>
                <w:rPr>
                  <w:rFonts w:eastAsia="Calibri"/>
                  <w:szCs w:val="24"/>
                </w:rPr>
              </w:pPr>
              <w:r>
                <w:rPr>
                  <w:rFonts w:ascii="Symbol" w:eastAsia="Calibri" w:hAnsi="Symbol"/>
                  <w:szCs w:val="24"/>
                </w:rPr>
                <w:t></w:t>
                <w:tab/>
              </w:r>
              <w:r>
                <w:rPr>
                  <w:rFonts w:eastAsia="Calibri"/>
                  <w:szCs w:val="24"/>
                </w:rPr>
                <w:t xml:space="preserve">1 pakopa – gamintojams, </w:t>
              </w:r>
              <w:r>
                <w:rPr>
                  <w:rFonts w:eastAsia="Calibri"/>
                  <w:color w:val="000000"/>
                  <w:szCs w:val="24"/>
                </w:rPr>
                <w:t>2023 m. liepos 1 d.</w:t>
              </w:r>
              <w:r>
                <w:rPr>
                  <w:rFonts w:eastAsia="Calibri"/>
                  <w:szCs w:val="24"/>
                </w:rPr>
                <w:t xml:space="preserve"> laikiusiems iki 10 karvių (imtinai), paramos dydis – 41,00 Eur už toną;</w:t>
              </w:r>
            </w:p>
            <w:p w14:paraId="22EE6ED4" w14:textId="006EAA3D">
              <w:pPr>
                <w:tabs>
                  <w:tab w:val="left" w:pos="1134"/>
                </w:tabs>
                <w:spacing w:line="276" w:lineRule="auto"/>
                <w:ind w:firstLine="709"/>
                <w:jc w:val="both"/>
                <w:rPr>
                  <w:rFonts w:eastAsia="Calibri"/>
                  <w:szCs w:val="24"/>
                </w:rPr>
              </w:pPr>
              <w:r>
                <w:rPr>
                  <w:rFonts w:ascii="Symbol" w:eastAsia="Calibri" w:hAnsi="Symbol"/>
                  <w:szCs w:val="24"/>
                </w:rPr>
                <w:t></w:t>
                <w:tab/>
              </w:r>
              <w:r>
                <w:rPr>
                  <w:rFonts w:eastAsia="Calibri"/>
                  <w:szCs w:val="24"/>
                </w:rPr>
                <w:t xml:space="preserve">2 pakopa – gamintojams, </w:t>
              </w:r>
              <w:r>
                <w:rPr>
                  <w:rFonts w:eastAsia="Calibri"/>
                  <w:color w:val="000000"/>
                  <w:szCs w:val="24"/>
                </w:rPr>
                <w:t>2023 m. liepos 1 d.</w:t>
              </w:r>
              <w:r>
                <w:rPr>
                  <w:rFonts w:eastAsia="Calibri"/>
                  <w:szCs w:val="24"/>
                </w:rPr>
                <w:t xml:space="preserve"> laikiusiems 11–50 karvių (imtinai), paramos dydis – 52,71 Eur už toną;</w:t>
              </w:r>
            </w:p>
            <w:p w14:paraId="301E7529" w14:textId="0C930D37">
              <w:pPr>
                <w:tabs>
                  <w:tab w:val="left" w:pos="1134"/>
                </w:tabs>
                <w:spacing w:line="276" w:lineRule="auto"/>
                <w:ind w:firstLine="709"/>
                <w:jc w:val="both"/>
                <w:rPr>
                  <w:rFonts w:eastAsia="Calibri"/>
                  <w:szCs w:val="24"/>
                </w:rPr>
              </w:pPr>
              <w:r>
                <w:rPr>
                  <w:rFonts w:ascii="Symbol" w:eastAsia="Calibri" w:hAnsi="Symbol"/>
                  <w:szCs w:val="24"/>
                </w:rPr>
                <w:t></w:t>
                <w:tab/>
              </w:r>
              <w:r>
                <w:rPr>
                  <w:rFonts w:eastAsia="Calibri"/>
                  <w:szCs w:val="24"/>
                </w:rPr>
                <w:t xml:space="preserve">3 pakopa – gamintojams, </w:t>
              </w:r>
              <w:r>
                <w:rPr>
                  <w:rFonts w:eastAsia="Calibri"/>
                  <w:color w:val="000000"/>
                  <w:szCs w:val="24"/>
                </w:rPr>
                <w:t>2023 m. liepos 1 d.</w:t>
              </w:r>
              <w:r>
                <w:rPr>
                  <w:rFonts w:eastAsia="Calibri"/>
                  <w:szCs w:val="24"/>
                </w:rPr>
                <w:t xml:space="preserve"> laikiusiems 51–150 karvių (imtinai), paramos dydis – 58,57 Eur už toną;</w:t>
              </w:r>
            </w:p>
            <w:p w14:paraId="1B817DF0" w14:textId="02A4EFE0">
              <w:pPr>
                <w:tabs>
                  <w:tab w:val="left" w:pos="1134"/>
                </w:tabs>
                <w:spacing w:line="276" w:lineRule="auto"/>
                <w:ind w:firstLine="709"/>
                <w:jc w:val="both"/>
                <w:rPr>
                  <w:rFonts w:eastAsia="Calibri"/>
                  <w:szCs w:val="24"/>
                </w:rPr>
              </w:pPr>
              <w:r>
                <w:rPr>
                  <w:rFonts w:ascii="Symbol" w:eastAsia="Calibri" w:hAnsi="Symbol"/>
                  <w:szCs w:val="24"/>
                </w:rPr>
                <w:t></w:t>
                <w:tab/>
              </w:r>
              <w:r>
                <w:rPr>
                  <w:rFonts w:eastAsia="Calibri"/>
                  <w:szCs w:val="24"/>
                </w:rPr>
                <w:t xml:space="preserve">4 pakopa – gamintojams, </w:t>
              </w:r>
              <w:r>
                <w:rPr>
                  <w:rFonts w:eastAsia="Calibri"/>
                  <w:color w:val="000000"/>
                  <w:szCs w:val="24"/>
                </w:rPr>
                <w:t>2023 m. liepos 1 d.</w:t>
              </w:r>
              <w:r>
                <w:rPr>
                  <w:rFonts w:eastAsia="Calibri"/>
                  <w:szCs w:val="24"/>
                </w:rPr>
                <w:t xml:space="preserve"> laikiusiems 151 karvę ir daugiau, paramos dydis – 43,93 Eur už toną.</w:t>
              </w:r>
            </w:p>
            <w:p w14:paraId="51C92412" w14:textId="17562C73">
              <w:pPr>
                <w:tabs>
                  <w:tab w:val="left" w:pos="1134"/>
                </w:tabs>
                <w:suppressAutoHyphens/>
                <w:overflowPunct w:val="0"/>
                <w:spacing w:line="276" w:lineRule="auto"/>
                <w:ind w:firstLine="709"/>
                <w:jc w:val="both"/>
                <w:textAlignment w:val="center"/>
                <w:rPr>
                  <w:szCs w:val="24"/>
                  <w:lang w:eastAsia="lt-LT"/>
                </w:rPr>
              </w:pPr>
              <w:r>
                <w:rPr>
                  <w:szCs w:val="24"/>
                  <w:lang w:eastAsia="lt-LT"/>
                </w:rPr>
                <w:t xml:space="preserve">Gamintojui skiriama paramos suma negali </w:t>
              </w:r>
              <w:r>
                <w:rPr>
                  <w:color w:val="000000"/>
                  <w:lang w:eastAsia="lt-LT"/>
                </w:rPr>
                <w:t>viršyti 20 000 Eur. Jei gamintojui apskaičiuota paramos suma viršija 20 000 Eur</w:t>
              </w:r>
              <w:r>
                <w:rPr>
                  <w:lang w:eastAsia="lt-LT"/>
                </w:rPr>
                <w:t>, skiriama ir išmokama paramos suma sumažinama iki nustatytos maksimalios paramos sumos (</w:t>
              </w:r>
              <w:r>
                <w:rPr>
                  <w:color w:val="000000"/>
                  <w:lang w:eastAsia="lt-LT"/>
                </w:rPr>
                <w:t xml:space="preserve">20 000 Eur). </w:t>
              </w:r>
            </w:p>
            <w:p w14:paraId="02958E96" w14:textId="6755FB29">
              <w:pPr>
                <w:tabs>
                  <w:tab w:val="left" w:pos="1134"/>
                </w:tabs>
                <w:suppressAutoHyphens/>
                <w:overflowPunct w:val="0"/>
                <w:spacing w:line="276" w:lineRule="auto"/>
                <w:ind w:firstLine="709"/>
                <w:jc w:val="both"/>
                <w:textAlignment w:val="center"/>
                <w:rPr>
                  <w:lang w:eastAsia="lt-LT"/>
                </w:rPr>
              </w:pPr>
              <w:r>
                <w:rPr>
                  <w:lang w:eastAsia="lt-LT"/>
                </w:rPr>
                <w:t>Jeigu bendra apskaičiuota paramos suma pieno gamintojui už 2023 m. balandžio–birželio mėnesius yra mažesnė kaip 10 Eur, parama neskiriama.</w:t>
              </w:r>
            </w:p>
            <w:p w14:paraId="1C3C0C35" w14:textId="663E3597">
              <w:pPr>
                <w:tabs>
                  <w:tab w:val="left" w:pos="1134"/>
                </w:tabs>
                <w:suppressAutoHyphens/>
                <w:overflowPunct w:val="0"/>
                <w:spacing w:line="276" w:lineRule="auto"/>
                <w:ind w:firstLine="709"/>
                <w:jc w:val="both"/>
                <w:textAlignment w:val="center"/>
                <w:rPr>
                  <w:color w:val="000000"/>
                  <w:szCs w:val="24"/>
                  <w:lang w:eastAsia="lt-LT"/>
                </w:rPr>
              </w:pPr>
              <w:r>
                <w:rPr>
                  <w:szCs w:val="24"/>
                  <w:lang w:eastAsia="lt-LT"/>
                </w:rPr>
                <w:t xml:space="preserve">Paramą Centras apskaičiuos </w:t>
              </w:r>
              <w:r>
                <w:rPr>
                  <w:color w:val="000000"/>
                  <w:szCs w:val="24"/>
                  <w:lang w:eastAsia="lt-LT"/>
                </w:rPr>
                <w:t xml:space="preserve">per 10 darbo dienų nuo šių taisyklių įsigaliojimo ir perduos duomenis Nacionalinei mokėjimo agentūrai prie Žemės ūkio ministerijos (toliau – Agentūra), kuri atliks mokėjimus. Paramos išmokėjimas numatomas rugsėjo–spalio mėn. </w:t>
              </w:r>
            </w:p>
          </w:sdtContent>
        </w:sdt>
        <w:sdt>
          <w:sdtPr>
            <w:alias w:val="2 p."/>
            <w:tag w:val="part_714cfd86fe914eb4ae7a3dc5ce26a175"/>
            <w:lock w:val="sdtLocked"/>
            <w:richText/>
          </w:sdtPr>
          <w:sdtContent>
            <w:p w14:paraId="608D6D8C" w14:textId="77777777">
              <w:pPr>
                <w:tabs>
                  <w:tab w:val="left" w:pos="851"/>
                </w:tabs>
                <w:spacing w:line="276" w:lineRule="auto"/>
                <w:ind w:firstLine="709"/>
                <w:jc w:val="both"/>
                <w:rPr>
                  <w:rFonts w:eastAsia="Calibri"/>
                  <w:b/>
                  <w:bCs/>
                  <w:szCs w:val="24"/>
                </w:rPr>
              </w:pPr>
              <w:sdt>
                <w:sdtPr>
                  <w:alias w:val="Numeris"/>
                  <w:tag w:val="nr_714cfd86fe914eb4ae7a3dc5ce26a175"/>
                  <w:lock w:val="sdtLocked"/>
                  <w:richText/>
                </w:sdtPr>
                <w:sdtContent>
                  <w:r>
                    <w:rPr>
                      <w:b/>
                      <w:bCs/>
                      <w:szCs w:val="24"/>
                      <w:lang w:eastAsia="lt-LT"/>
                    </w:rPr>
                    <w:t>2</w:t>
                  </w:r>
                </w:sdtContent>
              </w:sdt>
              <w:r>
                <w:rPr>
                  <w:b/>
                  <w:bCs/>
                  <w:szCs w:val="24"/>
                  <w:lang w:eastAsia="lt-LT"/>
                </w:rPr>
                <w:t xml:space="preserve">. </w:t>
              </w:r>
              <w:r>
                <w:rPr>
                  <w:rFonts w:eastAsia="Calibri"/>
                  <w:b/>
                  <w:bCs/>
                  <w:szCs w:val="24"/>
                </w:rPr>
                <w:t>Įsakymo projektui įgyvendinti reikalingi institucijų ir (ar) įstaigų informacinių sistemų pakeitimai</w:t>
              </w:r>
            </w:p>
            <w:p w14:paraId="2CB08C6C" w14:textId="77777777">
              <w:pPr>
                <w:overflowPunct w:val="0"/>
                <w:spacing w:line="276" w:lineRule="auto"/>
                <w:ind w:firstLine="709"/>
                <w:jc w:val="both"/>
                <w:textAlignment w:val="baseline"/>
                <w:rPr>
                  <w:rFonts w:eastAsia="Calibri"/>
                </w:rPr>
              </w:pPr>
              <w:r>
                <w:rPr>
                  <w:rFonts w:eastAsia="Calibri"/>
                </w:rPr>
                <w:t xml:space="preserve">Įsakymo projektui įgyvendinti papildomų lėšų nereikės. </w:t>
              </w:r>
            </w:p>
          </w:sdtContent>
        </w:sdt>
        <w:sdt>
          <w:sdtPr>
            <w:alias w:val="3 p."/>
            <w:tag w:val="part_70bd49d550324e88ab4c565c4fb59c30"/>
            <w:lock w:val="sdtLocked"/>
            <w:richText/>
          </w:sdtPr>
          <w:sdtContent>
            <w:p w14:paraId="0C07C8AE" w14:textId="77777777">
              <w:pPr>
                <w:overflowPunct w:val="0"/>
                <w:spacing w:line="276" w:lineRule="auto"/>
                <w:ind w:firstLine="709"/>
                <w:jc w:val="both"/>
                <w:textAlignment w:val="baseline"/>
                <w:rPr>
                  <w:b/>
                  <w:bCs/>
                  <w:lang w:eastAsia="lt-LT"/>
                </w:rPr>
              </w:pPr>
              <w:sdt>
                <w:sdtPr>
                  <w:alias w:val="Numeris"/>
                  <w:tag w:val="nr_70bd49d550324e88ab4c565c4fb59c30"/>
                  <w:lock w:val="sdtLocked"/>
                  <w:richText/>
                </w:sdtPr>
                <w:sdtContent>
                  <w:r>
                    <w:rPr>
                      <w:b/>
                      <w:bCs/>
                      <w:lang w:eastAsia="lt-LT"/>
                    </w:rPr>
                    <w:t>3</w:t>
                  </w:r>
                </w:sdtContent>
              </w:sdt>
              <w:r>
                <w:rPr>
                  <w:b/>
                  <w:bCs/>
                  <w:lang w:eastAsia="lt-LT"/>
                </w:rPr>
                <w:t xml:space="preserve">. Informacija dėl Įsakymo projekto skelbimo Lietuvos Respublikos Seimo kanceliarijos Teisės aktų informacinėje sistemoje (toliau – TAIS) </w:t>
              </w:r>
            </w:p>
            <w:p w14:paraId="0E5D0C8B" w14:textId="045A826E">
              <w:pPr>
                <w:overflowPunct w:val="0"/>
                <w:spacing w:line="276" w:lineRule="auto"/>
                <w:ind w:firstLine="709"/>
                <w:jc w:val="both"/>
                <w:textAlignment w:val="baseline"/>
                <w:rPr>
                  <w:lang w:eastAsia="lt-LT"/>
                </w:rPr>
              </w:pPr>
              <w:r>
                <w:rPr>
                  <w:lang w:eastAsia="lt-LT"/>
                </w:rPr>
                <w:t xml:space="preserve">Įsakymo projektas buvo skelbiamas Lietuvos Respublikos Seimo informacinės sistemos projektų registravimo posistemyje </w:t>
              </w:r>
              <w:r>
                <w:rPr>
                  <w:szCs w:val="24"/>
                  <w:lang w:eastAsia="lt-LT"/>
                </w:rPr>
                <w:t>10 darbo dienų</w:t>
              </w:r>
              <w:r>
                <w:rPr>
                  <w:lang w:eastAsia="lt-LT"/>
                </w:rPr>
                <w:t xml:space="preserve"> (reg. Nr. 23-11136). </w:t>
              </w:r>
            </w:p>
            <w:p w14:paraId="21AA6C97" w14:textId="1F4A7667">
              <w:pPr>
                <w:overflowPunct w:val="0"/>
                <w:spacing w:line="276" w:lineRule="auto"/>
                <w:ind w:firstLine="709"/>
                <w:jc w:val="both"/>
                <w:textAlignment w:val="baseline"/>
                <w:rPr>
                  <w:lang w:eastAsia="lt-LT"/>
                </w:rPr>
              </w:pPr>
              <w:r>
                <w:rPr>
                  <w:lang w:eastAsia="lt-LT"/>
                </w:rPr>
                <w:t xml:space="preserve">Įsakymo projektas teikiamas pakartotiniam derinimui, be to, norint kuo skubiau paremti pieno sektorių, susiduriantį su sunkumais, darančiais poveikį pieno gamintojų ekonominiam gyvybingumui, projektas TAIS sistemoje bus skelbiamas 5 darbo dienas. </w:t>
              </w:r>
            </w:p>
          </w:sdtContent>
        </w:sdt>
        <w:sdt>
          <w:sdtPr>
            <w:alias w:val="4 p."/>
            <w:tag w:val="part_750cae089f984897a8594a116348c38f"/>
            <w:lock w:val="sdtLocked"/>
            <w:richText/>
          </w:sdtPr>
          <w:sdtContent>
            <w:p w14:paraId="2214AB3C" w14:textId="77777777">
              <w:pPr>
                <w:overflowPunct w:val="0"/>
                <w:spacing w:line="276" w:lineRule="auto"/>
                <w:ind w:firstLine="709"/>
                <w:jc w:val="both"/>
                <w:textAlignment w:val="baseline"/>
                <w:rPr>
                  <w:b/>
                  <w:bCs/>
                  <w:color w:val="000000"/>
                  <w:lang w:eastAsia="lt-LT"/>
                </w:rPr>
              </w:pPr>
              <w:sdt>
                <w:sdtPr>
                  <w:alias w:val="Numeris"/>
                  <w:tag w:val="nr_750cae089f984897a8594a116348c38f"/>
                  <w:lock w:val="sdtLocked"/>
                  <w:richText/>
                </w:sdtPr>
                <w:sdtContent>
                  <w:r>
                    <w:rPr>
                      <w:b/>
                      <w:bCs/>
                      <w:color w:val="000000"/>
                      <w:lang w:eastAsia="lt-LT"/>
                    </w:rPr>
                    <w:t>4</w:t>
                  </w:r>
                </w:sdtContent>
              </w:sdt>
              <w:r>
                <w:rPr>
                  <w:b/>
                  <w:bCs/>
                  <w:color w:val="000000"/>
                  <w:lang w:eastAsia="lt-LT"/>
                </w:rPr>
                <w:t xml:space="preserve">. Informacija dėl Įsakymo projekto derinimo su suinteresuotomis valstybės institucijomis ir (ar) įstaigomis </w:t>
              </w:r>
            </w:p>
            <w:p w14:paraId="4453226E" w14:textId="4F8193E8">
              <w:pPr>
                <w:overflowPunct w:val="0"/>
                <w:spacing w:line="276" w:lineRule="auto"/>
                <w:ind w:firstLine="709"/>
                <w:jc w:val="both"/>
                <w:textAlignment w:val="baseline"/>
                <w:rPr>
                  <w:color w:val="000000"/>
                  <w:szCs w:val="24"/>
                  <w:lang w:eastAsia="lt-LT"/>
                </w:rPr>
              </w:pPr>
              <w:r>
                <w:rPr>
                  <w:szCs w:val="24"/>
                  <w:lang w:eastAsia="lt-LT"/>
                </w:rPr>
                <w:t xml:space="preserve">Projektas bus </w:t>
              </w:r>
              <w:r>
                <w:rPr>
                  <w:color w:val="000000"/>
                  <w:szCs w:val="24"/>
                  <w:lang w:eastAsia="lt-LT"/>
                </w:rPr>
                <w:t>derinamas su Lietuvos savivaldybių asociacija, A</w:t>
              </w:r>
              <w:r>
                <w:rPr>
                  <w:szCs w:val="24"/>
                  <w:lang w:eastAsia="lt-LT"/>
                </w:rPr>
                <w:t xml:space="preserve">gentūra, VĮ Žemės ūkio duomenų centru ir Konkurencijos taryba. </w:t>
              </w:r>
            </w:p>
          </w:sdtContent>
        </w:sdt>
        <w:sdt>
          <w:sdtPr>
            <w:alias w:val="5 p."/>
            <w:tag w:val="part_432ebefb02f4496cac73fe0cdb6a7be3"/>
            <w:lock w:val="sdtLocked"/>
            <w:richText/>
          </w:sdtPr>
          <w:sdtContent>
            <w:p w14:paraId="43B21F5C" w14:textId="77777777">
              <w:pPr>
                <w:overflowPunct w:val="0"/>
                <w:spacing w:line="276" w:lineRule="auto"/>
                <w:ind w:firstLine="709"/>
                <w:jc w:val="both"/>
                <w:textAlignment w:val="baseline"/>
                <w:rPr>
                  <w:b/>
                  <w:bCs/>
                  <w:color w:val="000000"/>
                  <w:lang w:eastAsia="lt-LT"/>
                </w:rPr>
              </w:pPr>
              <w:sdt>
                <w:sdtPr>
                  <w:alias w:val="Numeris"/>
                  <w:tag w:val="nr_432ebefb02f4496cac73fe0cdb6a7be3"/>
                  <w:lock w:val="sdtLocked"/>
                  <w:richText/>
                </w:sdtPr>
                <w:sdtContent>
                  <w:r>
                    <w:rPr>
                      <w:b/>
                      <w:bCs/>
                      <w:color w:val="000000"/>
                      <w:lang w:eastAsia="lt-LT"/>
                    </w:rPr>
                    <w:t>5</w:t>
                  </w:r>
                </w:sdtContent>
              </w:sdt>
              <w:r>
                <w:rPr>
                  <w:b/>
                  <w:bCs/>
                  <w:color w:val="000000"/>
                  <w:lang w:eastAsia="lt-LT"/>
                </w:rPr>
                <w:t xml:space="preserve">. Informacija dėl Įsakymo projekto antikorupcinio vertinimo </w:t>
              </w:r>
            </w:p>
            <w:p w14:paraId="2F1A9F54" w14:textId="77777777">
              <w:pPr>
                <w:overflowPunct w:val="0"/>
                <w:spacing w:line="276" w:lineRule="auto"/>
                <w:ind w:firstLine="709"/>
                <w:jc w:val="both"/>
                <w:textAlignment w:val="baseline"/>
                <w:rPr>
                  <w:szCs w:val="24"/>
                  <w:lang w:eastAsia="lt-LT"/>
                </w:rPr>
              </w:pPr>
              <w:r>
                <w:rPr>
                  <w:szCs w:val="24"/>
                  <w:lang w:eastAsia="lt-LT"/>
                </w:rPr>
                <w:t xml:space="preserve">Projekto antikorupcinis vertinimas atliekamas. Parengta teisės akto projekto antikorupcinė vertinimo pažyma. </w:t>
              </w:r>
            </w:p>
          </w:sdtContent>
        </w:sdt>
        <w:sdt>
          <w:sdtPr>
            <w:alias w:val="6 p."/>
            <w:tag w:val="part_181c94e7b3c44ec6a5a5c0e36e5c5791"/>
            <w:lock w:val="sdtLocked"/>
            <w:richText/>
          </w:sdtPr>
          <w:sdtContent>
            <w:p w14:paraId="31DE5C90" w14:textId="3B50707A">
              <w:pPr>
                <w:overflowPunct w:val="0"/>
                <w:spacing w:line="276" w:lineRule="auto"/>
                <w:ind w:firstLine="709"/>
                <w:jc w:val="both"/>
                <w:textAlignment w:val="baseline"/>
                <w:rPr>
                  <w:b/>
                  <w:bCs/>
                  <w:color w:val="000000"/>
                  <w:lang w:eastAsia="lt-LT"/>
                </w:rPr>
              </w:pPr>
              <w:sdt>
                <w:sdtPr>
                  <w:alias w:val="Numeris"/>
                  <w:tag w:val="nr_181c94e7b3c44ec6a5a5c0e36e5c5791"/>
                  <w:lock w:val="sdtLocked"/>
                  <w:richText/>
                </w:sdtPr>
                <w:sdtContent>
                  <w:r>
                    <w:rPr>
                      <w:b/>
                      <w:bCs/>
                      <w:color w:val="000000"/>
                      <w:lang w:eastAsia="lt-LT"/>
                    </w:rPr>
                    <w:t>6</w:t>
                  </w:r>
                </w:sdtContent>
              </w:sdt>
              <w:r>
                <w:rPr>
                  <w:b/>
                  <w:bCs/>
                  <w:color w:val="000000"/>
                  <w:lang w:eastAsia="lt-LT"/>
                </w:rPr>
                <w:t>. Informacija dėl ūkio subjektams sukeliamų prisitaikymo prie reguliavimo išlaidų vertinimo, numatomo teisinio reguliavimo poveikio vertinimo, Įsakymo projekto, perkeliančio ir (ar) įgyvendinančio Europos Sąjungos direktyvų ar kitų Europos Sąjungos teisės aktų nuostatų atitikties</w:t>
              </w:r>
            </w:p>
            <w:p w14:paraId="4ED91629" w14:textId="77777777">
              <w:pPr>
                <w:overflowPunct w:val="0"/>
                <w:spacing w:line="276" w:lineRule="auto"/>
                <w:ind w:firstLine="709"/>
                <w:jc w:val="both"/>
                <w:textAlignment w:val="baseline"/>
                <w:rPr>
                  <w:szCs w:val="24"/>
                  <w:lang w:eastAsia="lt-LT"/>
                </w:rPr>
              </w:pPr>
              <w:r>
                <w:rPr>
                  <w:szCs w:val="24"/>
                  <w:lang w:eastAsia="lt-LT"/>
                </w:rPr>
                <w:t xml:space="preserve">Prisitaikymo prie reguliavimo išlaidų vertinimas neatliekamas, nes teisės aktas ūkio subjektams papildomos administracinės naštos nesukelia. </w:t>
              </w:r>
            </w:p>
            <w:p w14:paraId="595416E6" w14:textId="77777777">
              <w:pPr>
                <w:overflowPunct w:val="0"/>
                <w:spacing w:line="276" w:lineRule="auto"/>
                <w:ind w:firstLine="709"/>
                <w:jc w:val="both"/>
                <w:textAlignment w:val="baseline"/>
                <w:rPr>
                  <w:szCs w:val="24"/>
                  <w:lang w:eastAsia="lt-LT"/>
                </w:rPr>
              </w:pPr>
              <w:r>
                <w:rPr>
                  <w:szCs w:val="24"/>
                  <w:lang w:eastAsia="lt-LT"/>
                </w:rPr>
                <w:t xml:space="preserve">Numatomo teisinio reguliavimo poveikio vertinimas neatliekamas. </w:t>
              </w:r>
            </w:p>
            <w:p w14:paraId="7CC92529" w14:textId="7933F53D">
              <w:pPr>
                <w:overflowPunct w:val="0"/>
                <w:spacing w:line="276" w:lineRule="auto"/>
                <w:ind w:firstLine="709"/>
                <w:jc w:val="both"/>
                <w:textAlignment w:val="baseline"/>
                <w:rPr>
                  <w:szCs w:val="24"/>
                  <w:lang w:eastAsia="lt-LT"/>
                </w:rPr>
              </w:pPr>
              <w:r>
                <w:rPr>
                  <w:szCs w:val="24"/>
                  <w:lang w:eastAsia="lt-LT"/>
                </w:rPr>
                <w:t xml:space="preserve">Įsakymo projektu perkeliamos 2023 m. liepos 14 d. Komisijos įgyvendinimo reglamento </w:t>
              </w:r>
              <w:fldSimple w:instr="HYPERLINK http://eur-lex.europa.eu/legal-content/LIT/TXT/?uri=CELEX:31465R2023&amp;locale=lt \t _blank">
                <w:r>
                  <w:rPr>
                    <w:szCs w:val="24"/>
                    <w:lang w:eastAsia="lt-LT"/>
                    <w:u w:val="single"/>
                    <w:color w:val="0000FF" w:themeColor="hyperlink"/>
                  </w:rPr>
                  <w:t>(ES) Nr. 2023/1465</w:t>
                </w:r>
              </w:fldSimple>
              <w:r>
                <w:rPr>
                  <w:szCs w:val="24"/>
                  <w:lang w:eastAsia="lt-LT"/>
                </w:rPr>
                <w:t>, kuriuo numatoma skubi finansinė parama žemės ūkio sektoriams, patyrusiems konkrečių problemų, darančių poveikį žemės ūkio produktų gamintojų ekonominiam gyvybingumui, nuostatos.</w:t>
              </w:r>
            </w:p>
          </w:sdtContent>
        </w:sdt>
        <w:sdt>
          <w:sdtPr>
            <w:alias w:val="7 p."/>
            <w:tag w:val="part_1c04b6ebbad14e66816e51c6f6827b49"/>
            <w:lock w:val="sdtLocked"/>
            <w:richText/>
          </w:sdtPr>
          <w:sdtContent>
            <w:p w14:paraId="075CA800" w14:textId="77777777">
              <w:pPr>
                <w:overflowPunct w:val="0"/>
                <w:spacing w:line="276" w:lineRule="auto"/>
                <w:ind w:firstLine="709"/>
                <w:jc w:val="both"/>
                <w:textAlignment w:val="baseline"/>
                <w:rPr>
                  <w:b/>
                  <w:bCs/>
                  <w:color w:val="000000"/>
                  <w:lang w:eastAsia="lt-LT"/>
                </w:rPr>
              </w:pPr>
              <w:sdt>
                <w:sdtPr>
                  <w:alias w:val="Numeris"/>
                  <w:tag w:val="nr_1c04b6ebbad14e66816e51c6f6827b49"/>
                  <w:lock w:val="sdtLocked"/>
                  <w:richText/>
                </w:sdtPr>
                <w:sdtContent>
                  <w:r>
                    <w:rPr>
                      <w:b/>
                      <w:bCs/>
                      <w:color w:val="000000"/>
                      <w:lang w:eastAsia="lt-LT"/>
                    </w:rPr>
                    <w:t>7</w:t>
                  </w:r>
                </w:sdtContent>
              </w:sdt>
              <w:r>
                <w:rPr>
                  <w:b/>
                  <w:bCs/>
                  <w:color w:val="000000"/>
                  <w:lang w:eastAsia="lt-LT"/>
                </w:rPr>
                <w:t>. Kita svarbi informacija</w:t>
              </w:r>
            </w:p>
            <w:p w14:paraId="08A5BEC7" w14:textId="77777777">
              <w:pPr>
                <w:overflowPunct w:val="0"/>
                <w:spacing w:line="276" w:lineRule="auto"/>
                <w:ind w:firstLine="709"/>
                <w:jc w:val="both"/>
                <w:textAlignment w:val="baseline"/>
                <w:rPr>
                  <w:color w:val="000000"/>
                  <w:lang w:eastAsia="lt-LT"/>
                </w:rPr>
              </w:pPr>
              <w:r>
                <w:rPr>
                  <w:color w:val="000000"/>
                  <w:lang w:eastAsia="lt-LT"/>
                </w:rPr>
                <w:t xml:space="preserve">Priėmus Įsakymo projektą, neigiamų pasekmių nenumatoma. </w:t>
              </w:r>
            </w:p>
            <w:p w14:paraId="5994834D" w14:textId="77777777">
              <w:pPr>
                <w:overflowPunct w:val="0"/>
                <w:spacing w:line="276" w:lineRule="auto"/>
                <w:ind w:firstLine="709"/>
                <w:jc w:val="both"/>
                <w:textAlignment w:val="baseline"/>
                <w:rPr>
                  <w:color w:val="000000"/>
                  <w:lang w:eastAsia="lt-LT"/>
                </w:rPr>
              </w:pPr>
              <w:r>
                <w:rPr>
                  <w:color w:val="000000"/>
                  <w:lang w:eastAsia="lt-LT"/>
                </w:rPr>
                <w:t xml:space="preserve">Patvirtinus Įsakymo projektą, kitų teisės aktų keisti nereikės. </w:t>
              </w:r>
            </w:p>
            <w:p w14:paraId="317E04DA" w14:textId="77777777">
              <w:pPr>
                <w:widowControl w:val="0"/>
                <w:suppressAutoHyphens/>
                <w:overflowPunct w:val="0"/>
                <w:spacing w:line="276" w:lineRule="auto"/>
                <w:ind w:firstLine="709"/>
                <w:jc w:val="both"/>
                <w:textAlignment w:val="baseline"/>
                <w:rPr>
                  <w:rFonts w:eastAsia="SimSun"/>
                  <w:color w:val="000000"/>
                  <w:kern w:val="3"/>
                  <w:lang w:eastAsia="zh-CN" w:bidi="hi-IN"/>
                </w:rPr>
              </w:pPr>
              <w:r>
                <w:rPr>
                  <w:rFonts w:eastAsia="SimSun"/>
                  <w:kern w:val="3"/>
                  <w:lang w:eastAsia="zh-CN" w:bidi="hi-IN"/>
                </w:rPr>
                <w:t xml:space="preserve">Įsakymo projektui įgyvendinti </w:t>
              </w:r>
              <w:r>
                <w:rPr>
                  <w:rFonts w:eastAsia="SimSun"/>
                  <w:color w:val="000000"/>
                  <w:kern w:val="3"/>
                  <w:lang w:eastAsia="zh-CN" w:bidi="hi-IN"/>
                </w:rPr>
                <w:t>papildomų lėšų nereikės.</w:t>
              </w:r>
            </w:p>
            <w:p w14:paraId="4A8CFDE8" w14:textId="77777777">
              <w:pPr>
                <w:overflowPunct w:val="0"/>
                <w:spacing w:line="276" w:lineRule="auto"/>
                <w:ind w:firstLine="709"/>
                <w:jc w:val="both"/>
                <w:textAlignment w:val="baseline"/>
                <w:rPr>
                  <w:color w:val="000000"/>
                  <w:lang w:eastAsia="lt-LT"/>
                </w:rPr>
              </w:pPr>
              <w:r>
                <w:rPr>
                  <w:color w:val="000000"/>
                  <w:lang w:eastAsia="lt-LT"/>
                </w:rPr>
                <w:t>Įsakymo projektas skelbiamas Teisės aktų registre ir ministerijos tinklalapyje.</w:t>
              </w:r>
            </w:p>
            <w:p w14:paraId="1DF5778A" w14:textId="109D2A1B">
              <w:pPr>
                <w:overflowPunct w:val="0"/>
                <w:spacing w:line="276" w:lineRule="auto"/>
                <w:ind w:firstLine="709"/>
                <w:jc w:val="both"/>
                <w:textAlignment w:val="baseline"/>
                <w:rPr>
                  <w:color w:val="000000"/>
                  <w:lang w:eastAsia="lt-LT"/>
                </w:rPr>
              </w:pPr>
              <w:r>
                <w:rPr>
                  <w:color w:val="000000"/>
                  <w:lang w:eastAsia="lt-LT"/>
                </w:rPr>
                <w:t xml:space="preserve">Įsakymo projektą parengė Tvarios žemės ūkio gamybos ir maisto pramonės departamento (direktorius Saulius Jasius, tel. (8 5) 239 1146) Maisto pramonės ir kooperacijos skyriaus (vedėja Jolita Martutaitytė, tel. (8 5) 239 1162, el. p. jolita.martutaityte@zum.lt) vyriausioji specialistė Neringa Michailovaitė, tel. (8 5) 239 1167, el. p. </w:t>
              </w:r>
              <w:r>
                <w:rPr>
                  <w:color w:val="0000FF"/>
                  <w:u w:val="single"/>
                  <w:lang w:eastAsia="lt-LT"/>
                </w:rPr>
                <w:t>neringa@zum.lt</w:t>
              </w:r>
              <w:r>
                <w:rPr>
                  <w:color w:val="0000FF"/>
                  <w:u w:val="single"/>
                  <w:lang w:eastAsia="lt-LT"/>
                </w:rPr>
                <w:t>.</w:t>
              </w:r>
              <w:r>
                <w:rPr>
                  <w:lang w:eastAsia="lt-LT"/>
                </w:rPr>
                <w:t xml:space="preserve"> </w:t>
              </w:r>
            </w:p>
            <w:p w14:paraId="080B99C5" w14:textId="77777777">
              <w:pPr>
                <w:overflowPunct w:val="0"/>
                <w:spacing w:line="276" w:lineRule="auto"/>
                <w:ind w:firstLine="709"/>
                <w:jc w:val="both"/>
                <w:textAlignment w:val="baseline"/>
                <w:rPr>
                  <w:szCs w:val="24"/>
                  <w:lang w:eastAsia="lt-LT"/>
                </w:rPr>
              </w:pPr>
              <w:r>
                <w:rPr>
                  <w:szCs w:val="24"/>
                  <w:lang w:eastAsia="lt-LT"/>
                </w:rPr>
                <w:t>PRIDEDAMA:</w:t>
              </w:r>
            </w:p>
          </w:sdtContent>
        </w:sdt>
        <w:sdt>
          <w:sdtPr>
            <w:alias w:val="1 p."/>
            <w:tag w:val="part_5753b7bcc6c247c290b96e8ec7231f73"/>
            <w:lock w:val="sdtLocked"/>
            <w:richText/>
          </w:sdtPr>
          <w:sdtContent>
            <w:p w14:paraId="4016DE9A" w14:textId="49461C1E">
              <w:pPr>
                <w:tabs>
                  <w:tab w:val="left" w:pos="1134"/>
                </w:tabs>
                <w:overflowPunct w:val="0"/>
                <w:spacing w:line="276" w:lineRule="auto"/>
                <w:ind w:firstLine="709"/>
                <w:jc w:val="both"/>
                <w:textAlignment w:val="baseline"/>
                <w:rPr>
                  <w:lang w:eastAsia="lt-LT"/>
                </w:rPr>
              </w:pPr>
              <w:sdt>
                <w:sdtPr>
                  <w:alias w:val="Numeris"/>
                  <w:tag w:val="nr_5753b7bcc6c247c290b96e8ec7231f73"/>
                  <w:lock w:val="sdtLocked"/>
                  <w:richText/>
                </w:sdtPr>
                <w:sdtContent>
                  <w:r>
                    <w:rPr>
                      <w:szCs w:val="24"/>
                      <w:lang w:eastAsia="lt-LT"/>
                    </w:rPr>
                    <w:t>1</w:t>
                  </w:r>
                </w:sdtContent>
              </w:sdt>
              <w:r>
                <w:rPr>
                  <w:szCs w:val="24"/>
                  <w:lang w:eastAsia="lt-LT"/>
                </w:rPr>
                <w:t>.</w:t>
                <w:tab/>
              </w:r>
              <w:r>
                <w:rPr>
                  <w:lang w:eastAsia="lt-LT"/>
                </w:rPr>
                <w:t>Įsakymo projektas, 6 lapai.</w:t>
              </w:r>
            </w:p>
          </w:sdtContent>
        </w:sdt>
        <w:sdt>
          <w:sdtPr>
            <w:alias w:val="2 p."/>
            <w:tag w:val="part_16de452195264878b81d783435ce2896"/>
            <w:lock w:val="sdtLocked"/>
            <w:richText/>
          </w:sdtPr>
          <w:sdtContent>
            <w:p w14:paraId="48669116" w14:textId="77B8F4D2">
              <w:pPr>
                <w:tabs>
                  <w:tab w:val="left" w:pos="1134"/>
                </w:tabs>
                <w:overflowPunct w:val="0"/>
                <w:spacing w:line="276" w:lineRule="auto"/>
                <w:ind w:firstLine="709"/>
                <w:jc w:val="both"/>
                <w:textAlignment w:val="baseline"/>
                <w:rPr>
                  <w:lang w:eastAsia="lt-LT"/>
                </w:rPr>
              </w:pPr>
              <w:sdt>
                <w:sdtPr>
                  <w:alias w:val="Numeris"/>
                  <w:tag w:val="nr_16de452195264878b81d783435ce2896"/>
                  <w:lock w:val="sdtLocked"/>
                  <w:richText/>
                </w:sdtPr>
                <w:sdtContent>
                  <w:r>
                    <w:rPr>
                      <w:szCs w:val="24"/>
                      <w:lang w:eastAsia="lt-LT"/>
                    </w:rPr>
                    <w:t>2</w:t>
                  </w:r>
                </w:sdtContent>
              </w:sdt>
              <w:r>
                <w:rPr>
                  <w:szCs w:val="24"/>
                  <w:lang w:eastAsia="lt-LT"/>
                </w:rPr>
                <w:t>.</w:t>
                <w:tab/>
              </w:r>
              <w:r>
                <w:rPr>
                  <w:lang w:eastAsia="lt-LT"/>
                </w:rPr>
                <w:t xml:space="preserve">Teisės akto antikorupcinis vertinimas, 4 lapai. </w:t>
              </w:r>
            </w:p>
            <w:p w14:paraId="1409AF41" w14:textId="558ED352">
              <w:pPr>
                <w:overflowPunct w:val="0"/>
                <w:spacing w:line="276" w:lineRule="auto"/>
                <w:textAlignment w:val="baseline"/>
                <w:rPr>
                  <w:lang w:eastAsia="lt-LT"/>
                </w:rPr>
              </w:pPr>
            </w:p>
            <w:p w14:paraId="634DD81D" w14:textId="77777777">
              <w:pPr>
                <w:overflowPunct w:val="0"/>
                <w:spacing w:line="276" w:lineRule="auto"/>
                <w:textAlignment w:val="baseline"/>
                <w:rPr>
                  <w:lang w:eastAsia="lt-LT"/>
                </w:rPr>
              </w:pPr>
            </w:p>
          </w:sdtContent>
        </w:sdt>
        <w:sdt>
          <w:sdtPr>
            <w:alias w:val="signatura"/>
            <w:tag w:val="part_781fc6fa42824c6ba9a0730996f0dc2e"/>
            <w:lock w:val="sdtLocked"/>
            <w:richText/>
          </w:sdtPr>
          <w:sdtContent>
            <w:p w14:paraId="3A29BDED" w14:textId="368B7F14">
              <w:pPr>
                <w:overflowPunct w:val="0"/>
                <w:spacing w:line="276" w:lineRule="auto"/>
                <w:textAlignment w:val="baseline"/>
                <w:rPr>
                  <w:bCs/>
                  <w:lang w:eastAsia="lt-LT"/>
                </w:rPr>
              </w:pPr>
              <w:r>
                <w:rPr>
                  <w:lang w:eastAsia="lt-LT"/>
                </w:rPr>
                <w:t>Direktorius</w:t>
              </w:r>
              <w:r>
                <w:rPr>
                  <w:bCs/>
                  <w:lang w:eastAsia="lt-LT"/>
                </w:rPr>
                <w:tab/>
                <w:t xml:space="preserve">      </w:t>
                <w:tab/>
                <w:tab/>
                <w:tab/>
                <w:t xml:space="preserve">                                             </w:t>
                <w:tab/>
                <w:tab/>
                <w:tab/>
                <w:t xml:space="preserve">      Saulius Jasius</w:t>
              </w:r>
            </w:p>
            <w:p w14:paraId="605F5FAE" w14:textId="45E686AE">
              <w:pPr>
                <w:overflowPunct w:val="0"/>
                <w:textAlignment w:val="baseline"/>
                <w:rPr>
                  <w:szCs w:val="24"/>
                  <w:lang w:eastAsia="lt-LT"/>
                </w:rPr>
              </w:pPr>
            </w:p>
            <w:p w14:paraId="15F53118" w14:textId="77777777">
              <w:pPr>
                <w:overflowPunct w:val="0"/>
                <w:textAlignment w:val="baseline"/>
                <w:rPr>
                  <w:szCs w:val="24"/>
                  <w:lang w:eastAsia="lt-LT"/>
                </w:rPr>
              </w:pPr>
            </w:p>
            <w:p w14:paraId="3C16D72D" w14:textId="77777777">
              <w:pPr>
                <w:overflowPunct w:val="0"/>
                <w:textAlignment w:val="baseline"/>
                <w:rPr>
                  <w:szCs w:val="24"/>
                  <w:lang w:eastAsia="lt-LT"/>
                </w:rPr>
              </w:pPr>
            </w:p>
            <w:p w14:paraId="1E6012A5" w14:textId="77777777">
              <w:pPr>
                <w:overflowPunct w:val="0"/>
                <w:textAlignment w:val="baseline"/>
                <w:rPr>
                  <w:szCs w:val="24"/>
                  <w:lang w:eastAsia="lt-LT"/>
                </w:rPr>
              </w:pPr>
            </w:p>
            <w:p w14:paraId="123D94FB" w14:textId="77777777">
              <w:pPr>
                <w:overflowPunct w:val="0"/>
                <w:textAlignment w:val="baseline"/>
                <w:rPr>
                  <w:szCs w:val="24"/>
                  <w:lang w:eastAsia="lt-LT"/>
                </w:rPr>
              </w:pPr>
            </w:p>
            <w:p w14:paraId="6AD3617A" w14:textId="77777777">
              <w:pPr>
                <w:overflowPunct w:val="0"/>
                <w:textAlignment w:val="baseline"/>
                <w:rPr>
                  <w:szCs w:val="24"/>
                  <w:lang w:eastAsia="lt-LT"/>
                </w:rPr>
              </w:pPr>
            </w:p>
            <w:p w14:paraId="3514E023" w14:textId="77777777">
              <w:pPr>
                <w:overflowPunct w:val="0"/>
                <w:textAlignment w:val="baseline"/>
                <w:rPr>
                  <w:szCs w:val="24"/>
                  <w:lang w:eastAsia="lt-LT"/>
                </w:rPr>
              </w:pPr>
            </w:p>
            <w:p w14:paraId="082C1C89" w14:textId="77777777">
              <w:pPr>
                <w:overflowPunct w:val="0"/>
                <w:textAlignment w:val="baseline"/>
                <w:rPr>
                  <w:szCs w:val="24"/>
                  <w:lang w:eastAsia="lt-LT"/>
                </w:rPr>
              </w:pPr>
            </w:p>
            <w:p w14:paraId="426142C5" w14:textId="77777777">
              <w:pPr>
                <w:overflowPunct w:val="0"/>
                <w:textAlignment w:val="baseline"/>
                <w:rPr>
                  <w:szCs w:val="24"/>
                  <w:lang w:eastAsia="lt-LT"/>
                </w:rPr>
              </w:pPr>
            </w:p>
            <w:p w14:paraId="6B6D1693" w14:textId="77777777">
              <w:pPr>
                <w:overflowPunct w:val="0"/>
                <w:textAlignment w:val="baseline"/>
                <w:rPr>
                  <w:szCs w:val="24"/>
                  <w:lang w:eastAsia="lt-LT"/>
                </w:rPr>
              </w:pPr>
            </w:p>
            <w:p w14:paraId="73FFF1BF" w14:textId="77777777">
              <w:pPr>
                <w:overflowPunct w:val="0"/>
                <w:textAlignment w:val="baseline"/>
                <w:rPr>
                  <w:szCs w:val="24"/>
                  <w:lang w:eastAsia="lt-LT"/>
                </w:rPr>
              </w:pPr>
            </w:p>
            <w:p w14:paraId="7B0BB939" w14:textId="77777777">
              <w:pPr>
                <w:overflowPunct w:val="0"/>
                <w:textAlignment w:val="baseline"/>
                <w:rPr>
                  <w:szCs w:val="24"/>
                  <w:lang w:eastAsia="lt-LT"/>
                </w:rPr>
              </w:pPr>
            </w:p>
            <w:p w14:paraId="6D84D3C5" w14:textId="77777777">
              <w:pPr>
                <w:overflowPunct w:val="0"/>
                <w:textAlignment w:val="baseline"/>
                <w:rPr>
                  <w:szCs w:val="24"/>
                  <w:lang w:eastAsia="lt-LT"/>
                </w:rPr>
              </w:pPr>
            </w:p>
            <w:p w14:paraId="3EEAA740" w14:textId="77777777">
              <w:pPr>
                <w:overflowPunct w:val="0"/>
                <w:textAlignment w:val="baseline"/>
                <w:rPr>
                  <w:szCs w:val="24"/>
                  <w:lang w:eastAsia="lt-LT"/>
                </w:rPr>
              </w:pPr>
            </w:p>
            <w:p w14:paraId="003B35ED" w14:textId="77777777">
              <w:pPr>
                <w:overflowPunct w:val="0"/>
                <w:textAlignment w:val="baseline"/>
                <w:rPr>
                  <w:szCs w:val="24"/>
                  <w:lang w:eastAsia="lt-LT"/>
                </w:rPr>
              </w:pPr>
            </w:p>
            <w:p w14:paraId="1057F4A5" w14:textId="77777777">
              <w:pPr>
                <w:overflowPunct w:val="0"/>
                <w:textAlignment w:val="baseline"/>
                <w:rPr>
                  <w:szCs w:val="24"/>
                  <w:lang w:eastAsia="lt-LT"/>
                </w:rPr>
              </w:pPr>
            </w:p>
            <w:p w14:paraId="558C0DC0" w14:textId="77777777">
              <w:pPr>
                <w:overflowPunct w:val="0"/>
                <w:textAlignment w:val="baseline"/>
                <w:rPr>
                  <w:szCs w:val="24"/>
                  <w:lang w:eastAsia="lt-LT"/>
                </w:rPr>
              </w:pPr>
            </w:p>
            <w:p w14:paraId="6B4020F4" w14:textId="77777777">
              <w:pPr>
                <w:overflowPunct w:val="0"/>
                <w:textAlignment w:val="baseline"/>
                <w:rPr>
                  <w:szCs w:val="24"/>
                  <w:lang w:eastAsia="lt-LT"/>
                </w:rPr>
              </w:pPr>
            </w:p>
            <w:p w14:paraId="44C11DA1" w14:textId="77777777">
              <w:pPr>
                <w:overflowPunct w:val="0"/>
                <w:textAlignment w:val="baseline"/>
                <w:rPr>
                  <w:szCs w:val="24"/>
                  <w:lang w:eastAsia="lt-LT"/>
                </w:rPr>
              </w:pPr>
            </w:p>
            <w:p w14:paraId="25CC9DC4" w14:textId="77777777">
              <w:pPr>
                <w:overflowPunct w:val="0"/>
                <w:textAlignment w:val="baseline"/>
                <w:rPr>
                  <w:szCs w:val="24"/>
                  <w:lang w:eastAsia="lt-LT"/>
                </w:rPr>
              </w:pPr>
            </w:p>
            <w:p w14:paraId="1D4EDE79" w14:textId="77777777">
              <w:pPr>
                <w:overflowPunct w:val="0"/>
                <w:textAlignment w:val="baseline"/>
                <w:rPr>
                  <w:szCs w:val="24"/>
                  <w:lang w:eastAsia="lt-LT"/>
                </w:rPr>
              </w:pPr>
            </w:p>
            <w:p w14:paraId="6B5619BD" w14:textId="77777777">
              <w:pPr>
                <w:overflowPunct w:val="0"/>
                <w:textAlignment w:val="baseline"/>
                <w:rPr>
                  <w:szCs w:val="24"/>
                  <w:lang w:eastAsia="lt-LT"/>
                </w:rPr>
              </w:pPr>
            </w:p>
            <w:p w14:paraId="17D32D66" w14:textId="77777777">
              <w:pPr>
                <w:overflowPunct w:val="0"/>
                <w:textAlignment w:val="baseline"/>
                <w:rPr>
                  <w:szCs w:val="24"/>
                  <w:lang w:eastAsia="lt-LT"/>
                </w:rPr>
              </w:pPr>
            </w:p>
            <w:p w14:paraId="4E2AD804" w14:textId="77777777">
              <w:pPr>
                <w:overflowPunct w:val="0"/>
                <w:textAlignment w:val="baseline"/>
                <w:rPr>
                  <w:szCs w:val="24"/>
                  <w:lang w:eastAsia="lt-LT"/>
                </w:rPr>
              </w:pPr>
            </w:p>
            <w:p w14:paraId="154E2342" w14:textId="77777777">
              <w:pPr>
                <w:overflowPunct w:val="0"/>
                <w:textAlignment w:val="baseline"/>
                <w:rPr>
                  <w:szCs w:val="24"/>
                  <w:lang w:eastAsia="lt-LT"/>
                </w:rPr>
              </w:pPr>
            </w:p>
            <w:p w14:paraId="5806BA9B" w14:textId="77777777">
              <w:pPr>
                <w:overflowPunct w:val="0"/>
                <w:textAlignment w:val="baseline"/>
                <w:rPr>
                  <w:szCs w:val="24"/>
                  <w:lang w:eastAsia="lt-LT"/>
                </w:rPr>
              </w:pPr>
            </w:p>
            <w:p w14:paraId="313D9DBF" w14:textId="77777777">
              <w:pPr>
                <w:overflowPunct w:val="0"/>
                <w:textAlignment w:val="baseline"/>
                <w:rPr>
                  <w:szCs w:val="24"/>
                  <w:lang w:eastAsia="lt-LT"/>
                </w:rPr>
              </w:pPr>
            </w:p>
            <w:p w14:paraId="6A827B72" w14:textId="77777777">
              <w:pPr>
                <w:overflowPunct w:val="0"/>
                <w:textAlignment w:val="baseline"/>
                <w:rPr>
                  <w:szCs w:val="24"/>
                  <w:lang w:eastAsia="lt-LT"/>
                </w:rPr>
              </w:pPr>
            </w:p>
            <w:p w14:paraId="25F338C3" w14:textId="77777777">
              <w:pPr>
                <w:overflowPunct w:val="0"/>
                <w:textAlignment w:val="baseline"/>
                <w:rPr>
                  <w:szCs w:val="24"/>
                  <w:lang w:eastAsia="lt-LT"/>
                </w:rPr>
              </w:pPr>
            </w:p>
            <w:p w14:paraId="5AC6B9C3" w14:textId="77777777">
              <w:pPr>
                <w:overflowPunct w:val="0"/>
                <w:textAlignment w:val="baseline"/>
                <w:rPr>
                  <w:szCs w:val="24"/>
                  <w:lang w:eastAsia="lt-LT"/>
                </w:rPr>
              </w:pPr>
            </w:p>
            <w:p w14:paraId="3F948365" w14:textId="77777777">
              <w:pPr>
                <w:overflowPunct w:val="0"/>
                <w:textAlignment w:val="baseline"/>
                <w:rPr>
                  <w:szCs w:val="24"/>
                  <w:lang w:eastAsia="lt-LT"/>
                </w:rPr>
              </w:pPr>
            </w:p>
            <w:p w14:paraId="0F4B3F2B" w14:textId="70A5255B">
              <w:pPr>
                <w:overflowPunct w:val="0"/>
                <w:textAlignment w:val="baseline"/>
                <w:rPr>
                  <w:szCs w:val="24"/>
                  <w:lang w:eastAsia="lt-LT"/>
                </w:rPr>
              </w:pPr>
              <w:r>
                <w:rPr>
                  <w:szCs w:val="24"/>
                  <w:lang w:eastAsia="lt-LT"/>
                </w:rPr>
                <w:t xml:space="preserve">Neringa Michailovaitė, tel. 239 1167, </w:t>
              </w:r>
              <w:r>
                <w:rPr>
                  <w:color w:val="0000FF"/>
                  <w:szCs w:val="24"/>
                  <w:u w:val="single"/>
                  <w:lang w:eastAsia="lt-LT"/>
                </w:rPr>
                <w:t>neringa@zum.lt</w:t>
              </w:r>
              <w:r>
                <w:rPr>
                  <w:szCs w:val="24"/>
                  <w:lang w:eastAsia="lt-LT"/>
                </w:rPr>
                <w:t xml:space="preserve"> </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7" w:h="16840"/>
      <w:pgMar w:top="1276" w:right="567" w:bottom="851"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DBBDF3" w14:textId="77777777">
      <w:pPr>
        <w:overflowPunct w:val="0"/>
        <w:textAlignment w:val="baseline"/>
        <w:rPr>
          <w:lang w:eastAsia="lt-LT"/>
        </w:rPr>
      </w:pPr>
      <w:r>
        <w:rPr>
          <w:lang w:eastAsia="lt-LT"/>
        </w:rPr>
        <w:separator/>
      </w:r>
    </w:p>
  </w:endnote>
  <w:endnote w:type="continuationSeparator" w:id="0">
    <w:p w14:paraId="63EAFDDB" w14:textId="77777777">
      <w:pPr>
        <w:overflowPunct w:val="0"/>
        <w:textAlignment w:val="baseline"/>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E69C1C" w14:textId="77777777">
    <w:pPr>
      <w:tabs>
        <w:tab w:val="center" w:pos="4153"/>
        <w:tab w:val="right" w:pos="8306"/>
      </w:tabs>
      <w:overflowPunct w:val="0"/>
      <w:textAlignment w:val="baseline"/>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EF9515" w14:textId="77777777">
    <w:pPr>
      <w:tabs>
        <w:tab w:val="center" w:pos="4153"/>
        <w:tab w:val="right" w:pos="8306"/>
      </w:tabs>
      <w:overflowPunct w:val="0"/>
      <w:textAlignment w:val="baseline"/>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DE098A" w14:textId="77777777">
    <w:pPr>
      <w:tabs>
        <w:tab w:val="center" w:pos="4153"/>
        <w:tab w:val="right" w:pos="8306"/>
      </w:tabs>
      <w:overflowPunct w:val="0"/>
      <w:textAlignment w:val="baseline"/>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F9CC24" w14:textId="77777777">
      <w:pPr>
        <w:overflowPunct w:val="0"/>
        <w:textAlignment w:val="baseline"/>
        <w:rPr>
          <w:lang w:eastAsia="lt-LT"/>
        </w:rPr>
      </w:pPr>
      <w:r>
        <w:rPr>
          <w:lang w:eastAsia="lt-LT"/>
        </w:rPr>
        <w:separator/>
      </w:r>
    </w:p>
  </w:footnote>
  <w:footnote w:type="continuationSeparator" w:id="0">
    <w:p w14:paraId="7EBBA447" w14:textId="77777777">
      <w:pPr>
        <w:overflowPunct w:val="0"/>
        <w:textAlignment w:val="baseline"/>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8D320D" w14:textId="12B4A417">
    <w:pPr>
      <w:framePr w:wrap="auto" w:vAnchor="text" w:hAnchor="margin" w:xAlign="center" w:y="1"/>
      <w:tabs>
        <w:tab w:val="center" w:pos="4153"/>
        <w:tab w:val="right" w:pos="8306"/>
      </w:tabs>
      <w:overflowPunct w:val="0"/>
      <w:textAlignment w:val="baseline"/>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14:paraId="42C5D525" w14:textId="77777777">
    <w:pPr>
      <w:tabs>
        <w:tab w:val="center" w:pos="4153"/>
        <w:tab w:val="right" w:pos="8306"/>
      </w:tabs>
      <w:overflowPunct w:val="0"/>
      <w:textAlignment w:val="baseline"/>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0EF8B4" w14:textId="77777777">
    <w:pPr>
      <w:framePr w:wrap="auto" w:vAnchor="text" w:hAnchor="margin" w:xAlign="center" w:y="1"/>
      <w:tabs>
        <w:tab w:val="center" w:pos="4153"/>
        <w:tab w:val="right" w:pos="8306"/>
      </w:tabs>
      <w:overflowPunct w:val="0"/>
      <w:textAlignment w:val="baseline"/>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14:paraId="0667D1FC" w14:textId="77777777">
    <w:pPr>
      <w:tabs>
        <w:tab w:val="center" w:pos="4153"/>
        <w:tab w:val="right" w:pos="8306"/>
      </w:tabs>
      <w:overflowPunct w:val="0"/>
      <w:textAlignment w:val="baseline"/>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9061B6" w14:textId="77777777">
    <w:pPr>
      <w:tabs>
        <w:tab w:val="center" w:pos="4153"/>
        <w:tab w:val="right" w:pos="8306"/>
      </w:tabs>
      <w:overflowPunct w:val="0"/>
      <w:textAlignment w:val="baseline"/>
      <w:rPr>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6"/>
  <w:drawingGridVerticalSpacing w:val="6"/>
  <w:displayVerticalDrawingGridEvery w:val="0"/>
  <w:doNotUseMarginsForDrawingGridOrigin/>
  <w:drawingGridVerticalOrigin w:val="198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068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8BCAF5"/>
  <w15:chartTrackingRefBased/>
  <w15:docId w15:val="{E6D14831-F005-4418-AEA9-5C96B601339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114035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jpeg"/>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3744304a9f24dd79cf6c20eb6fd13c3" PartId="6fd3122a796c4c6f8085ff692a2410aa">
    <Part Type="punktas" Nr="1" Abbr="1 p." DocPartId="349272a3f75b4fa685bd5af5e9b54e99" PartId="4c597d999a0741199bb6ab443f26b103"/>
    <Part Type="punktas" Nr="1" Abbr="1 p." Notes="Numeris ne iš eilės. Trūksta dalių? [DocDalys]" DocPartId="f0cca07ef1a743bd85b374678dd95de4" PartId="23ef59a4ff224beb9be70f92f5e81cac"/>
    <Part Type="punktas" Nr="2" Abbr="2 p." DocPartId="fb990d2349f74ec5854fa01857de756b" PartId="3417b7ccbc0c41eda713cf6a4f9ef216"/>
    <Part Type="punktas" Nr="3" Abbr="3 p." DocPartId="beb66d8615194770a6ec0264ea9b8b8f" PartId="dea9596543cf46e2b36c3ebf5f20019c"/>
    <Part Type="punktas" Nr="4" Abbr="4 p." DocPartId="ae7df75515b649aa86ea1d466db04dd4" PartId="6a3a6600cb6f403cb985ae3761b6c1ca"/>
    <Part Type="punktas" Nr="5" Abbr="5 p." DocPartId="657384355be14153968ee44d1398753e" PartId="47d057243cd248f6b34c6ff7b0302519"/>
    <Part Type="punktas" Nr="2" Abbr="2 p." Notes="Numeris ne iš eilės. Trūksta dalių? [DocDalys]" DocPartId="43387619448544448c77ce332950bc86" PartId="714cfd86fe914eb4ae7a3dc5ce26a175"/>
    <Part Type="punktas" Nr="3" Abbr="3 p." DocPartId="de9f93ec8c424db7a3d22ba12a109266" PartId="70bd49d550324e88ab4c565c4fb59c30"/>
    <Part Type="punktas" Nr="4" Abbr="4 p." DocPartId="7aac01a892aa4d93996f23343862226a" PartId="750cae089f984897a8594a116348c38f"/>
    <Part Type="punktas" Nr="5" Abbr="5 p." DocPartId="9350272f1af34d369e9f70f6911deaeb" PartId="432ebefb02f4496cac73fe0cdb6a7be3"/>
    <Part Type="punktas" Nr="6" Abbr="6 p." DocPartId="a3dcd995781445ad95f38df53fccb9b5" PartId="181c94e7b3c44ec6a5a5c0e36e5c5791"/>
    <Part Type="punktas" Nr="7" Abbr="7 p." DocPartId="de528aa0a7724b4e8fc219f698f8db12" PartId="1c04b6ebbad14e66816e51c6f6827b49"/>
    <Part Type="punktas" Nr="1" Abbr="1 p." Notes="Numeris ne iš eilės. Trūksta dalių? [DocDalys]" DocPartId="17e79fd71265462db63f6bd912e52f49" PartId="5753b7bcc6c247c290b96e8ec7231f73"/>
    <Part Type="punktas" Nr="2" Abbr="2 p." DocPartId="f13b9ac43bc1478ab416ac87c5eda54d" PartId="16de452195264878b81d783435ce2896"/>
    <Part Type="signatura" DocPartId="2b72779593184a799144ac3157241c79" PartId="781fc6fa42824c6ba9a0730996f0dc2e"/>
  </Part>
</Parts>
</file>

<file path=customXml/itemProps1.xml><?xml version="1.0" encoding="utf-8"?>
<ds:datastoreItem xmlns:ds="http://schemas.openxmlformats.org/officeDocument/2006/customXml" ds:itemID="{AA8059D0-31DB-40DC-82A5-D7484DF69D2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933</Words>
  <Characters>6254</Characters>
  <Application>Microsoft Office Word</Application>
  <DocSecurity>4</DocSecurity>
  <Lines>148</Lines>
  <Paragraphs>55</Paragraphs>
  <ScaleCrop>false</ScaleCrop>
  <HeadingPairs>
    <vt:vector size="2" baseType="variant">
      <vt:variant>
        <vt:lpstr>Pavadinimas</vt:lpstr>
      </vt:variant>
      <vt:variant>
        <vt:i4>1</vt:i4>
      </vt:variant>
    </vt:vector>
  </HeadingPairs>
  <TitlesOfParts>
    <vt:vector size="1" baseType="lpstr">
      <vt:lpstr>é</vt:lpstr>
    </vt:vector>
  </TitlesOfParts>
  <Company>ZUM</Company>
  <LinksUpToDate>false</LinksUpToDate>
  <CharactersWithSpaces>7132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2023-08-11T12:59:00Z</dcterms:created>
  <dc:creator>Vida Kučinskienė</dc:creator>
  <dc:description>Dokumentas koreguotas UAB Fotonija 'Korektoriumi' v. 1.1 2001.05.18 15:24:17_x000d_Dokumentas koreguotas UAB Fotonija 'Korektoriumi' v. 1.1 2001.05.21 11:01:19</dc:description>
  <lastModifiedBy>adlibuser</lastModifiedBy>
  <lastPrinted>2017-06-05T13:42:00Z</lastPrinted>
  <dcterms:modified xsi:type="dcterms:W3CDTF">2023-08-11T12:59:00Z</dcterms:modified>
  <revision>2</revision>
  <dc:title>é</dc:title>
</coreProperties>
</file>