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3b9332fe4454d9a8ff0336bde0b2417"/>
        <w:lock w:val="sdtLocked"/>
        <w:richText/>
      </w:sdtPr>
      <w:sdtContent>
        <w:p w14:paraId="5DAD3B51" w14:textId="77777777">
          <w:pPr>
            <w:tabs>
              <w:tab w:val="center" w:pos="4819"/>
              <w:tab w:val="right" w:pos="9638"/>
            </w:tabs>
            <w:rPr>
              <w:lang w:eastAsia="lt-LT"/>
            </w:rPr>
          </w:pPr>
        </w:p>
        <w:p w14:paraId="56AB59A3" w14:textId="77777777">
          <w:pPr>
            <w:overflowPunct w:val="0"/>
            <w:spacing w:line="360" w:lineRule="auto"/>
            <w:textAlignment w:val="baseline"/>
            <w:rPr>
              <w:szCs w:val="24"/>
            </w:rPr>
          </w:pPr>
          <w:r>
            <w:rPr>
              <w:szCs w:val="24"/>
              <w:lang w:val="en-US"/>
            </w:rPr>
            <mc:AlternateContent>
              <mc:Choice Requires="wps">
                <w:drawing>
                  <wp:anchor distT="0" distB="0" distL="114300" distR="114300" simplePos="0" relativeHeight="251658240" behindDoc="0" locked="0" layoutInCell="1" allowOverlap="1" wp14:anchorId="2884CEEE" wp14:editId="0A03543C">
                    <wp:simplePos x="0" y="0"/>
                    <wp:positionH relativeFrom="margin">
                      <wp:align>right</wp:align>
                    </wp:positionH>
                    <wp:positionV relativeFrom="paragraph">
                      <wp:posOffset>-752570</wp:posOffset>
                    </wp:positionV>
                    <wp:extent cx="2103120" cy="1173192"/>
                    <wp:effectExtent l="0" t="0" r="0" b="8255"/>
                    <wp:wrapNone/>
                    <wp:docPr id="1" name="Teksto laukas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3120" cy="117319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AE43313" w14:textId="77777777">
                                <w:pPr>
                                  <w:overflowPunct w:val="0"/>
                                  <w:textAlignment w:val="baseline"/>
                                </w:pPr>
                              </w:p>
                              <w:p w14:paraId="3F881FD1" w14:textId="77777777">
                                <w:pPr>
                                  <w:overflowPunct w:val="0"/>
                                  <w:textAlignment w:val="baseline"/>
                                </w:pPr>
                                <w:r>
                                  <w:t>PATVIRTINTA</w:t>
                                </w:r>
                              </w:p>
                              <w:p w14:paraId="64396C71" w14:textId="77777777">
                                <w:pPr>
                                  <w:overflowPunct w:val="0"/>
                                  <w:textAlignment w:val="baseline"/>
                                </w:pPr>
                                <w:r>
                                  <w:t>Lietuvos Respublikos</w:t>
                                </w:r>
                              </w:p>
                              <w:p w14:paraId="0A020AE3" w14:textId="77777777">
                                <w:pPr>
                                  <w:overflowPunct w:val="0"/>
                                  <w:textAlignment w:val="baseline"/>
                                </w:pPr>
                                <w:r>
                                  <w:t>žemės ūkio ministro</w:t>
                                </w:r>
                              </w:p>
                              <w:p w14:paraId="0B686628" w14:textId="0F8F0153">
                                <w:pPr>
                                  <w:overflowPunct w:val="0"/>
                                  <w:textAlignment w:val="baseline"/>
                                </w:pPr>
                                <w:r>
                                  <w:t xml:space="preserve">2023 m.                            d.</w:t>
                                </w:r>
                              </w:p>
                              <w:p w14:paraId="3F23CF25" w14:textId="7C32827F">
                                <w:pPr>
                                  <w:overflowPunct w:val="0"/>
                                  <w:textAlignment w:val="baseline"/>
                                </w:pPr>
                                <w:r>
                                  <w:t>įsakymu Nr. 3D-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884CEEE" id="_x0000_t202" coordsize="21600,21600" o:spt="202" path="m,l,21600r21600,l21600,xe">
                    <v:stroke joinstyle="miter"/>
                    <v:path gradientshapeok="t" o:connecttype="rect"/>
                  </v:shapetype>
                  <v:shape id="Teksto laukas 1" o:spid="_x0000_s1026" type="#_x0000_t202" style="position:absolute;margin-left:114.4pt;margin-top:-59.25pt;width:165.6pt;height:92.4pt;z-index:2516582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PdWN7iAIAABUFAAAOAAAAZHJzL2Uyb0RvYy54bWysVMlu2zAQvRfoPxC8O1oix5YQOchSFwXS BUj6AbRIWUQojkrSltKi/94hZTvqciiK6kCRnOHjzLw3vLwaWkX2wlgJuqTJWUyJ0BVwqbcl/fy4 ni0psY5pzhRoUdJnYenV6vWry74rRAoNKC4MQRBti74raeNcV0SRrRrRMnsGndBorMG0zOHSbCNu WI/orYrSOL6IejC8M1AJa3H3bjTSVcCva1G5j3VthSOqpBibC6MJ48aP0eqSFVvDukZWhzDYP0TR Mqnx0hPUHXOM7Iz8DaqVlQELtTuroI2grmUlQg6YTRL/ks1DwzoRcsHi2O5UJvv/YKsP+0+GSI7c UaJZixQ9iifrgCi2e2KWJL5EfWcL9Hzo0NcNNzB4d5+u7e6herJEw23D9FZcGwN9IxjHEMPJaHJ0 xLEeZNO/B453sZ2DADTUpvWAWBGC6EjV84keMThS4WaaxOdJiqYKbUmyOE/y1EcXseJ4vDPWvRXQ Ej8pqUH+Azzb31s3uh5dQvigJF9LpcLCbDe3ypA9Q62sw3dAt1M3pb2zBn9sRBx3MEq8w9t8vIH7 b3mSZvFNms/WF8vFLFtn81m+iJezOMlv8os4y7O79XcfYJIVjeRc6HupxVGHSfZ3PB86YlRQUCLp S5rP0/nI0TR6O00yDt+fkmylw7ZUsi3p8uTECs/sG80xbVY4JtU4j34OPxCCNTj+Q1WCDjz1owjc sBkQxYtjA/wZFWEA+UJu8S3BSQPmKyU99mVJ7ZcdM4IS9U6jqvIky3wjh0U2X3g9mKllM7UwXSFU SR0l4/TWjc2/64zcNnjTqGMN16jEWgaNvESFKfgF9l5I5vBO+OaeroPXy2u2+gEAAP//AwBQSwME FAAGAAgAAAAhAP8sl5fdAAAACAEAAA8AAABkcnMvZG93bnJldi54bWxMj0FPg0AUhO8m/ofNM/Fi 2oViaUUejZpovLb2BzzgFYjsW8JuC/33ric9TmYy802+m02vLjy6zgpCvIxAsVS27qRBOH69L7ag nCepqbfCCFd2sCtub3LKajvJni8H36hQIi4jhNb7IdPaVS0bcks7sATvZEdDPsix0fVIUyg3vV5F UaoNdRIWWhr4reXq+3A2CKfP6WH9NJUf/rjZP6av1G1Ke0W8v5tfnkF5nv1fGH7xAzoUgam0Z6md 6hHCEY+wiOPtGlTwkyRegSoR0jQBXeT6/4HiBwAA//8DAFBLAQItABQABgAIAAAAIQC2gziS/gAA AOEBAAATAAAAAAAAAAAAAAAAAAAAAABbQ29udGVudF9UeXBlc10ueG1sUEsBAi0AFAAGAAgAAAAh ADj9If/WAAAAlAEAAAsAAAAAAAAAAAAAAAAALwEAAF9yZWxzLy5yZWxzUEsBAi0AFAAGAAgAAAAh AE91Y3uIAgAAFQUAAA4AAAAAAAAAAAAAAAAALgIAAGRycy9lMm9Eb2MueG1sUEsBAi0AFAAGAAgA AAAhAP8sl5fdAAAACAEAAA8AAAAAAAAAAAAAAAAA4gQAAGRycy9kb3ducmV2LnhtbFBLBQYAAAAA BAAEAPMAAADsBQAAAAA= " stroked="f">
                    <v:textbox>
                      <w:txbxContent>
                        <w:p w14:paraId="1AE43313" w14:textId="77777777">
                          <w:pPr>
                            <w:overflowPunct w:val="0"/>
                            <w:spacing w:line="240"/>
                            <w:textAlignment w:val="baseline"/>
                            <w:rPr>
                              <w:rFonts w:ascii="Times New Roman" w:hAnsi="Times New Roman" w:eastAsia="Times New Roman" w:cs="Times New Roman"/>
                            </w:rPr>
                          </w:pPr>
                        </w:p>
                        <w:p w14:paraId="3F881FD1" w14:textId="77777777">
                          <w:pPr>
                            <w:overflowPunct w:val="0"/>
                            <w:spacing w:line="240"/>
                            <w:textAlignment w:val="baseline"/>
                            <w:rPr>
                              <w:rFonts w:ascii="Times New Roman" w:hAnsi="Times New Roman" w:eastAsia="Times New Roman" w:cs="Times New Roman"/>
                            </w:rPr>
                          </w:pPr>
                          <w:r>
                            <w:rPr>
                              <w:rFonts w:ascii="Times New Roman" w:hAnsi="Times New Roman" w:eastAsia="Times New Roman" w:cs="Times New Roman"/>
                            </w:rPr>
                            <w:t>PATVIRTINTA</w:t>
                          </w:r>
                        </w:p>
                        <w:p w14:paraId="64396C71" w14:textId="77777777">
                          <w:pPr>
                            <w:overflowPunct w:val="0"/>
                            <w:spacing w:line="240"/>
                            <w:textAlignment w:val="baseline"/>
                            <w:rPr>
                              <w:rFonts w:ascii="Times New Roman" w:hAnsi="Times New Roman" w:eastAsia="Times New Roman" w:cs="Times New Roman"/>
                            </w:rPr>
                          </w:pPr>
                          <w:r>
                            <w:rPr>
                              <w:rFonts w:ascii="Times New Roman" w:hAnsi="Times New Roman" w:eastAsia="Times New Roman" w:cs="Times New Roman"/>
                            </w:rPr>
                            <w:t>Lietuvos Respublikos</w:t>
                          </w:r>
                        </w:p>
                        <w:p w14:paraId="0A020AE3" w14:textId="77777777">
                          <w:pPr>
                            <w:overflowPunct w:val="0"/>
                            <w:spacing w:line="240"/>
                            <w:textAlignment w:val="baseline"/>
                            <w:rPr>
                              <w:rFonts w:ascii="Times New Roman" w:hAnsi="Times New Roman" w:eastAsia="Times New Roman" w:cs="Times New Roman"/>
                            </w:rPr>
                          </w:pPr>
                          <w:r>
                            <w:rPr>
                              <w:rFonts w:ascii="Times New Roman" w:hAnsi="Times New Roman" w:eastAsia="Times New Roman" w:cs="Times New Roman"/>
                            </w:rPr>
                            <w:t>žemės ūkio ministro</w:t>
                          </w:r>
                        </w:p>
                        <w:p w14:paraId="0B686628" w14:textId="0F8F0153">
                          <w:pPr>
                            <w:overflowPunct w:val="0"/>
                            <w:spacing w:line="240"/>
                            <w:textAlignment w:val="baseline"/>
                            <w:rPr>
                              <w:rFonts w:ascii="Times New Roman" w:hAnsi="Times New Roman" w:eastAsia="Times New Roman" w:cs="Times New Roman"/>
                            </w:rPr>
                          </w:pPr>
                          <w:r>
                            <w:rPr>
                              <w:rFonts w:ascii="Times New Roman" w:hAnsi="Times New Roman" w:eastAsia="Times New Roman" w:cs="Times New Roman"/>
                            </w:rPr>
                            <w:t xml:space="preserve">2023 m.                            d.</w:t>
                          </w:r>
                        </w:p>
                        <w:p w14:paraId="3F23CF25" w14:textId="7C32827F">
                          <w:pPr>
                            <w:overflowPunct w:val="0"/>
                            <w:spacing w:line="240"/>
                            <w:textAlignment w:val="baseline"/>
                            <w:rPr>
                              <w:rFonts w:ascii="Times New Roman" w:hAnsi="Times New Roman" w:eastAsia="Times New Roman" w:cs="Times New Roman"/>
                            </w:rPr>
                          </w:pPr>
                          <w:r>
                            <w:rPr>
                              <w:rFonts w:ascii="Times New Roman" w:hAnsi="Times New Roman" w:eastAsia="Times New Roman" w:cs="Times New Roman"/>
                            </w:rPr>
                            <w:t>įsakymu Nr. 3D-</w:t>
                          </w:r>
                        </w:p>
                      </w:txbxContent>
                    </v:textbox>
                    <w10:wrap anchorx="margin"/>
                  </v:shape>
                </w:pict>
              </mc:Fallback>
            </mc:AlternateContent>
          </w:r>
        </w:p>
        <w:p w14:paraId="069A9803" w14:textId="77777777">
          <w:pPr>
            <w:overflowPunct w:val="0"/>
            <w:jc w:val="center"/>
            <w:textAlignment w:val="baseline"/>
            <w:rPr>
              <w:b/>
              <w:bCs/>
            </w:rPr>
          </w:pPr>
        </w:p>
        <w:p w14:paraId="73C65DBD" w14:textId="77777777">
          <w:pPr>
            <w:overflowPunct w:val="0"/>
            <w:jc w:val="center"/>
            <w:textAlignment w:val="baseline"/>
            <w:rPr>
              <w:b/>
              <w:bCs/>
            </w:rPr>
          </w:pPr>
        </w:p>
        <w:p w14:paraId="1C0713C6" w14:textId="730276A3">
          <w:pPr>
            <w:overflowPunct w:val="0"/>
            <w:jc w:val="center"/>
            <w:textAlignment w:val="baseline"/>
            <w:rPr>
              <w:b/>
              <w:szCs w:val="24"/>
            </w:rPr>
          </w:pPr>
          <w:r>
            <w:rPr>
              <w:b/>
              <w:bCs/>
            </w:rPr>
            <w:t xml:space="preserve">2023 M. EUROPOS SĄJUNGOS </w:t>
          </w:r>
          <w:r>
            <w:rPr>
              <w:b/>
              <w:szCs w:val="24"/>
            </w:rPr>
            <w:t>PARAMOS PIENO GAMINTOJAMS EKONOMINIAM GYVYBINGUMUI IŠSAUGOTI ADMINISTRAVIMO TAISYKLĖS</w:t>
          </w:r>
        </w:p>
        <w:p w14:paraId="568E4D00" w14:textId="77777777">
          <w:pPr>
            <w:overflowPunct w:val="0"/>
            <w:spacing w:line="360" w:lineRule="auto"/>
            <w:jc w:val="center"/>
            <w:textAlignment w:val="baseline"/>
            <w:rPr>
              <w:b/>
              <w:szCs w:val="24"/>
            </w:rPr>
          </w:pPr>
        </w:p>
        <w:sdt>
          <w:sdtPr>
            <w:alias w:val="skyrius"/>
            <w:tag w:val="part_2eb8e492b49c4de583b1204b7a28564a"/>
            <w:lock w:val="sdtLocked"/>
            <w:richText/>
          </w:sdtPr>
          <w:sdtContent>
            <w:p w14:paraId="2C2CCA13" w14:textId="77777777">
              <w:pPr>
                <w:overflowPunct w:val="0"/>
                <w:jc w:val="center"/>
                <w:textAlignment w:val="baseline"/>
                <w:rPr>
                  <w:b/>
                  <w:szCs w:val="24"/>
                </w:rPr>
              </w:pPr>
              <w:sdt>
                <w:sdtPr>
                  <w:alias w:val="Numeris"/>
                  <w:tag w:val="nr_2eb8e492b49c4de583b1204b7a28564a"/>
                  <w:lock w:val="sdtLocked"/>
                  <w:richText/>
                </w:sdtPr>
                <w:sdtContent>
                  <w:r>
                    <w:rPr>
                      <w:b/>
                      <w:szCs w:val="24"/>
                    </w:rPr>
                    <w:t>I</w:t>
                  </w:r>
                </w:sdtContent>
              </w:sdt>
              <w:r>
                <w:rPr>
                  <w:b/>
                  <w:szCs w:val="24"/>
                </w:rPr>
                <w:t xml:space="preserve"> SKYRIUS</w:t>
              </w:r>
            </w:p>
            <w:p w14:paraId="4D5102E8" w14:textId="77777777">
              <w:pPr>
                <w:overflowPunct w:val="0"/>
                <w:jc w:val="center"/>
                <w:textAlignment w:val="baseline"/>
                <w:rPr>
                  <w:b/>
                  <w:szCs w:val="24"/>
                </w:rPr>
              </w:pPr>
              <w:sdt>
                <w:sdtPr>
                  <w:alias w:val="Pavadinimas"/>
                  <w:tag w:val="title_2eb8e492b49c4de583b1204b7a28564a"/>
                  <w:lock w:val="sdtLocked"/>
                  <w:richText/>
                </w:sdtPr>
                <w:sdtContent>
                  <w:r>
                    <w:rPr>
                      <w:b/>
                      <w:szCs w:val="24"/>
                    </w:rPr>
                    <w:t>BENDROSIOS NUOSTATOS</w:t>
                  </w:r>
                </w:sdtContent>
              </w:sdt>
            </w:p>
            <w:p w14:paraId="37E96D7A" w14:textId="77777777">
              <w:pPr>
                <w:overflowPunct w:val="0"/>
                <w:spacing w:line="360" w:lineRule="auto"/>
                <w:jc w:val="both"/>
                <w:textAlignment w:val="baseline"/>
                <w:rPr>
                  <w:szCs w:val="24"/>
                </w:rPr>
              </w:pPr>
            </w:p>
            <w:sdt>
              <w:sdtPr>
                <w:alias w:val="1 p."/>
                <w:tag w:val="part_e2700dba04fe4af5a64fab5273e99871"/>
                <w:lock w:val="sdtLocked"/>
                <w:richText/>
              </w:sdtPr>
              <w:sdtContent>
                <w:p w14:paraId="1119AA14" w14:textId="6C56B748">
                  <w:pPr>
                    <w:tabs>
                      <w:tab w:val="left" w:pos="1134"/>
                    </w:tabs>
                    <w:suppressAutoHyphens/>
                    <w:spacing w:line="360" w:lineRule="auto"/>
                    <w:ind w:firstLine="720"/>
                    <w:jc w:val="both"/>
                    <w:textAlignment w:val="center"/>
                    <w:rPr>
                      <w:color w:val="000000"/>
                      <w:szCs w:val="24"/>
                    </w:rPr>
                  </w:pPr>
                  <w:sdt>
                    <w:sdtPr>
                      <w:alias w:val="Numeris"/>
                      <w:tag w:val="nr_e2700dba04fe4af5a64fab5273e99871"/>
                      <w:lock w:val="sdtLocked"/>
                      <w:richText/>
                    </w:sdtPr>
                    <w:sdtContent>
                      <w:r>
                        <w:rPr>
                          <w:szCs w:val="24"/>
                        </w:rPr>
                        <w:t>1</w:t>
                      </w:r>
                    </w:sdtContent>
                  </w:sdt>
                  <w:r>
                    <w:rPr>
                      <w:szCs w:val="24"/>
                    </w:rPr>
                    <w:t xml:space="preserve">. 2023 m. Europos Sąjungos (toliau – ES) paramos pieno gamintojams ekonominiam gyvybingumui išsaugoti administravimo taisyklės (toliau – taisyklės) parengtos vadovaujantis 2023 m. liepos 14 d. Komisijos deleguotuoju reglamentu </w:t>
                  </w:r>
                  <w:fldSimple w:instr="HYPERLINK http://eur-lex.europa.eu/legal-content/LIT/TXT/?uri=CELEX:31465R2023&amp;locale=lt \t _blank">
                    <w:r>
                      <w:rPr>
                        <w:szCs w:val="24"/>
                        <w:u w:val="single"/>
                        <w:color w:val="0000FF" w:themeColor="hyperlink"/>
                      </w:rPr>
                      <w:t>(ES) Nr. 2023/1465</w:t>
                    </w:r>
                  </w:fldSimple>
                  <w:r>
                    <w:rPr>
                      <w:szCs w:val="24"/>
                    </w:rPr>
                    <w:t>, kuriuo</w:t>
                  </w:r>
                  <w:r>
                    <w:rPr>
                      <w:color w:val="000000"/>
                      <w:szCs w:val="24"/>
                    </w:rPr>
                    <w:t xml:space="preserve"> numatoma </w:t>
                  </w:r>
                  <w:r>
                    <w:rPr>
                      <w:color w:val="000000"/>
                      <w:szCs w:val="24"/>
                      <w:lang w:eastAsia="lt-LT"/>
                    </w:rPr>
                    <w:t>skubi finansinė parama žemės ūkio sektoriams, patyrusiems konkrečių problemų, darančių poveikį žemės ūkio produktų gamintojų ekonominiam gyvybingumui</w:t>
                  </w:r>
                  <w:r>
                    <w:rPr>
                      <w:szCs w:val="24"/>
                    </w:rPr>
                    <w:t>.</w:t>
                  </w:r>
                </w:p>
              </w:sdtContent>
            </w:sdt>
            <w:sdt>
              <w:sdtPr>
                <w:alias w:val="2 p."/>
                <w:tag w:val="part_bc7006820e0f48778d3ac8f8b48be47c"/>
                <w:lock w:val="sdtLocked"/>
                <w:richText/>
              </w:sdtPr>
              <w:sdtContent>
                <w:p w14:paraId="209E830E" w14:textId="579CF45C">
                  <w:pPr>
                    <w:tabs>
                      <w:tab w:val="left" w:pos="1134"/>
                    </w:tabs>
                    <w:suppressAutoHyphens/>
                    <w:overflowPunct w:val="0"/>
                    <w:spacing w:line="360" w:lineRule="auto"/>
                    <w:ind w:firstLine="709"/>
                    <w:jc w:val="both"/>
                    <w:textAlignment w:val="center"/>
                    <w:rPr>
                      <w:color w:val="000000"/>
                      <w:szCs w:val="24"/>
                    </w:rPr>
                  </w:pPr>
                  <w:sdt>
                    <w:sdtPr>
                      <w:alias w:val="Numeris"/>
                      <w:tag w:val="nr_bc7006820e0f48778d3ac8f8b48be47c"/>
                      <w:lock w:val="sdtLocked"/>
                      <w:richText/>
                    </w:sdtPr>
                    <w:sdtContent>
                      <w:r>
                        <w:rPr>
                          <w:szCs w:val="24"/>
                        </w:rPr>
                        <w:t>2</w:t>
                      </w:r>
                    </w:sdtContent>
                  </w:sdt>
                  <w:r>
                    <w:rPr>
                      <w:szCs w:val="24"/>
                    </w:rPr>
                    <w:t xml:space="preserve">. Taisyklių tikslas – nustatyti </w:t>
                  </w:r>
                  <w:r>
                    <w:t xml:space="preserve">2023 m. ES paramos pieno gamintojams (toliau – gamintojai), jų ekonominiam gyvybingumui išsaugoti, </w:t>
                  </w:r>
                  <w:r>
                    <w:rPr>
                      <w:szCs w:val="24"/>
                    </w:rPr>
                    <w:t>(toliau – parama) skyrimo reikalavimus ir administravimo tvarką.</w:t>
                  </w:r>
                </w:p>
              </w:sdtContent>
            </w:sdt>
            <w:sdt>
              <w:sdtPr>
                <w:alias w:val="3 p."/>
                <w:tag w:val="part_6e738682217449bf97af5e945dbd132e"/>
                <w:lock w:val="sdtLocked"/>
                <w:richText/>
              </w:sdtPr>
              <w:sdtContent>
                <w:p w14:paraId="7C1675FE" w14:textId="52222BB5">
                  <w:pPr>
                    <w:tabs>
                      <w:tab w:val="left" w:pos="1134"/>
                    </w:tabs>
                    <w:suppressAutoHyphens/>
                    <w:overflowPunct w:val="0"/>
                    <w:spacing w:line="360" w:lineRule="auto"/>
                    <w:ind w:firstLine="709"/>
                    <w:jc w:val="both"/>
                    <w:textAlignment w:val="center"/>
                    <w:rPr>
                      <w:szCs w:val="24"/>
                    </w:rPr>
                  </w:pPr>
                  <w:sdt>
                    <w:sdtPr>
                      <w:alias w:val="Numeris"/>
                      <w:tag w:val="nr_6e738682217449bf97af5e945dbd132e"/>
                      <w:lock w:val="sdtLocked"/>
                      <w:richText/>
                    </w:sdtPr>
                    <w:sdtContent>
                      <w:r>
                        <w:rPr>
                          <w:szCs w:val="24"/>
                        </w:rPr>
                        <w:t>3</w:t>
                      </w:r>
                    </w:sdtContent>
                  </w:sdt>
                  <w:r>
                    <w:rPr>
                      <w:szCs w:val="24"/>
                    </w:rPr>
                    <w:t>. Parama mokama iš ES biudžeto lėšų, neviršijant 10 660 962 Eur.</w:t>
                  </w:r>
                </w:p>
                <w:p w14:paraId="6545EC2A" w14:textId="4681E2AC">
                  <w:pPr>
                    <w:tabs>
                      <w:tab w:val="left" w:pos="1134"/>
                    </w:tabs>
                    <w:suppressAutoHyphens/>
                    <w:overflowPunct w:val="0"/>
                    <w:spacing w:line="360" w:lineRule="auto"/>
                    <w:ind w:firstLine="709"/>
                    <w:jc w:val="both"/>
                    <w:textAlignment w:val="center"/>
                    <w:rPr>
                      <w:szCs w:val="24"/>
                    </w:rPr>
                  </w:pPr>
                </w:p>
              </w:sdtContent>
            </w:sdt>
          </w:sdtContent>
        </w:sdt>
        <w:sdt>
          <w:sdtPr>
            <w:alias w:val="skyrius"/>
            <w:tag w:val="part_2f6422802cb14f24a2ff260090c6c836"/>
            <w:lock w:val="sdtLocked"/>
            <w:richText/>
          </w:sdtPr>
          <w:sdtContent>
            <w:p w14:paraId="44AF8A93" w14:textId="77777777">
              <w:pPr>
                <w:overflowPunct w:val="0"/>
                <w:jc w:val="center"/>
                <w:textAlignment w:val="baseline"/>
                <w:rPr>
                  <w:b/>
                  <w:szCs w:val="24"/>
                </w:rPr>
              </w:pPr>
              <w:sdt>
                <w:sdtPr>
                  <w:alias w:val="Numeris"/>
                  <w:tag w:val="nr_2f6422802cb14f24a2ff260090c6c836"/>
                  <w:lock w:val="sdtLocked"/>
                  <w:richText/>
                </w:sdtPr>
                <w:sdtContent>
                  <w:r>
                    <w:rPr>
                      <w:b/>
                      <w:szCs w:val="24"/>
                    </w:rPr>
                    <w:t>II</w:t>
                  </w:r>
                </w:sdtContent>
              </w:sdt>
              <w:r>
                <w:rPr>
                  <w:b/>
                  <w:szCs w:val="24"/>
                </w:rPr>
                <w:t xml:space="preserve"> SKYRIUS</w:t>
              </w:r>
            </w:p>
            <w:p w14:paraId="1D63F442" w14:textId="204A4A55">
              <w:pPr>
                <w:overflowPunct w:val="0"/>
                <w:jc w:val="center"/>
                <w:textAlignment w:val="baseline"/>
                <w:rPr>
                  <w:b/>
                  <w:szCs w:val="24"/>
                </w:rPr>
              </w:pPr>
              <w:sdt>
                <w:sdtPr>
                  <w:alias w:val="Pavadinimas"/>
                  <w:tag w:val="title_2f6422802cb14f24a2ff260090c6c836"/>
                  <w:lock w:val="sdtLocked"/>
                  <w:richText/>
                </w:sdtPr>
                <w:sdtContent>
                  <w:r>
                    <w:rPr>
                      <w:b/>
                      <w:szCs w:val="24"/>
                    </w:rPr>
                    <w:t>PARAMOS DYDIS IR PARAMOS SKYRIMO REIKALAVIMAI</w:t>
                  </w:r>
                </w:sdtContent>
              </w:sdt>
            </w:p>
            <w:p w14:paraId="276FBD80" w14:textId="77777777">
              <w:pPr>
                <w:tabs>
                  <w:tab w:val="left" w:pos="1134"/>
                </w:tabs>
                <w:suppressAutoHyphens/>
                <w:overflowPunct w:val="0"/>
                <w:spacing w:line="360" w:lineRule="auto"/>
                <w:ind w:firstLine="709"/>
                <w:jc w:val="both"/>
                <w:textAlignment w:val="center"/>
                <w:rPr>
                  <w:szCs w:val="24"/>
                </w:rPr>
              </w:pPr>
            </w:p>
            <w:sdt>
              <w:sdtPr>
                <w:alias w:val="4 p."/>
                <w:tag w:val="part_2455931ff4a74be2844e3a3a5ebda9a1"/>
                <w:lock w:val="sdtLocked"/>
                <w:richText/>
              </w:sdtPr>
              <w:sdtContent>
                <w:p w14:paraId="3ACD8415" w14:textId="00CE8F7C">
                  <w:pPr>
                    <w:tabs>
                      <w:tab w:val="left" w:pos="1134"/>
                    </w:tabs>
                    <w:suppressAutoHyphens/>
                    <w:overflowPunct w:val="0"/>
                    <w:spacing w:line="360" w:lineRule="auto"/>
                    <w:ind w:firstLine="709"/>
                    <w:jc w:val="both"/>
                    <w:textAlignment w:val="center"/>
                    <w:rPr>
                      <w:szCs w:val="24"/>
                    </w:rPr>
                  </w:pPr>
                  <w:sdt>
                    <w:sdtPr>
                      <w:alias w:val="Numeris"/>
                      <w:tag w:val="nr_2455931ff4a74be2844e3a3a5ebda9a1"/>
                      <w:lock w:val="sdtLocked"/>
                      <w:richText/>
                    </w:sdtPr>
                    <w:sdtContent>
                      <w:r>
                        <w:rPr>
                          <w:szCs w:val="24"/>
                        </w:rPr>
                        <w:t>4</w:t>
                      </w:r>
                    </w:sdtContent>
                  </w:sdt>
                  <w:r>
                    <w:rPr>
                      <w:szCs w:val="24"/>
                    </w:rPr>
                    <w:t>. Parama skiriama gamintojams, atitinkantiems visus šiuos reikalavimus:</w:t>
                  </w:r>
                </w:p>
                <w:sdt>
                  <w:sdtPr>
                    <w:alias w:val="4.1 pp."/>
                    <w:tag w:val="part_2401c90489b44cd39965c6c93dbe712b"/>
                    <w:lock w:val="sdtLocked"/>
                    <w:richText/>
                  </w:sdtPr>
                  <w:sdtContent>
                    <w:p w14:paraId="7950EAC6" w14:textId="6B7F65E7">
                      <w:pPr>
                        <w:spacing w:line="360" w:lineRule="auto"/>
                        <w:ind w:firstLine="709"/>
                        <w:jc w:val="both"/>
                        <w:rPr>
                          <w:rFonts w:eastAsia="Calibri"/>
                          <w:szCs w:val="24"/>
                        </w:rPr>
                      </w:pPr>
                      <w:sdt>
                        <w:sdtPr>
                          <w:alias w:val="Numeris"/>
                          <w:tag w:val="nr_2401c90489b44cd39965c6c93dbe712b"/>
                          <w:lock w:val="sdtLocked"/>
                          <w:richText/>
                        </w:sdtPr>
                        <w:sdtContent>
                          <w:r>
                            <w:rPr>
                              <w:rFonts w:eastAsia="Calibri"/>
                              <w:color w:val="000000"/>
                              <w:szCs w:val="24"/>
                            </w:rPr>
                            <w:t>4.1</w:t>
                          </w:r>
                        </w:sdtContent>
                      </w:sdt>
                      <w:r>
                        <w:rPr>
                          <w:rFonts w:eastAsia="Calibri"/>
                          <w:color w:val="000000"/>
                          <w:szCs w:val="24"/>
                        </w:rPr>
                        <w:t xml:space="preserve">. </w:t>
                      </w:r>
                      <w:r>
                        <w:rPr>
                          <w:rFonts w:eastAsia="Calibri"/>
                          <w:szCs w:val="24"/>
                        </w:rPr>
                        <w:t>Lietuvos Respublikos žemės ūkio ir kaimo verslo registre užregistruoti kaip valdos valdytojai arba partneriai ne vėliau kaip iki 2023 m. kovo 31 d. (imtinai);</w:t>
                      </w:r>
                    </w:p>
                  </w:sdtContent>
                </w:sdt>
                <w:sdt>
                  <w:sdtPr>
                    <w:alias w:val="4.2 pp."/>
                    <w:tag w:val="part_b2b04c84ad424264841f9acf638ffa5a"/>
                    <w:lock w:val="sdtLocked"/>
                    <w:richText/>
                  </w:sdtPr>
                  <w:sdtContent>
                    <w:p w14:paraId="24FD3C23" w14:textId="238EB9FF">
                      <w:pPr>
                        <w:spacing w:line="360" w:lineRule="auto"/>
                        <w:ind w:firstLine="709"/>
                        <w:jc w:val="both"/>
                        <w:rPr>
                          <w:rFonts w:eastAsia="Calibri"/>
                          <w:szCs w:val="24"/>
                        </w:rPr>
                      </w:pPr>
                      <w:sdt>
                        <w:sdtPr>
                          <w:alias w:val="Numeris"/>
                          <w:tag w:val="nr_b2b04c84ad424264841f9acf638ffa5a"/>
                          <w:lock w:val="sdtLocked"/>
                          <w:richText/>
                        </w:sdtPr>
                        <w:sdtContent>
                          <w:r>
                            <w:rPr>
                              <w:rFonts w:eastAsia="Calibri"/>
                              <w:szCs w:val="24"/>
                            </w:rPr>
                            <w:t>4.2</w:t>
                          </w:r>
                        </w:sdtContent>
                      </w:sdt>
                      <w:r>
                        <w:rPr>
                          <w:rFonts w:eastAsia="Calibri"/>
                          <w:szCs w:val="24"/>
                        </w:rPr>
                        <w:t>. kurių vardu Ūkinių gyvūnų registre (toliau – ŪGR) 2023 m. liepos 1 d. buvo registruotų pieninių karvių;</w:t>
                      </w:r>
                    </w:p>
                  </w:sdtContent>
                </w:sdt>
                <w:sdt>
                  <w:sdtPr>
                    <w:alias w:val="4.3 pp."/>
                    <w:tag w:val="part_0443bcaa86a14ec2a3acb416d4c7a0af"/>
                    <w:lock w:val="sdtLocked"/>
                    <w:richText/>
                  </w:sdtPr>
                  <w:sdtContent>
                    <w:p w14:paraId="4F77BCFF" w14:textId="635A401C">
                      <w:pPr>
                        <w:spacing w:line="360" w:lineRule="auto"/>
                        <w:ind w:firstLine="709"/>
                        <w:jc w:val="both"/>
                        <w:rPr>
                          <w:rFonts w:eastAsia="Calibri"/>
                          <w:color w:val="000000"/>
                          <w:szCs w:val="24"/>
                        </w:rPr>
                      </w:pPr>
                      <w:sdt>
                        <w:sdtPr>
                          <w:alias w:val="Numeris"/>
                          <w:tag w:val="nr_0443bcaa86a14ec2a3acb416d4c7a0af"/>
                          <w:lock w:val="sdtLocked"/>
                          <w:richText/>
                        </w:sdtPr>
                        <w:sdtContent>
                          <w:r>
                            <w:rPr>
                              <w:rFonts w:eastAsia="Calibri"/>
                              <w:szCs w:val="24"/>
                            </w:rPr>
                            <w:t>4.3</w:t>
                          </w:r>
                        </w:sdtContent>
                      </w:sdt>
                      <w:r>
                        <w:rPr>
                          <w:rFonts w:eastAsia="Calibri"/>
                          <w:szCs w:val="24"/>
                        </w:rPr>
                        <w:t xml:space="preserve">. kurie 2023 m. balandžio–birželio mėnesiais pardavė pieną perdirbti VĮ Žemės ūkio duomenų centre (toliau – Centras) </w:t>
                      </w:r>
                      <w:r>
                        <w:rPr>
                          <w:rFonts w:eastAsia="Calibri"/>
                          <w:color w:val="000000"/>
                          <w:szCs w:val="24"/>
                        </w:rPr>
                        <w:t>registruotiems pieno supirkėjams (toliau – supirkėjai);</w:t>
                      </w:r>
                    </w:p>
                  </w:sdtContent>
                </w:sdt>
                <w:sdt>
                  <w:sdtPr>
                    <w:alias w:val="4.4 pp."/>
                    <w:tag w:val="part_e19e079e64bc438583b003e8ba2e63b2"/>
                    <w:lock w:val="sdtLocked"/>
                    <w:richText/>
                  </w:sdtPr>
                  <w:sdtContent>
                    <w:p w14:paraId="2A5D8EC9" w14:textId="5784A73A">
                      <w:pPr>
                        <w:spacing w:line="360" w:lineRule="auto"/>
                        <w:ind w:firstLine="709"/>
                        <w:jc w:val="both"/>
                        <w:rPr>
                          <w:rFonts w:eastAsia="Calibri"/>
                          <w:szCs w:val="24"/>
                        </w:rPr>
                      </w:pPr>
                      <w:sdt>
                        <w:sdtPr>
                          <w:alias w:val="Numeris"/>
                          <w:tag w:val="nr_e19e079e64bc438583b003e8ba2e63b2"/>
                          <w:lock w:val="sdtLocked"/>
                          <w:richText/>
                        </w:sdtPr>
                        <w:sdtContent>
                          <w:r>
                            <w:rPr>
                              <w:rFonts w:eastAsia="Calibri"/>
                              <w:color w:val="000000"/>
                              <w:szCs w:val="24"/>
                            </w:rPr>
                            <w:t>4.4</w:t>
                          </w:r>
                        </w:sdtContent>
                      </w:sdt>
                      <w:r>
                        <w:rPr>
                          <w:rFonts w:eastAsia="Calibri"/>
                          <w:color w:val="000000"/>
                          <w:szCs w:val="24"/>
                        </w:rPr>
                        <w:t xml:space="preserve">. kuriems supirkėjai už supirktą </w:t>
                      </w:r>
                      <w:r>
                        <w:rPr>
                          <w:rFonts w:eastAsia="Calibri"/>
                          <w:szCs w:val="24"/>
                        </w:rPr>
                        <w:t xml:space="preserve">natūralų žalią pieną 2023 m. balandžio–birželio mėnesiais mokėjo vidutinę pieno pirkimo kainą ne didesnę kaip 40 ct už kilogramą žalio pieno, išskyrus gamintojus, kurių ūkiai 2023 m. rugpjūčio 1 d. turėjo ekologinio gamybos ūkio sertifikatą žalio pieno gamybai </w:t>
                      </w:r>
                      <w:r>
                        <w:rPr>
                          <w:rFonts w:eastAsia="Calibri"/>
                          <w:color w:val="000000"/>
                          <w:szCs w:val="24"/>
                        </w:rPr>
                        <w:t xml:space="preserve">(įskaitant ir ūkius, kurie turėjo pereinamojo laikotarpio </w:t>
                      </w:r>
                      <w:r>
                        <w:rPr>
                          <w:rFonts w:eastAsia="Calibri"/>
                          <w:szCs w:val="24"/>
                        </w:rPr>
                        <w:t>į ekologinio ūkio sistemą statusą), ir/arba 2023 m. kovo 1 d. buvo</w:t>
                      </w:r>
                      <w:r>
                        <w:rPr>
                          <w:rFonts w:eastAsia="Calibri"/>
                          <w:color w:val="000000"/>
                          <w:szCs w:val="24"/>
                        </w:rPr>
                        <w:t xml:space="preserve"> </w:t>
                      </w:r>
                      <w:r>
                        <w:rPr>
                          <w:rFonts w:eastAsia="Calibri"/>
                          <w:szCs w:val="24"/>
                        </w:rPr>
                        <w:t xml:space="preserve">kooperatinės bendrovės (kooperatyvo), kuri yra pripažinta žemės ūkio kooperatine bendrove, vadovaujantis Kooperatinių bendrovių (kooperatyvų) pripažinimo žemės ūkio kooperatinėmis bendrovėmis (kooperatyvais) tvarkos aprašu, patvirtintu Lietuvos Respublikos žemės ūkio ministro 2016 m. liepos 22 d. įsakymu Nr. 3D-435 „Dėl Kooperatinių bendrovių (kooperatyvų) pripažinimo žemės ūkio kooperatinėmis bendrovėmis (kooperatyvais) tvarkos aprašo patvirtinimo“, ir kuri Centre yra registruota pieno supirkėja, nariais; šiems gamintojams parama skiriama tuo atveju, jei 2023 m. balandžio–birželio mėnesiais supirkėjai jiems </w:t>
                      </w:r>
                      <w:r>
                        <w:rPr>
                          <w:rFonts w:eastAsia="Calibri"/>
                          <w:color w:val="000000"/>
                          <w:szCs w:val="24"/>
                        </w:rPr>
                        <w:t xml:space="preserve">už supirktą </w:t>
                      </w:r>
                      <w:r>
                        <w:rPr>
                          <w:rFonts w:eastAsia="Calibri"/>
                          <w:szCs w:val="24"/>
                        </w:rPr>
                        <w:t xml:space="preserve">natūralų žalią pieną mokėjo vidutinę pieno pirkimo kainą ne didesnę kaip 45 ct už kilogramą žalio pieno; </w:t>
                      </w:r>
                    </w:p>
                  </w:sdtContent>
                </w:sdt>
                <w:sdt>
                  <w:sdtPr>
                    <w:alias w:val="4.5 pp."/>
                    <w:tag w:val="part_585228c8082c43638cc1ff9a2e3999c1"/>
                    <w:lock w:val="sdtLocked"/>
                    <w:richText/>
                  </w:sdtPr>
                  <w:sdtContent>
                    <w:p w14:paraId="0F79BA67" w14:textId="3D764CD6">
                      <w:pPr>
                        <w:spacing w:line="360" w:lineRule="auto"/>
                        <w:ind w:firstLine="709"/>
                        <w:jc w:val="both"/>
                        <w:rPr>
                          <w:rFonts w:eastAsia="Calibri"/>
                          <w:color w:val="000000"/>
                          <w:szCs w:val="24"/>
                        </w:rPr>
                      </w:pPr>
                      <w:sdt>
                        <w:sdtPr>
                          <w:alias w:val="Numeris"/>
                          <w:tag w:val="nr_585228c8082c43638cc1ff9a2e3999c1"/>
                          <w:lock w:val="sdtLocked"/>
                          <w:richText/>
                        </w:sdtPr>
                        <w:sdtContent>
                          <w:r>
                            <w:rPr>
                              <w:rFonts w:eastAsia="Calibri"/>
                              <w:color w:val="000000"/>
                              <w:szCs w:val="24"/>
                            </w:rPr>
                            <w:t>4.5</w:t>
                          </w:r>
                        </w:sdtContent>
                      </w:sdt>
                      <w:r>
                        <w:rPr>
                          <w:rFonts w:eastAsia="Calibri"/>
                          <w:color w:val="000000"/>
                          <w:szCs w:val="24"/>
                        </w:rPr>
                        <w:t>. kurie ir kurių sutuoktiniai nėra ir nebuvo patvirtinti paramos gavėjai pagal Kaimo plėtros 2004–2006 metų plano priemonę „Ankstyvo pasitraukimo iš prekinės žemės ūkio gamybos rėmimas“ ir Lietuvos kaimo plėtros 2007–2013 metų programos priemonę „Ankstyvas pasitraukimas iš prekinės žemės ūkio gamybos“.</w:t>
                      </w:r>
                    </w:p>
                  </w:sdtContent>
                </w:sdt>
              </w:sdtContent>
            </w:sdt>
            <w:sdt>
              <w:sdtPr>
                <w:alias w:val="5 p."/>
                <w:tag w:val="part_8f68def1202847eeb168a87b36292d6c"/>
                <w:lock w:val="sdtLocked"/>
                <w:richText/>
              </w:sdtPr>
              <w:sdtContent>
                <w:p w14:paraId="0BCB7ACB" w14:textId="37F91C95">
                  <w:pPr>
                    <w:spacing w:line="360" w:lineRule="auto"/>
                    <w:ind w:firstLine="709"/>
                    <w:jc w:val="both"/>
                    <w:rPr>
                      <w:rFonts w:eastAsia="Calibri"/>
                      <w:szCs w:val="24"/>
                    </w:rPr>
                  </w:pPr>
                  <w:sdt>
                    <w:sdtPr>
                      <w:alias w:val="Numeris"/>
                      <w:tag w:val="nr_8f68def1202847eeb168a87b36292d6c"/>
                      <w:lock w:val="sdtLocked"/>
                      <w:richText/>
                    </w:sdtPr>
                    <w:sdtContent>
                      <w:r>
                        <w:rPr>
                          <w:rFonts w:eastAsia="Calibri"/>
                          <w:szCs w:val="24"/>
                        </w:rPr>
                        <w:t>5</w:t>
                      </w:r>
                    </w:sdtContent>
                  </w:sdt>
                  <w:r>
                    <w:rPr>
                      <w:rFonts w:eastAsia="Calibri"/>
                      <w:szCs w:val="24"/>
                    </w:rPr>
                    <w:t xml:space="preserve">. Paramos suma kiekvienam gamintojui apskaičiuojama pagal jo 2023 m. balandžio–birželio mėnesiais faktiškai parduotą natūralaus pieno kiekį (kg) padauginus iš paramos dydžio, nustatyto taisyklių 6 punkte, kuris yra diferencijuotas </w:t>
                  </w:r>
                  <w:r>
                    <w:rPr>
                      <w:rFonts w:eastAsia="Calibri"/>
                      <w:color w:val="000000"/>
                      <w:szCs w:val="24"/>
                    </w:rPr>
                    <w:t xml:space="preserve">pagal 2023 m. liepos 1 d. gamintojo ŪGR įregistruotų pieninių veislių karvių skaičių pagal 4 pakopas, kurios nustatytos </w:t>
                  </w:r>
                  <w:r>
                    <w:rPr>
                      <w:rFonts w:eastAsia="Calibri"/>
                      <w:szCs w:val="24"/>
                    </w:rPr>
                    <w:t xml:space="preserve">Lietuvos 2023–2027 metų BŽŪP strateginiame </w:t>
                  </w:r>
                  <w:r>
                    <w:rPr>
                      <w:rFonts w:eastAsia="Calibri"/>
                      <w:color w:val="000000"/>
                      <w:szCs w:val="24"/>
                    </w:rPr>
                    <w:t>plane (</w:t>
                  </w:r>
                  <w:r>
                    <w:rPr>
                      <w:rFonts w:eastAsia="Calibri"/>
                      <w:szCs w:val="24"/>
                    </w:rPr>
                    <w:t xml:space="preserve">1 pakopa – iki 10 karvių (imtinai), paramos dydis – 70 proc.; 2 pakopa – 11–50 karvių (imtinai), paramos dydis – 90 proc.; 3 pakopa – 51–150 karvių (imtinai), paramos dydis – 100 proc.; bei 4 pakopa – 151 karvė ir daugiau, paramos dydis – 75 proc.). </w:t>
                  </w:r>
                </w:p>
              </w:sdtContent>
            </w:sdt>
            <w:sdt>
              <w:sdtPr>
                <w:alias w:val="6 p."/>
                <w:tag w:val="part_8367ac187fa5420aa4372d332ca93d86"/>
                <w:lock w:val="sdtLocked"/>
                <w:richText/>
              </w:sdtPr>
              <w:sdtContent>
                <w:p w14:paraId="718099E2" w14:textId="622C43D8">
                  <w:pPr>
                    <w:spacing w:line="360" w:lineRule="auto"/>
                    <w:ind w:firstLine="709"/>
                    <w:jc w:val="both"/>
                    <w:rPr>
                      <w:rFonts w:eastAsia="Calibri"/>
                      <w:color w:val="000000"/>
                      <w:szCs w:val="24"/>
                    </w:rPr>
                  </w:pPr>
                  <w:sdt>
                    <w:sdtPr>
                      <w:alias w:val="Numeris"/>
                      <w:tag w:val="nr_8367ac187fa5420aa4372d332ca93d86"/>
                      <w:lock w:val="sdtLocked"/>
                      <w:richText/>
                    </w:sdtPr>
                    <w:sdtContent>
                      <w:r>
                        <w:rPr>
                          <w:rFonts w:eastAsia="Calibri"/>
                          <w:color w:val="000000"/>
                          <w:szCs w:val="24"/>
                        </w:rPr>
                        <w:t>6</w:t>
                      </w:r>
                    </w:sdtContent>
                  </w:sdt>
                  <w:r>
                    <w:rPr>
                      <w:rFonts w:eastAsia="Calibri"/>
                      <w:color w:val="000000"/>
                      <w:szCs w:val="24"/>
                    </w:rPr>
                    <w:t xml:space="preserve">. Skaičiuojant gamintojui paramos sumą, taikomi šie Centro apskaičiuoti paramos dydžiai (kurie apskaičiuoti remiantis Centro tvarkomų registrų ir informacinių sistemų duomenimis, </w:t>
                  </w:r>
                  <w:r>
                    <w:rPr>
                      <w:rFonts w:eastAsia="Calibri"/>
                      <w:szCs w:val="24"/>
                    </w:rPr>
                    <w:t xml:space="preserve">kooperatinių bendrovių (kooperatyvų), kurie yra pripažinti žemės ūkio kooperatinėmis bendrovėmis, Centrui pateiktais duomenimis ir </w:t>
                  </w:r>
                  <w:r>
                    <w:rPr>
                      <w:rFonts w:eastAsia="Calibri"/>
                      <w:color w:val="000000"/>
                      <w:szCs w:val="24"/>
                    </w:rPr>
                    <w:t xml:space="preserve">VšĮ Ekoagros pateiktais </w:t>
                  </w:r>
                  <w:r>
                    <w:rPr>
                      <w:rFonts w:eastAsia="Calibri"/>
                      <w:szCs w:val="24"/>
                    </w:rPr>
                    <w:t xml:space="preserve">duomenimis apie ūkius, kurie 2023 m. rugpjūčio 1 d. buvo </w:t>
                  </w:r>
                  <w:r>
                    <w:rPr>
                      <w:rFonts w:eastAsia="Calibri"/>
                      <w:szCs w:val="24"/>
                      <w:shd w:val="clear" w:color="auto" w:fill="FFFFFF"/>
                    </w:rPr>
                    <w:t>sertifikuoti kaip ekologinės gamybos ūkiai žalio pieno gamybai</w:t>
                  </w:r>
                  <w:r>
                    <w:rPr>
                      <w:rFonts w:eastAsia="Calibri"/>
                      <w:color w:val="000000"/>
                      <w:szCs w:val="24"/>
                    </w:rPr>
                    <w:t xml:space="preserve"> (įskaitant ūkius, kurie turėjo pereinamojo laikotarpio </w:t>
                  </w:r>
                  <w:r>
                    <w:rPr>
                      <w:rFonts w:eastAsia="Calibri"/>
                      <w:szCs w:val="24"/>
                    </w:rPr>
                    <w:t>į ekologinio ūkio sistemą statusą)</w:t>
                  </w:r>
                  <w:r>
                    <w:rPr>
                      <w:rFonts w:eastAsia="Calibri"/>
                      <w:color w:val="000000"/>
                      <w:szCs w:val="24"/>
                    </w:rPr>
                    <w:t>:</w:t>
                  </w:r>
                </w:p>
                <w:sdt>
                  <w:sdtPr>
                    <w:alias w:val="6.1 pp."/>
                    <w:tag w:val="part_08a85828b92944e0862f50b3b48a74fb"/>
                    <w:lock w:val="sdtLocked"/>
                    <w:richText/>
                  </w:sdtPr>
                  <w:sdtContent>
                    <w:p w14:paraId="5FDC0FAC" w14:textId="71665AA4">
                      <w:pPr>
                        <w:spacing w:line="360" w:lineRule="auto"/>
                        <w:ind w:firstLine="709"/>
                        <w:jc w:val="both"/>
                        <w:rPr>
                          <w:rFonts w:eastAsia="Calibri"/>
                          <w:szCs w:val="24"/>
                        </w:rPr>
                      </w:pPr>
                      <w:sdt>
                        <w:sdtPr>
                          <w:alias w:val="Numeris"/>
                          <w:tag w:val="nr_08a85828b92944e0862f50b3b48a74fb"/>
                          <w:lock w:val="sdtLocked"/>
                          <w:richText/>
                        </w:sdtPr>
                        <w:sdtContent>
                          <w:r>
                            <w:rPr>
                              <w:rFonts w:eastAsia="Calibri"/>
                              <w:szCs w:val="24"/>
                            </w:rPr>
                            <w:t>6.1</w:t>
                          </w:r>
                        </w:sdtContent>
                      </w:sdt>
                      <w:r>
                        <w:rPr>
                          <w:rFonts w:eastAsia="Calibri"/>
                          <w:szCs w:val="24"/>
                        </w:rPr>
                        <w:t xml:space="preserve">. 1 pakopa – gamintojams, </w:t>
                      </w:r>
                      <w:r>
                        <w:rPr>
                          <w:rFonts w:eastAsia="Calibri"/>
                          <w:color w:val="000000"/>
                          <w:szCs w:val="24"/>
                        </w:rPr>
                        <w:t>2023 m. liepos 1 d.</w:t>
                      </w:r>
                      <w:r>
                        <w:rPr>
                          <w:rFonts w:eastAsia="Calibri"/>
                          <w:szCs w:val="24"/>
                        </w:rPr>
                        <w:t xml:space="preserve"> laikiusiems iki 10 karvių (imtinai), paramos dydis – 41,00 Eur už žalio natūralaus pieno toną;</w:t>
                      </w:r>
                    </w:p>
                  </w:sdtContent>
                </w:sdt>
                <w:sdt>
                  <w:sdtPr>
                    <w:alias w:val="6.2 pp."/>
                    <w:tag w:val="part_519218e7e2db4f788c80c5ff719e0f63"/>
                    <w:lock w:val="sdtLocked"/>
                    <w:richText/>
                  </w:sdtPr>
                  <w:sdtContent>
                    <w:p w14:paraId="5668FC68" w14:textId="6C90652F">
                      <w:pPr>
                        <w:spacing w:line="360" w:lineRule="auto"/>
                        <w:ind w:firstLine="709"/>
                        <w:jc w:val="both"/>
                        <w:rPr>
                          <w:rFonts w:eastAsia="Calibri"/>
                          <w:szCs w:val="24"/>
                        </w:rPr>
                      </w:pPr>
                      <w:sdt>
                        <w:sdtPr>
                          <w:alias w:val="Numeris"/>
                          <w:tag w:val="nr_519218e7e2db4f788c80c5ff719e0f63"/>
                          <w:lock w:val="sdtLocked"/>
                          <w:richText/>
                        </w:sdtPr>
                        <w:sdtContent>
                          <w:r>
                            <w:rPr>
                              <w:rFonts w:eastAsia="Calibri"/>
                              <w:szCs w:val="24"/>
                            </w:rPr>
                            <w:t>6.2</w:t>
                          </w:r>
                        </w:sdtContent>
                      </w:sdt>
                      <w:r>
                        <w:rPr>
                          <w:rFonts w:eastAsia="Calibri"/>
                          <w:szCs w:val="24"/>
                        </w:rPr>
                        <w:t xml:space="preserve">. 2 pakopa – gamintojams, </w:t>
                      </w:r>
                      <w:r>
                        <w:rPr>
                          <w:rFonts w:eastAsia="Calibri"/>
                          <w:color w:val="000000"/>
                          <w:szCs w:val="24"/>
                        </w:rPr>
                        <w:t>2023 m. liepos 1 d.</w:t>
                      </w:r>
                      <w:r>
                        <w:rPr>
                          <w:rFonts w:eastAsia="Calibri"/>
                          <w:szCs w:val="24"/>
                        </w:rPr>
                        <w:t xml:space="preserve"> laikiusiems 11–50 karvių (imtinai), paramos dydis – 52,71 Eur už žalio natūralaus pieno toną;</w:t>
                      </w:r>
                    </w:p>
                  </w:sdtContent>
                </w:sdt>
                <w:sdt>
                  <w:sdtPr>
                    <w:alias w:val="6.3 pp."/>
                    <w:tag w:val="part_542fe575b62d4bd2bc646a4f0adcf283"/>
                    <w:lock w:val="sdtLocked"/>
                    <w:richText/>
                  </w:sdtPr>
                  <w:sdtContent>
                    <w:p w14:paraId="0B27D78A" w14:textId="5736AECE">
                      <w:pPr>
                        <w:spacing w:line="360" w:lineRule="auto"/>
                        <w:ind w:firstLine="709"/>
                        <w:jc w:val="both"/>
                        <w:rPr>
                          <w:rFonts w:eastAsia="Calibri"/>
                          <w:szCs w:val="24"/>
                        </w:rPr>
                      </w:pPr>
                      <w:sdt>
                        <w:sdtPr>
                          <w:alias w:val="Numeris"/>
                          <w:tag w:val="nr_542fe575b62d4bd2bc646a4f0adcf283"/>
                          <w:lock w:val="sdtLocked"/>
                          <w:richText/>
                        </w:sdtPr>
                        <w:sdtContent>
                          <w:r>
                            <w:rPr>
                              <w:rFonts w:eastAsia="Calibri"/>
                              <w:szCs w:val="24"/>
                            </w:rPr>
                            <w:t>6.3</w:t>
                          </w:r>
                        </w:sdtContent>
                      </w:sdt>
                      <w:r>
                        <w:rPr>
                          <w:rFonts w:eastAsia="Calibri"/>
                          <w:szCs w:val="24"/>
                        </w:rPr>
                        <w:t xml:space="preserve">. 3 pakopa – gamintojams, </w:t>
                      </w:r>
                      <w:r>
                        <w:rPr>
                          <w:rFonts w:eastAsia="Calibri"/>
                          <w:color w:val="000000"/>
                          <w:szCs w:val="24"/>
                        </w:rPr>
                        <w:t>2023 m. liepos 1 d.</w:t>
                      </w:r>
                      <w:r>
                        <w:rPr>
                          <w:rFonts w:eastAsia="Calibri"/>
                          <w:szCs w:val="24"/>
                        </w:rPr>
                        <w:t xml:space="preserve"> laikiusiems 51–150 karvių (imtinai), paramos dydis – 58,57 Eur už žalio natūralaus pieno toną;</w:t>
                      </w:r>
                    </w:p>
                  </w:sdtContent>
                </w:sdt>
                <w:sdt>
                  <w:sdtPr>
                    <w:alias w:val="6.4 pp."/>
                    <w:tag w:val="part_c76f6e3502ae409eb6efa1ec228689c5"/>
                    <w:lock w:val="sdtLocked"/>
                    <w:richText/>
                  </w:sdtPr>
                  <w:sdtContent>
                    <w:p w14:paraId="7AA08086" w14:textId="15A6959C">
                      <w:pPr>
                        <w:spacing w:line="360" w:lineRule="auto"/>
                        <w:ind w:firstLine="709"/>
                        <w:jc w:val="both"/>
                        <w:rPr>
                          <w:rFonts w:eastAsia="Calibri"/>
                          <w:szCs w:val="24"/>
                        </w:rPr>
                      </w:pPr>
                      <w:sdt>
                        <w:sdtPr>
                          <w:alias w:val="Numeris"/>
                          <w:tag w:val="nr_c76f6e3502ae409eb6efa1ec228689c5"/>
                          <w:lock w:val="sdtLocked"/>
                          <w:richText/>
                        </w:sdtPr>
                        <w:sdtContent>
                          <w:r>
                            <w:rPr>
                              <w:rFonts w:eastAsia="Calibri"/>
                              <w:szCs w:val="24"/>
                            </w:rPr>
                            <w:t>6.4</w:t>
                          </w:r>
                        </w:sdtContent>
                      </w:sdt>
                      <w:r>
                        <w:rPr>
                          <w:rFonts w:eastAsia="Calibri"/>
                          <w:szCs w:val="24"/>
                        </w:rPr>
                        <w:t xml:space="preserve">. 4 pakopa – gamintojams, </w:t>
                      </w:r>
                      <w:r>
                        <w:rPr>
                          <w:rFonts w:eastAsia="Calibri"/>
                          <w:color w:val="000000"/>
                          <w:szCs w:val="24"/>
                        </w:rPr>
                        <w:t>2023 m. liepos 1 d.</w:t>
                      </w:r>
                      <w:r>
                        <w:rPr>
                          <w:rFonts w:eastAsia="Calibri"/>
                          <w:szCs w:val="24"/>
                        </w:rPr>
                        <w:t xml:space="preserve"> laikiusiems 151 karvę ir daugiau, paramos dydis – 43,93 Eur už žalio natūralaus pieno toną.</w:t>
                      </w:r>
                    </w:p>
                  </w:sdtContent>
                </w:sdt>
              </w:sdtContent>
            </w:sdt>
            <w:sdt>
              <w:sdtPr>
                <w:alias w:val="7 p."/>
                <w:tag w:val="part_f1712c598cc042988b4103f2d77a77f7"/>
                <w:lock w:val="sdtLocked"/>
                <w:richText/>
              </w:sdtPr>
              <w:sdtContent>
                <w:p w14:paraId="220C3167" w14:textId="15AA5985">
                  <w:pPr>
                    <w:tabs>
                      <w:tab w:val="left" w:pos="1134"/>
                    </w:tabs>
                    <w:suppressAutoHyphens/>
                    <w:overflowPunct w:val="0"/>
                    <w:spacing w:line="360" w:lineRule="auto"/>
                    <w:ind w:firstLine="709"/>
                    <w:jc w:val="both"/>
                    <w:textAlignment w:val="center"/>
                    <w:rPr>
                      <w:szCs w:val="24"/>
                    </w:rPr>
                  </w:pPr>
                  <w:sdt>
                    <w:sdtPr>
                      <w:alias w:val="Numeris"/>
                      <w:tag w:val="nr_f1712c598cc042988b4103f2d77a77f7"/>
                      <w:lock w:val="sdtLocked"/>
                      <w:richText/>
                    </w:sdtPr>
                    <w:sdtContent>
                      <w:r>
                        <w:rPr>
                          <w:szCs w:val="24"/>
                        </w:rPr>
                        <w:t>7</w:t>
                      </w:r>
                    </w:sdtContent>
                  </w:sdt>
                  <w:r>
                    <w:rPr>
                      <w:szCs w:val="24"/>
                    </w:rPr>
                    <w:t xml:space="preserve">. Gamintojui skiriama paramos suma negali </w:t>
                  </w:r>
                  <w:r>
                    <w:rPr>
                      <w:color w:val="000000"/>
                    </w:rPr>
                    <w:t>viršyti 20 000 Eur. Jei gamintojui apskaičiuota paramos suma viršija 20 000 Eur</w:t>
                  </w:r>
                  <w:r>
                    <w:t>, skiriama ir išmokama parama suma sumažinama iki nustatytos maksimalios paramos sumos (</w:t>
                  </w:r>
                  <w:r>
                    <w:rPr>
                      <w:color w:val="000000"/>
                    </w:rPr>
                    <w:t xml:space="preserve">20 000 Eur). </w:t>
                  </w:r>
                </w:p>
              </w:sdtContent>
            </w:sdt>
            <w:sdt>
              <w:sdtPr>
                <w:alias w:val="8 p."/>
                <w:tag w:val="part_e5677ec781974bbeb2ba183a4b22930f"/>
                <w:lock w:val="sdtLocked"/>
                <w:richText/>
              </w:sdtPr>
              <w:sdtContent>
                <w:p w14:paraId="73582C7C" w14:textId="4764F11A">
                  <w:pPr>
                    <w:tabs>
                      <w:tab w:val="left" w:pos="1134"/>
                    </w:tabs>
                    <w:suppressAutoHyphens/>
                    <w:overflowPunct w:val="0"/>
                    <w:spacing w:line="360" w:lineRule="auto"/>
                    <w:ind w:firstLine="709"/>
                    <w:jc w:val="both"/>
                    <w:textAlignment w:val="center"/>
                    <w:rPr>
                      <w:color w:val="000000"/>
                      <w:szCs w:val="24"/>
                    </w:rPr>
                  </w:pPr>
                  <w:sdt>
                    <w:sdtPr>
                      <w:alias w:val="Numeris"/>
                      <w:tag w:val="nr_e5677ec781974bbeb2ba183a4b22930f"/>
                      <w:lock w:val="sdtLocked"/>
                      <w:richText/>
                    </w:sdtPr>
                    <w:sdtContent>
                      <w:r>
                        <w:rPr>
                          <w:szCs w:val="24"/>
                        </w:rPr>
                        <w:t>8</w:t>
                      </w:r>
                    </w:sdtContent>
                  </w:sdt>
                  <w:r>
                    <w:rPr>
                      <w:szCs w:val="24"/>
                    </w:rPr>
                    <w:t xml:space="preserve">. </w:t>
                  </w:r>
                  <w:r>
                    <w:rPr>
                      <w:color w:val="000000"/>
                      <w:szCs w:val="24"/>
                    </w:rPr>
                    <w:t>Skaičiuojant paramą, imamas faktiškai C</w:t>
                  </w:r>
                  <w:r>
                    <w:rPr>
                      <w:szCs w:val="24"/>
                    </w:rPr>
                    <w:t xml:space="preserve">entre </w:t>
                  </w:r>
                  <w:r>
                    <w:rPr>
                      <w:color w:val="000000"/>
                      <w:szCs w:val="24"/>
                    </w:rPr>
                    <w:t xml:space="preserve">registruotiems pieno supirkėjams parduotas natūralaus riebumo pieno kiekis </w:t>
                  </w:r>
                  <w:r>
                    <w:t>2023 m. balandžio–birželio mėnesius</w:t>
                  </w:r>
                  <w:r>
                    <w:rPr>
                      <w:szCs w:val="24"/>
                    </w:rPr>
                    <w:t xml:space="preserve"> 2023 m. balandžio 1 d.–birželio 30 d.</w:t>
                  </w:r>
                  <w:r>
                    <w:t xml:space="preserve"> Jeigu bendra apskaičiuota paramos suma pieno gamintojui už mažesnė kaip 10 Eur, parama neskiriama.</w:t>
                  </w:r>
                </w:p>
              </w:sdtContent>
            </w:sdt>
            <w:sdt>
              <w:sdtPr>
                <w:alias w:val="9 p."/>
                <w:tag w:val="part_2b02c22c33eb432cb1402ead1dc08656"/>
                <w:lock w:val="sdtLocked"/>
                <w:richText/>
              </w:sdtPr>
              <w:sdtContent>
                <w:p w14:paraId="7EE62B5A" w14:textId="073D262E">
                  <w:pPr>
                    <w:spacing w:line="360" w:lineRule="auto"/>
                    <w:ind w:firstLine="709"/>
                    <w:jc w:val="both"/>
                    <w:rPr>
                      <w:rFonts w:eastAsia="Calibri"/>
                      <w:szCs w:val="24"/>
                    </w:rPr>
                  </w:pPr>
                  <w:sdt>
                    <w:sdtPr>
                      <w:alias w:val="Numeris"/>
                      <w:tag w:val="nr_2b02c22c33eb432cb1402ead1dc08656"/>
                      <w:lock w:val="sdtLocked"/>
                      <w:richText/>
                    </w:sdtPr>
                    <w:sdtContent>
                      <w:r>
                        <w:rPr>
                          <w:rFonts w:eastAsia="Calibri"/>
                          <w:szCs w:val="24"/>
                        </w:rPr>
                        <w:t>9</w:t>
                      </w:r>
                    </w:sdtContent>
                  </w:sdt>
                  <w:r>
                    <w:rPr>
                      <w:rFonts w:eastAsia="Calibri"/>
                      <w:szCs w:val="24"/>
                    </w:rPr>
                    <w:t>. Taisyklių 4.4. papunktyje nurodyti duomenys apie supirkėjų gamintojams mokėtą pieno kainą imami iš Pieno apskaitos informacinės sistemos.</w:t>
                  </w:r>
                </w:p>
              </w:sdtContent>
            </w:sdt>
            <w:sdt>
              <w:sdtPr>
                <w:alias w:val="10 p."/>
                <w:tag w:val="part_f91aa8293da24338860f926905416868"/>
                <w:lock w:val="sdtLocked"/>
                <w:richText/>
              </w:sdtPr>
              <w:sdtContent>
                <w:p w14:paraId="5DE5B731" w14:textId="408C8A4A">
                  <w:pPr>
                    <w:overflowPunct w:val="0"/>
                    <w:spacing w:line="360" w:lineRule="auto"/>
                    <w:ind w:firstLine="709"/>
                    <w:jc w:val="both"/>
                    <w:textAlignment w:val="baseline"/>
                    <w:rPr>
                      <w:szCs w:val="24"/>
                    </w:rPr>
                  </w:pPr>
                  <w:sdt>
                    <w:sdtPr>
                      <w:alias w:val="Numeris"/>
                      <w:tag w:val="nr_f91aa8293da24338860f926905416868"/>
                      <w:lock w:val="sdtLocked"/>
                      <w:richText/>
                    </w:sdtPr>
                    <w:sdtContent>
                      <w:r>
                        <w:rPr>
                          <w:szCs w:val="24"/>
                        </w:rPr>
                        <w:t>10</w:t>
                      </w:r>
                    </w:sdtContent>
                  </w:sdt>
                  <w:r>
                    <w:rPr>
                      <w:szCs w:val="24"/>
                    </w:rPr>
                    <w:t xml:space="preserve">. Pagal taisykles teikiama parama gali būti sumuojama su kita parama, finansuojama Europos žemės ūkio garantijų fondo ir Europos žemės ūkio fondo kaimo plėtrai lėšomis. </w:t>
                  </w:r>
                </w:p>
                <w:p w14:paraId="23AD2A3E" w14:textId="77777777">
                  <w:pPr>
                    <w:tabs>
                      <w:tab w:val="left" w:pos="1134"/>
                    </w:tabs>
                    <w:suppressAutoHyphens/>
                    <w:overflowPunct w:val="0"/>
                    <w:spacing w:line="360" w:lineRule="auto"/>
                    <w:jc w:val="both"/>
                    <w:textAlignment w:val="center"/>
                    <w:rPr>
                      <w:color w:val="000000"/>
                      <w:szCs w:val="24"/>
                    </w:rPr>
                  </w:pPr>
                </w:p>
              </w:sdtContent>
            </w:sdt>
          </w:sdtContent>
        </w:sdt>
        <w:sdt>
          <w:sdtPr>
            <w:alias w:val="skyrius"/>
            <w:tag w:val="part_adcb95281d9d457e80e64336eb9dec42"/>
            <w:lock w:val="sdtLocked"/>
            <w:richText/>
          </w:sdtPr>
          <w:sdtContent>
            <w:p w14:paraId="453A5248" w14:textId="5D1267DC">
              <w:pPr>
                <w:overflowPunct w:val="0"/>
                <w:jc w:val="center"/>
                <w:textAlignment w:val="baseline"/>
                <w:rPr>
                  <w:b/>
                  <w:szCs w:val="24"/>
                </w:rPr>
              </w:pPr>
              <w:sdt>
                <w:sdtPr>
                  <w:alias w:val="Numeris"/>
                  <w:tag w:val="nr_adcb95281d9d457e80e64336eb9dec42"/>
                  <w:lock w:val="sdtLocked"/>
                  <w:richText/>
                </w:sdtPr>
                <w:sdtContent>
                  <w:r>
                    <w:rPr>
                      <w:b/>
                      <w:szCs w:val="24"/>
                    </w:rPr>
                    <w:t>III</w:t>
                  </w:r>
                </w:sdtContent>
              </w:sdt>
              <w:r>
                <w:rPr>
                  <w:b/>
                  <w:szCs w:val="24"/>
                </w:rPr>
                <w:t xml:space="preserve"> SKYRIUS</w:t>
              </w:r>
            </w:p>
            <w:p w14:paraId="6973721D" w14:textId="77777777">
              <w:pPr>
                <w:overflowPunct w:val="0"/>
                <w:jc w:val="center"/>
                <w:textAlignment w:val="baseline"/>
                <w:rPr>
                  <w:b/>
                  <w:szCs w:val="24"/>
                </w:rPr>
              </w:pPr>
              <w:sdt>
                <w:sdtPr>
                  <w:alias w:val="Pavadinimas"/>
                  <w:tag w:val="title_adcb95281d9d457e80e64336eb9dec42"/>
                  <w:lock w:val="sdtLocked"/>
                  <w:richText/>
                </w:sdtPr>
                <w:sdtContent>
                  <w:r>
                    <w:rPr>
                      <w:b/>
                      <w:szCs w:val="24"/>
                    </w:rPr>
                    <w:t>ADMINISTRAVIMO PROCEDŪROS</w:t>
                  </w:r>
                </w:sdtContent>
              </w:sdt>
            </w:p>
            <w:p w14:paraId="0CEDBA33" w14:textId="77777777">
              <w:pPr>
                <w:overflowPunct w:val="0"/>
                <w:spacing w:line="360" w:lineRule="auto"/>
                <w:jc w:val="center"/>
                <w:textAlignment w:val="baseline"/>
                <w:rPr>
                  <w:b/>
                  <w:szCs w:val="24"/>
                </w:rPr>
              </w:pPr>
            </w:p>
            <w:sdt>
              <w:sdtPr>
                <w:alias w:val="11 p."/>
                <w:tag w:val="part_31a28b5fcaac4814adb580238f360c12"/>
                <w:lock w:val="sdtLocked"/>
                <w:richText/>
              </w:sdtPr>
              <w:sdtContent>
                <w:p w14:paraId="170CED14" w14:textId="3D6A2E9A">
                  <w:pPr>
                    <w:overflowPunct w:val="0"/>
                    <w:spacing w:line="360" w:lineRule="auto"/>
                    <w:ind w:firstLine="709"/>
                    <w:jc w:val="both"/>
                    <w:textAlignment w:val="baseline"/>
                    <w:rPr>
                      <w:szCs w:val="24"/>
                    </w:rPr>
                  </w:pPr>
                  <w:sdt>
                    <w:sdtPr>
                      <w:alias w:val="Numeris"/>
                      <w:tag w:val="nr_31a28b5fcaac4814adb580238f360c12"/>
                      <w:lock w:val="sdtLocked"/>
                      <w:richText/>
                    </w:sdtPr>
                    <w:sdtContent>
                      <w:r>
                        <w:rPr>
                          <w:szCs w:val="24"/>
                        </w:rPr>
                        <w:t>11</w:t>
                      </w:r>
                    </w:sdtContent>
                  </w:sdt>
                  <w:r>
                    <w:rPr>
                      <w:szCs w:val="24"/>
                    </w:rPr>
                    <w:t>. Centras:</w:t>
                  </w:r>
                </w:p>
                <w:sdt>
                  <w:sdtPr>
                    <w:alias w:val="11.1 pp."/>
                    <w:tag w:val="part_a431edf2d96c431cadb033320bcb9d71"/>
                    <w:lock w:val="sdtLocked"/>
                    <w:richText/>
                  </w:sdtPr>
                  <w:sdtContent>
                    <w:p w14:paraId="524A6DEF" w14:textId="7772EC4D">
                      <w:pPr>
                        <w:tabs>
                          <w:tab w:val="left" w:pos="993"/>
                        </w:tabs>
                        <w:suppressAutoHyphens/>
                        <w:overflowPunct w:val="0"/>
                        <w:spacing w:line="360" w:lineRule="auto"/>
                        <w:ind w:firstLine="709"/>
                        <w:jc w:val="both"/>
                        <w:textAlignment w:val="center"/>
                        <w:rPr>
                          <w:color w:val="000000"/>
                          <w:szCs w:val="24"/>
                        </w:rPr>
                      </w:pPr>
                      <w:sdt>
                        <w:sdtPr>
                          <w:alias w:val="Numeris"/>
                          <w:tag w:val="nr_a431edf2d96c431cadb033320bcb9d71"/>
                          <w:lock w:val="sdtLocked"/>
                          <w:richText/>
                        </w:sdtPr>
                        <w:sdtContent>
                          <w:r>
                            <w:rPr>
                              <w:szCs w:val="24"/>
                            </w:rPr>
                            <w:t>11.1</w:t>
                          </w:r>
                        </w:sdtContent>
                      </w:sdt>
                      <w:r>
                        <w:rPr>
                          <w:szCs w:val="24"/>
                        </w:rPr>
                        <w:t xml:space="preserve">. apskaičiuoja paramą gamintojams, atitinkantiems šių taisyklių 4 punkto </w:t>
                      </w:r>
                      <w:r>
                        <w:rPr>
                          <w:color w:val="000000"/>
                          <w:szCs w:val="24"/>
                        </w:rPr>
                        <w:t xml:space="preserve">reikalavimus, ir per 10 darbo dienų nuo šių taisyklių įsigaliojimo elektroniniu būdu perduoda </w:t>
                      </w:r>
                      <w:r>
                        <w:rPr>
                          <w:szCs w:val="24"/>
                        </w:rPr>
                        <w:t xml:space="preserve">Perduodamų duomenų apie </w:t>
                      </w:r>
                      <w:r>
                        <w:t>2023 m. ES paramos pieno gamintojams ekonominiam gyvybingumui išsaugoti</w:t>
                      </w:r>
                      <w:r>
                        <w:rPr>
                          <w:szCs w:val="24"/>
                        </w:rPr>
                        <w:t xml:space="preserve"> skyrimą suvestinę</w:t>
                      </w:r>
                      <w:r>
                        <w:rPr>
                          <w:color w:val="000000"/>
                          <w:szCs w:val="24"/>
                        </w:rPr>
                        <w:t xml:space="preserve"> (taisyklių priedas) Nacionalinei mokėjimo agentūrai prie Žemės ūkio ministerijos (toliau – Agentūra);</w:t>
                      </w:r>
                    </w:p>
                  </w:sdtContent>
                </w:sdt>
                <w:sdt>
                  <w:sdtPr>
                    <w:alias w:val="11.2 pp."/>
                    <w:tag w:val="part_45b77319200d412b88e5daddd0f54c1e"/>
                    <w:lock w:val="sdtLocked"/>
                    <w:richText/>
                  </w:sdtPr>
                  <w:sdtContent>
                    <w:p w14:paraId="16380B19" w14:textId="6B64F207">
                      <w:pPr>
                        <w:tabs>
                          <w:tab w:val="left" w:pos="993"/>
                        </w:tabs>
                        <w:suppressAutoHyphens/>
                        <w:overflowPunct w:val="0"/>
                        <w:spacing w:line="360" w:lineRule="auto"/>
                        <w:ind w:firstLine="709"/>
                        <w:jc w:val="both"/>
                        <w:textAlignment w:val="center"/>
                        <w:rPr>
                          <w:szCs w:val="24"/>
                        </w:rPr>
                      </w:pPr>
                      <w:sdt>
                        <w:sdtPr>
                          <w:alias w:val="Numeris"/>
                          <w:tag w:val="nr_45b77319200d412b88e5daddd0f54c1e"/>
                          <w:lock w:val="sdtLocked"/>
                          <w:richText/>
                        </w:sdtPr>
                        <w:sdtContent>
                          <w:r>
                            <w:rPr>
                              <w:szCs w:val="24"/>
                            </w:rPr>
                            <w:t>11.2</w:t>
                          </w:r>
                        </w:sdtContent>
                      </w:sdt>
                      <w:r>
                        <w:rPr>
                          <w:szCs w:val="24"/>
                        </w:rPr>
                        <w:t xml:space="preserve">. </w:t>
                      </w:r>
                      <w:r>
                        <w:rPr>
                          <w:color w:val="000000"/>
                          <w:szCs w:val="24"/>
                        </w:rPr>
                        <w:t xml:space="preserve">per 10 darbo dienų nuo duomenų perdavimo Agentūrai elektroniniu būdu </w:t>
                      </w:r>
                      <w:r>
                        <w:rPr>
                          <w:szCs w:val="24"/>
                        </w:rPr>
                        <w:t xml:space="preserve">duomenis apie apskaičiuotas gamintojams paramos sumas </w:t>
                      </w:r>
                      <w:r>
                        <w:rPr>
                          <w:color w:val="000000"/>
                          <w:szCs w:val="24"/>
                        </w:rPr>
                        <w:t>pateikia</w:t>
                      </w:r>
                      <w:r>
                        <w:rPr>
                          <w:szCs w:val="24"/>
                        </w:rPr>
                        <w:t xml:space="preserve"> savivaldybėms, kurios informuoja gamintojus, jeigu jie kreipiasi dėl minėtos informacijos į savivaldybę.</w:t>
                      </w:r>
                    </w:p>
                  </w:sdtContent>
                </w:sdt>
              </w:sdtContent>
            </w:sdt>
            <w:sdt>
              <w:sdtPr>
                <w:alias w:val="12 p."/>
                <w:tag w:val="part_919b26432d714dcc9a39bc69fea7170d"/>
                <w:lock w:val="sdtLocked"/>
                <w:richText/>
              </w:sdtPr>
              <w:sdtContent>
                <w:p w14:paraId="7025E363" w14:textId="567AFDB9">
                  <w:pPr>
                    <w:tabs>
                      <w:tab w:val="left" w:pos="993"/>
                    </w:tabs>
                    <w:suppressAutoHyphens/>
                    <w:overflowPunct w:val="0"/>
                    <w:spacing w:line="360" w:lineRule="auto"/>
                    <w:ind w:firstLine="709"/>
                    <w:jc w:val="both"/>
                    <w:textAlignment w:val="center"/>
                    <w:rPr>
                      <w:szCs w:val="24"/>
                    </w:rPr>
                  </w:pPr>
                  <w:sdt>
                    <w:sdtPr>
                      <w:alias w:val="Numeris"/>
                      <w:tag w:val="nr_919b26432d714dcc9a39bc69fea7170d"/>
                      <w:lock w:val="sdtLocked"/>
                      <w:richText/>
                    </w:sdtPr>
                    <w:sdtContent>
                      <w:r>
                        <w:rPr>
                          <w:szCs w:val="24"/>
                        </w:rPr>
                        <w:t>12</w:t>
                      </w:r>
                    </w:sdtContent>
                  </w:sdt>
                  <w:r>
                    <w:rPr>
                      <w:szCs w:val="24"/>
                    </w:rPr>
                    <w:t xml:space="preserve">. </w:t>
                  </w:r>
                  <w:r>
                    <w:rPr>
                      <w:color w:val="000000"/>
                      <w:szCs w:val="24"/>
                    </w:rPr>
                    <w:t>Agentūra:</w:t>
                  </w:r>
                </w:p>
                <w:sdt>
                  <w:sdtPr>
                    <w:alias w:val="12.1 pp."/>
                    <w:tag w:val="part_6915e4c07b6c4f3fa352b66663ffe525"/>
                    <w:lock w:val="sdtLocked"/>
                    <w:richText/>
                  </w:sdtPr>
                  <w:sdtContent>
                    <w:p w14:paraId="5CFDD004" w14:textId="7744EF84">
                      <w:pPr>
                        <w:overflowPunct w:val="0"/>
                        <w:spacing w:line="360" w:lineRule="auto"/>
                        <w:ind w:firstLine="709"/>
                        <w:jc w:val="both"/>
                        <w:textAlignment w:val="baseline"/>
                        <w:rPr>
                          <w:szCs w:val="24"/>
                        </w:rPr>
                      </w:pPr>
                      <w:sdt>
                        <w:sdtPr>
                          <w:alias w:val="Numeris"/>
                          <w:tag w:val="nr_6915e4c07b6c4f3fa352b66663ffe525"/>
                          <w:lock w:val="sdtLocked"/>
                          <w:richText/>
                        </w:sdtPr>
                        <w:sdtContent>
                          <w:r>
                            <w:t>12.1</w:t>
                          </w:r>
                        </w:sdtContent>
                      </w:sdt>
                      <w:r>
                        <w:t xml:space="preserve">. elektroniniu būdu iš Centro gavusi visus duomenis apie paramos gavėjams skirtas paramos sumas, užsako paramos lėšas ir išmoka jas </w:t>
                      </w:r>
                      <w:r>
                        <w:rPr>
                          <w:szCs w:val="24"/>
                        </w:rPr>
                        <w:t>Lėšų Europos Sąjungos žemės ūkio fondų ir Europos Sąjungos žuvininkystės fondų priemonėms įgyvendinti išmokėjimo ir gavimo iš Europos Komisijos taisyklių, patvirtintų Lietuvos Respublikos žemės ūkio  ministro  2006 m. spalio 17 d. įsakymu Nr. 3D-403 „Dėl Lėšų Europos Sąjungos žemės ūkio fondų ir Europos Sąjungos žuvininkystės fondų priemonėms įgyvendinti išmokėjimo ir gavimo iš Europos Komisijos taisyklių patvirtinimo“, nustatyta tvarka, bet</w:t>
                      </w:r>
                      <w:r>
                        <w:rPr>
                          <w:color w:val="000000"/>
                          <w:shd w:val="clear" w:color="auto" w:fill="FFFFFF"/>
                        </w:rPr>
                        <w:t xml:space="preserve"> ne vėliau kaip iki 2024 m. sausio 31 d</w:t>
                      </w:r>
                      <w:r>
                        <w:rPr>
                          <w:szCs w:val="24"/>
                        </w:rPr>
                        <w:t xml:space="preserve">. </w:t>
                      </w:r>
                      <w:r>
                        <w:t>Paramos lėšas perveda į banko sąskaitą, nurodytą 2023 m. Agentūrai pateiktoje Paramos už žemės ūkio naudmenas ir kitus plotus bei ūkinius gyvūnus paraiškos pagal Paramos už žemės ūkio naudmenas ir kitus plotus bei ūkinius gyvūnus paraiškos ir tiesioginių išmokų administravimo bei kontrolės taisykles, patvirtintas Lietuvos Respublikos žemės ūkio ministro 2023 m. vasario 20 d. įsakymu Nr. 3D-92 „Dėl P</w:t>
                      </w:r>
                      <w:r>
                        <w:rPr>
                          <w:color w:val="000000"/>
                          <w:szCs w:val="24"/>
                        </w:rPr>
                        <w:t xml:space="preserve">aramos už žemės ūkio naudmenas ir kitus plotus bei ūkinius gyvūnus paraiškos ir tiesioginių išmokų administravimo bei kontrolės </w:t>
                      </w:r>
                      <w:r>
                        <w:t xml:space="preserve">taisyklių patvirtinimo“, arba </w:t>
                      </w:r>
                      <w:r>
                        <w:rPr>
                          <w:color w:val="000000"/>
                          <w:shd w:val="clear" w:color="auto" w:fill="FFFFFF"/>
                        </w:rPr>
                        <w:t>į paskutinę Agentūrai žinomą paramos ir (arba) pagalbos gavėjo banko sąskaitą, kuri buvo naudota išmokant lėšas</w:t>
                      </w:r>
                      <w:r>
                        <w:t xml:space="preserve">; </w:t>
                      </w:r>
                    </w:p>
                  </w:sdtContent>
                </w:sdt>
                <w:sdt>
                  <w:sdtPr>
                    <w:alias w:val="12.2 pp."/>
                    <w:tag w:val="part_17b56f0f611c4aa798c31f816884ec0f"/>
                    <w:lock w:val="sdtLocked"/>
                    <w:richText/>
                  </w:sdtPr>
                  <w:sdtContent>
                    <w:p w14:paraId="10220FBC" w14:textId="2E0D418E">
                      <w:pPr>
                        <w:spacing w:line="360" w:lineRule="auto"/>
                        <w:ind w:firstLine="709"/>
                        <w:jc w:val="both"/>
                        <w:rPr>
                          <w:rFonts w:eastAsia="Calibri"/>
                          <w:szCs w:val="24"/>
                        </w:rPr>
                      </w:pPr>
                      <w:sdt>
                        <w:sdtPr>
                          <w:alias w:val="Numeris"/>
                          <w:tag w:val="nr_17b56f0f611c4aa798c31f816884ec0f"/>
                          <w:lock w:val="sdtLocked"/>
                          <w:richText/>
                        </w:sdtPr>
                        <w:sdtContent>
                          <w:r>
                            <w:rPr>
                              <w:rFonts w:eastAsia="Calibri"/>
                              <w:szCs w:val="24"/>
                            </w:rPr>
                            <w:t>12.2</w:t>
                          </w:r>
                        </w:sdtContent>
                      </w:sdt>
                      <w:r>
                        <w:rPr>
                          <w:rFonts w:eastAsia="Calibri"/>
                          <w:szCs w:val="24"/>
                        </w:rPr>
                        <w:t>. iki 2024 m. vasario 15 d. Žemės ūkio ministerijai raštu pateikia informaciją apie pagal šias taisykles išmokėtą bendrą paramos sumą ir paramos gavėjų skaičių bei, Ministerijos paprašius, kitą informaciją, susijusią su paramos teikimu;</w:t>
                      </w:r>
                    </w:p>
                  </w:sdtContent>
                </w:sdt>
                <w:sdt>
                  <w:sdtPr>
                    <w:alias w:val="12.3 pp."/>
                    <w:tag w:val="part_0609dbdf3c0a448680ef58ae8fdb0a79"/>
                    <w:lock w:val="sdtLocked"/>
                    <w:richText/>
                  </w:sdtPr>
                  <w:sdtContent>
                    <w:p w14:paraId="0A952B9D" w14:textId="731403B7">
                      <w:pPr>
                        <w:spacing w:line="360" w:lineRule="auto"/>
                        <w:ind w:firstLine="709"/>
                        <w:jc w:val="both"/>
                        <w:rPr>
                          <w:rFonts w:eastAsia="Calibri"/>
                          <w:szCs w:val="24"/>
                        </w:rPr>
                      </w:pPr>
                      <w:sdt>
                        <w:sdtPr>
                          <w:alias w:val="Numeris"/>
                          <w:tag w:val="nr_0609dbdf3c0a448680ef58ae8fdb0a79"/>
                          <w:lock w:val="sdtLocked"/>
                          <w:richText/>
                        </w:sdtPr>
                        <w:sdtContent>
                          <w:r>
                            <w:rPr>
                              <w:rFonts w:eastAsia="Calibri"/>
                              <w:szCs w:val="24"/>
                            </w:rPr>
                            <w:t>12.3</w:t>
                          </w:r>
                        </w:sdtContent>
                      </w:sdt>
                      <w:r>
                        <w:rPr>
                          <w:rFonts w:eastAsia="Calibri"/>
                          <w:szCs w:val="24"/>
                        </w:rPr>
                        <w:t xml:space="preserve">. </w:t>
                      </w:r>
                      <w:r>
                        <w:rPr>
                          <w:rFonts w:eastAsia="Calibri"/>
                          <w:color w:val="000000"/>
                          <w:szCs w:val="24"/>
                        </w:rPr>
                        <w:t>prireikus siunčia paramos gavėjui pranešimą, kuriame prašo nurodyti banko sąskaitos duomenis, jeigu Agentūrai atliekant mokėjimą paaiškėja, kad duomenų apie paramos gavėjo sąskaitą nėra ar turimi duomenys yra netikslūs</w:t>
                      </w:r>
                      <w:r>
                        <w:rPr>
                          <w:rFonts w:eastAsia="Calibri"/>
                          <w:szCs w:val="24"/>
                        </w:rPr>
                        <w:t xml:space="preserve">; </w:t>
                      </w:r>
                    </w:p>
                  </w:sdtContent>
                </w:sdt>
                <w:sdt>
                  <w:sdtPr>
                    <w:alias w:val="12.4 pp."/>
                    <w:tag w:val="part_21f7a7a123804a5ab5ff4ff8b28ace63"/>
                    <w:lock w:val="sdtLocked"/>
                    <w:richText/>
                  </w:sdtPr>
                  <w:sdtContent>
                    <w:p w14:paraId="771F7566" w14:textId="5245365D">
                      <w:pPr>
                        <w:tabs>
                          <w:tab w:val="left" w:pos="993"/>
                        </w:tabs>
                        <w:suppressAutoHyphens/>
                        <w:overflowPunct w:val="0"/>
                        <w:spacing w:line="360" w:lineRule="auto"/>
                        <w:ind w:firstLine="709"/>
                        <w:jc w:val="both"/>
                        <w:textAlignment w:val="center"/>
                        <w:rPr>
                          <w:szCs w:val="24"/>
                        </w:rPr>
                      </w:pPr>
                      <w:sdt>
                        <w:sdtPr>
                          <w:alias w:val="Numeris"/>
                          <w:tag w:val="nr_21f7a7a123804a5ab5ff4ff8b28ace63"/>
                          <w:lock w:val="sdtLocked"/>
                          <w:richText/>
                        </w:sdtPr>
                        <w:sdtContent>
                          <w:r>
                            <w:rPr>
                              <w:szCs w:val="24"/>
                            </w:rPr>
                            <w:t>12.4</w:t>
                          </w:r>
                        </w:sdtContent>
                      </w:sdt>
                      <w:r>
                        <w:rPr>
                          <w:szCs w:val="24"/>
                        </w:rPr>
                        <w:t>. siekdama viešai ir skaidriai panaudoti paramą, teisės aktų nustatyta tvarka interneto svetainėje www.nma.lt iki 2024 m. birželio 15 d. paskelbia paramos gavėjų sąrašus ir sumas, kurios buvo išmokėtos iš ES biudžeto kiekvienam paramos gavėjui.</w:t>
                      </w:r>
                    </w:p>
                  </w:sdtContent>
                </w:sdt>
              </w:sdtContent>
            </w:sdt>
            <w:sdt>
              <w:sdtPr>
                <w:alias w:val="13 p."/>
                <w:tag w:val="part_8800639d3b9d4c0faf0d57590f4ee5f4"/>
                <w:lock w:val="sdtLocked"/>
                <w:richText/>
              </w:sdtPr>
              <w:sdtContent>
                <w:p w14:paraId="3D8027C1" w14:textId="6A86444D">
                  <w:pPr>
                    <w:tabs>
                      <w:tab w:val="left" w:pos="993"/>
                    </w:tabs>
                    <w:suppressAutoHyphens/>
                    <w:overflowPunct w:val="0"/>
                    <w:spacing w:line="360" w:lineRule="auto"/>
                    <w:ind w:firstLine="709"/>
                    <w:jc w:val="both"/>
                    <w:textAlignment w:val="center"/>
                    <w:rPr>
                      <w:szCs w:val="24"/>
                    </w:rPr>
                  </w:pPr>
                  <w:sdt>
                    <w:sdtPr>
                      <w:alias w:val="Numeris"/>
                      <w:tag w:val="nr_8800639d3b9d4c0faf0d57590f4ee5f4"/>
                      <w:lock w:val="sdtLocked"/>
                      <w:richText/>
                    </w:sdtPr>
                    <w:sdtContent>
                      <w:r>
                        <w:rPr>
                          <w:szCs w:val="24"/>
                        </w:rPr>
                        <w:t>13</w:t>
                      </w:r>
                    </w:sdtContent>
                  </w:sdt>
                  <w:r>
                    <w:rPr>
                      <w:szCs w:val="24"/>
                    </w:rPr>
                    <w:t xml:space="preserve">. Žemės ūkio ministerija teikia Europos Komisijai informaciją, kaip nurodyta reglamento </w:t>
                  </w:r>
                  <w:fldSimple w:instr="HYPERLINK http://eur-lex.europa.eu/legal-content/LIT/TXT/?uri=CELEX:31465R2023&amp;locale=lt \t _blank">
                    <w:r>
                      <w:rPr>
                        <w:szCs w:val="24"/>
                        <w:u w:val="single"/>
                        <w:color w:val="0000FF" w:themeColor="hyperlink"/>
                      </w:rPr>
                      <w:t>(ES) Nr. 2023/1465</w:t>
                    </w:r>
                  </w:fldSimple>
                  <w:r>
                    <w:rPr>
                      <w:szCs w:val="24"/>
                    </w:rPr>
                    <w:t xml:space="preserve"> 5 straipsnyje.</w:t>
                  </w:r>
                </w:p>
              </w:sdtContent>
            </w:sdt>
            <w:sdt>
              <w:sdtPr>
                <w:alias w:val="14 p."/>
                <w:tag w:val="part_862b7b741e6c42e79e63c74ccdcb26c8"/>
                <w:lock w:val="sdtLocked"/>
                <w:richText/>
              </w:sdtPr>
              <w:sdtContent>
                <w:p w14:paraId="2C225105" w14:textId="14F40EB9">
                  <w:pPr>
                    <w:tabs>
                      <w:tab w:val="left" w:pos="993"/>
                    </w:tabs>
                    <w:suppressAutoHyphens/>
                    <w:overflowPunct w:val="0"/>
                    <w:spacing w:line="360" w:lineRule="auto"/>
                    <w:ind w:firstLine="709"/>
                    <w:jc w:val="both"/>
                    <w:textAlignment w:val="center"/>
                    <w:rPr>
                      <w:szCs w:val="24"/>
                    </w:rPr>
                  </w:pPr>
                  <w:sdt>
                    <w:sdtPr>
                      <w:alias w:val="Numeris"/>
                      <w:tag w:val="nr_862b7b741e6c42e79e63c74ccdcb26c8"/>
                      <w:lock w:val="sdtLocked"/>
                      <w:richText/>
                    </w:sdtPr>
                    <w:sdtContent>
                      <w:r>
                        <w:rPr>
                          <w:szCs w:val="24"/>
                        </w:rPr>
                        <w:t>14</w:t>
                      </w:r>
                    </w:sdtContent>
                  </w:sdt>
                  <w:r>
                    <w:rPr>
                      <w:szCs w:val="24"/>
                    </w:rPr>
                    <w:t xml:space="preserve">. Gamintojo mirties atveju įpėdinis, paveldintis gamintojo ūkį, gali kreiptis į Centrą </w:t>
                  </w:r>
                  <w:r>
                    <w:rPr>
                      <w:color w:val="000000"/>
                      <w:szCs w:val="24"/>
                    </w:rPr>
                    <w:t xml:space="preserve">iki </w:t>
                  </w:r>
                  <w:r>
                    <w:rPr>
                      <w:szCs w:val="24"/>
                    </w:rPr>
                    <w:t>2023 m. gruodžio 31 d., pateikdamas laisvos formos prašymą dėl paramos skyrimo</w:t>
                  </w:r>
                  <w:r>
                    <w:rPr>
                      <w:color w:val="000000"/>
                      <w:szCs w:val="24"/>
                    </w:rPr>
                    <w:t xml:space="preserve"> (prašyme be savo asmens duomenų nurodomi </w:t>
                  </w:r>
                  <w:r>
                    <w:rPr>
                      <w:szCs w:val="24"/>
                    </w:rPr>
                    <w:t>banko sąskaitos duomenys) ir pridėdamas paveldėjimo fakto patvirtinimo dokumento kopiją. Jeigu yra keli įpėdiniai, taip pat turi būti pateiktas rašytinis įpėdinių susitarimas dėl paramos perleidimo vienam įpėdiniui. Parama įpėdiniui, paveldinčiam gamintojo ūkį, skiriama, jeigu:</w:t>
                  </w:r>
                </w:p>
                <w:sdt>
                  <w:sdtPr>
                    <w:alias w:val="14.1 pp."/>
                    <w:tag w:val="part_70d5d33b9e3e4a06973790e43319cce9"/>
                    <w:lock w:val="sdtLocked"/>
                    <w:richText/>
                  </w:sdtPr>
                  <w:sdtContent>
                    <w:p w14:paraId="5F0CB264" w14:textId="0FBBC3C1">
                      <w:pPr>
                        <w:tabs>
                          <w:tab w:val="left" w:pos="993"/>
                        </w:tabs>
                        <w:suppressAutoHyphens/>
                        <w:overflowPunct w:val="0"/>
                        <w:spacing w:line="360" w:lineRule="auto"/>
                        <w:ind w:firstLine="709"/>
                        <w:jc w:val="both"/>
                        <w:textAlignment w:val="center"/>
                        <w:rPr>
                          <w:szCs w:val="24"/>
                        </w:rPr>
                      </w:pPr>
                      <w:sdt>
                        <w:sdtPr>
                          <w:alias w:val="Numeris"/>
                          <w:tag w:val="nr_70d5d33b9e3e4a06973790e43319cce9"/>
                          <w:lock w:val="sdtLocked"/>
                          <w:richText/>
                        </w:sdtPr>
                        <w:sdtContent>
                          <w:r>
                            <w:rPr>
                              <w:szCs w:val="24"/>
                            </w:rPr>
                            <w:t>14.1</w:t>
                          </w:r>
                        </w:sdtContent>
                      </w:sdt>
                      <w:r>
                        <w:rPr>
                          <w:szCs w:val="24"/>
                        </w:rPr>
                        <w:t>. įpėdinis yra Lietuvos Respublikos žemės ūkio ir kaimo verslo registre registruotas kaip valdos valdytojas arba partneris;</w:t>
                      </w:r>
                    </w:p>
                  </w:sdtContent>
                </w:sdt>
                <w:sdt>
                  <w:sdtPr>
                    <w:alias w:val="14.2 pp."/>
                    <w:tag w:val="part_330e3140c80c4ea28c1972e10a5dd2f5"/>
                    <w:lock w:val="sdtLocked"/>
                    <w:richText/>
                  </w:sdtPr>
                  <w:sdtContent>
                    <w:p w14:paraId="05249B98" w14:textId="1E368568">
                      <w:pPr>
                        <w:tabs>
                          <w:tab w:val="left" w:pos="993"/>
                        </w:tabs>
                        <w:suppressAutoHyphens/>
                        <w:overflowPunct w:val="0"/>
                        <w:spacing w:line="360" w:lineRule="auto"/>
                        <w:ind w:firstLine="709"/>
                        <w:jc w:val="both"/>
                        <w:textAlignment w:val="center"/>
                        <w:rPr>
                          <w:szCs w:val="24"/>
                        </w:rPr>
                      </w:pPr>
                      <w:sdt>
                        <w:sdtPr>
                          <w:alias w:val="Numeris"/>
                          <w:tag w:val="nr_330e3140c80c4ea28c1972e10a5dd2f5"/>
                          <w:lock w:val="sdtLocked"/>
                          <w:richText/>
                        </w:sdtPr>
                        <w:sdtContent>
                          <w:r>
                            <w:rPr>
                              <w:szCs w:val="24"/>
                            </w:rPr>
                            <w:t>14.2</w:t>
                          </w:r>
                        </w:sdtContent>
                      </w:sdt>
                      <w:r>
                        <w:rPr>
                          <w:szCs w:val="24"/>
                        </w:rPr>
                        <w:t>. miręs gamintojas atitiko šių taisyklių 4.1</w:t>
                      </w:r>
                      <w:r>
                        <w:t>–</w:t>
                      </w:r>
                      <w:r>
                        <w:rPr>
                          <w:szCs w:val="24"/>
                        </w:rPr>
                        <w:t>4.5 papunkčių reikalavimus.</w:t>
                      </w:r>
                    </w:p>
                  </w:sdtContent>
                </w:sdt>
              </w:sdtContent>
            </w:sdt>
            <w:sdt>
              <w:sdtPr>
                <w:alias w:val="15 p."/>
                <w:tag w:val="part_da4780f5dbd649d6962f05dcd0706774"/>
                <w:lock w:val="sdtLocked"/>
                <w:richText/>
              </w:sdtPr>
              <w:sdtContent>
                <w:p w14:paraId="6871D3F5" w14:textId="5F8275FC">
                  <w:pPr>
                    <w:tabs>
                      <w:tab w:val="left" w:pos="993"/>
                    </w:tabs>
                    <w:suppressAutoHyphens/>
                    <w:overflowPunct w:val="0"/>
                    <w:spacing w:line="360" w:lineRule="auto"/>
                    <w:ind w:firstLine="709"/>
                    <w:jc w:val="both"/>
                    <w:textAlignment w:val="center"/>
                    <w:rPr>
                      <w:szCs w:val="24"/>
                    </w:rPr>
                  </w:pPr>
                  <w:sdt>
                    <w:sdtPr>
                      <w:alias w:val="Numeris"/>
                      <w:tag w:val="nr_da4780f5dbd649d6962f05dcd0706774"/>
                      <w:lock w:val="sdtLocked"/>
                      <w:richText/>
                    </w:sdtPr>
                    <w:sdtContent>
                      <w:r>
                        <w:rPr>
                          <w:szCs w:val="24"/>
                        </w:rPr>
                        <w:t>15</w:t>
                      </w:r>
                    </w:sdtContent>
                  </w:sdt>
                  <w:r>
                    <w:rPr>
                      <w:szCs w:val="24"/>
                    </w:rPr>
                    <w:t>. Jeigu visa valda buvo perduota 2023 m. balandžio 1 d. – birželio 30 d., valdos perėmėjas, įregistruotas toje pačioje valdoje valdos valdytoju ar partneriu, gali kreiptis į Centrą iki 2023 m. gruodžio 31 d., pateikdamas laisvos formos prašymą dėl paramos skyrimo ir pridėdamas rašytinį valdos perdavėjo sutikimą dėl paramos mokėjimo valdos perėmėjui. Parama valdos perėmėjui skiriama, jeigu:</w:t>
                  </w:r>
                </w:p>
                <w:sdt>
                  <w:sdtPr>
                    <w:alias w:val="15.1 pp."/>
                    <w:tag w:val="part_cae4b8385aa549fe8f830abe49191a25"/>
                    <w:lock w:val="sdtLocked"/>
                    <w:richText/>
                  </w:sdtPr>
                  <w:sdtContent>
                    <w:p w14:paraId="71DD519E" w14:textId="1CDA1CC1">
                      <w:pPr>
                        <w:tabs>
                          <w:tab w:val="left" w:pos="993"/>
                        </w:tabs>
                        <w:suppressAutoHyphens/>
                        <w:overflowPunct w:val="0"/>
                        <w:spacing w:line="360" w:lineRule="auto"/>
                        <w:ind w:firstLine="709"/>
                        <w:jc w:val="both"/>
                        <w:textAlignment w:val="center"/>
                        <w:rPr>
                          <w:szCs w:val="24"/>
                        </w:rPr>
                      </w:pPr>
                      <w:sdt>
                        <w:sdtPr>
                          <w:alias w:val="Numeris"/>
                          <w:tag w:val="nr_cae4b8385aa549fe8f830abe49191a25"/>
                          <w:lock w:val="sdtLocked"/>
                          <w:richText/>
                        </w:sdtPr>
                        <w:sdtContent>
                          <w:r>
                            <w:rPr>
                              <w:szCs w:val="24"/>
                            </w:rPr>
                            <w:t>15.1</w:t>
                          </w:r>
                        </w:sdtContent>
                      </w:sdt>
                      <w:r>
                        <w:rPr>
                          <w:szCs w:val="24"/>
                        </w:rPr>
                        <w:t>. valdos perdavėjas arba valdos perėmėjas atitiko šių taisyklių 4.2</w:t>
                      </w:r>
                      <w:r>
                        <w:t>–</w:t>
                      </w:r>
                      <w:r>
                        <w:rPr>
                          <w:szCs w:val="24"/>
                        </w:rPr>
                        <w:t>4.3 papunkčių reikalavimus;</w:t>
                      </w:r>
                    </w:p>
                  </w:sdtContent>
                </w:sdt>
                <w:sdt>
                  <w:sdtPr>
                    <w:alias w:val="15.2 pp."/>
                    <w:tag w:val="part_1aa34a1709cc4a80b22a254b4e9b220a"/>
                    <w:lock w:val="sdtLocked"/>
                    <w:richText/>
                  </w:sdtPr>
                  <w:sdtContent>
                    <w:p w14:paraId="1F862802" w14:textId="3AFB982E">
                      <w:pPr>
                        <w:tabs>
                          <w:tab w:val="left" w:pos="993"/>
                        </w:tabs>
                        <w:suppressAutoHyphens/>
                        <w:overflowPunct w:val="0"/>
                        <w:spacing w:line="360" w:lineRule="auto"/>
                        <w:ind w:firstLine="709"/>
                        <w:jc w:val="both"/>
                        <w:textAlignment w:val="center"/>
                        <w:rPr>
                          <w:szCs w:val="24"/>
                        </w:rPr>
                      </w:pPr>
                      <w:sdt>
                        <w:sdtPr>
                          <w:alias w:val="Numeris"/>
                          <w:tag w:val="nr_1aa34a1709cc4a80b22a254b4e9b220a"/>
                          <w:lock w:val="sdtLocked"/>
                          <w:richText/>
                        </w:sdtPr>
                        <w:sdtContent>
                          <w:r>
                            <w:rPr>
                              <w:szCs w:val="24"/>
                            </w:rPr>
                            <w:t>15.2</w:t>
                          </w:r>
                        </w:sdtContent>
                      </w:sdt>
                      <w:r>
                        <w:rPr>
                          <w:szCs w:val="24"/>
                        </w:rPr>
                        <w:t>. valdos perdavėjas atitiko šių taisyklių 6.4 papunkčio reikalavimus;</w:t>
                      </w:r>
                    </w:p>
                  </w:sdtContent>
                </w:sdt>
                <w:sdt>
                  <w:sdtPr>
                    <w:alias w:val="15.3 pp."/>
                    <w:tag w:val="part_3634ce6abaf4419798ac4571666275e1"/>
                    <w:lock w:val="sdtLocked"/>
                    <w:richText/>
                  </w:sdtPr>
                  <w:sdtContent>
                    <w:p w14:paraId="78B9984F" w14:textId="55E85508">
                      <w:pPr>
                        <w:tabs>
                          <w:tab w:val="left" w:pos="993"/>
                        </w:tabs>
                        <w:suppressAutoHyphens/>
                        <w:overflowPunct w:val="0"/>
                        <w:spacing w:line="360" w:lineRule="auto"/>
                        <w:ind w:firstLine="709"/>
                        <w:jc w:val="both"/>
                        <w:textAlignment w:val="center"/>
                        <w:rPr>
                          <w:szCs w:val="24"/>
                        </w:rPr>
                      </w:pPr>
                      <w:sdt>
                        <w:sdtPr>
                          <w:alias w:val="Numeris"/>
                          <w:tag w:val="nr_3634ce6abaf4419798ac4571666275e1"/>
                          <w:lock w:val="sdtLocked"/>
                          <w:richText/>
                        </w:sdtPr>
                        <w:sdtContent>
                          <w:r>
                            <w:rPr>
                              <w:szCs w:val="24"/>
                            </w:rPr>
                            <w:t>15.3</w:t>
                          </w:r>
                        </w:sdtContent>
                      </w:sdt>
                      <w:r>
                        <w:rPr>
                          <w:szCs w:val="24"/>
                        </w:rPr>
                        <w:t>. valdos perdavėjas nėra gavęs šios paramos.</w:t>
                      </w:r>
                    </w:p>
                  </w:sdtContent>
                </w:sdt>
              </w:sdtContent>
            </w:sdt>
            <w:sdt>
              <w:sdtPr>
                <w:alias w:val="16 p."/>
                <w:tag w:val="part_4ff29bcc591b4a70bc40f87e03a84b99"/>
                <w:lock w:val="sdtLocked"/>
                <w:richText/>
              </w:sdtPr>
              <w:sdtContent>
                <w:p w14:paraId="52D41AA1" w14:textId="6CAA2DDD">
                  <w:pPr>
                    <w:tabs>
                      <w:tab w:val="left" w:pos="993"/>
                      <w:tab w:val="left" w:pos="2127"/>
                    </w:tabs>
                    <w:suppressAutoHyphens/>
                    <w:overflowPunct w:val="0"/>
                    <w:spacing w:line="360" w:lineRule="auto"/>
                    <w:ind w:firstLine="709"/>
                    <w:jc w:val="both"/>
                    <w:textAlignment w:val="baseline"/>
                    <w:rPr>
                      <w:lang w:eastAsia="lt-LT"/>
                    </w:rPr>
                  </w:pPr>
                  <w:sdt>
                    <w:sdtPr>
                      <w:alias w:val="Numeris"/>
                      <w:tag w:val="nr_4ff29bcc591b4a70bc40f87e03a84b99"/>
                      <w:lock w:val="sdtLocked"/>
                      <w:richText/>
                    </w:sdtPr>
                    <w:sdtContent>
                      <w:r>
                        <w:rPr>
                          <w:lang w:eastAsia="lt-LT"/>
                        </w:rPr>
                        <w:t>16</w:t>
                      </w:r>
                    </w:sdtContent>
                  </w:sdt>
                  <w:r>
                    <w:rPr>
                      <w:lang w:eastAsia="lt-LT"/>
                    </w:rPr>
                    <w:t>. Gamintojo mirties atveju, kai Centras gamintojo duomenis su jam skirta parama išmokėti perdavė Agentūrai, o gamintojas mirė iki paramos išmokėjimo, įpėdinis, paveldintis gamintojo ūkį, gali Agentūrai pateikti laisvos formos prašymą dėl paramos išmokėjimo (prašyme nurodo savo asmens duomenis ir banko sąskaitos duomenis), kartu pridėdamas paveldėjimo fakto patvirtinimo dokumento kopiją. Jeigu yra keli įpėdiniai, turi būti pateiktas rašytinis įpėdinių susitarimas dėl paramos perleidimo vienam įpėdiniui.</w:t>
                  </w:r>
                </w:p>
              </w:sdtContent>
            </w:sdt>
            <w:sdt>
              <w:sdtPr>
                <w:alias w:val="17 p."/>
                <w:tag w:val="part_d9c9c4bb7b05488caaaa167a344599a2"/>
                <w:lock w:val="sdtLocked"/>
                <w:richText/>
              </w:sdtPr>
              <w:sdtContent>
                <w:p w14:paraId="6C3D482F" w14:textId="58B2649C">
                  <w:pPr>
                    <w:overflowPunct w:val="0"/>
                    <w:spacing w:line="360" w:lineRule="auto"/>
                    <w:ind w:firstLine="709"/>
                    <w:jc w:val="both"/>
                    <w:textAlignment w:val="baseline"/>
                    <w:rPr>
                      <w:szCs w:val="24"/>
                      <w:lang w:eastAsia="lt-LT"/>
                    </w:rPr>
                  </w:pPr>
                  <w:sdt>
                    <w:sdtPr>
                      <w:alias w:val="Numeris"/>
                      <w:tag w:val="nr_d9c9c4bb7b05488caaaa167a344599a2"/>
                      <w:lock w:val="sdtLocked"/>
                      <w:richText/>
                    </w:sdtPr>
                    <w:sdtContent>
                      <w:r>
                        <w:rPr>
                          <w:lang w:eastAsia="lt-LT"/>
                        </w:rPr>
                        <w:t>17</w:t>
                      </w:r>
                    </w:sdtContent>
                  </w:sdt>
                  <w:r>
                    <w:rPr>
                      <w:lang w:eastAsia="lt-LT"/>
                    </w:rPr>
                    <w:t xml:space="preserve">. Jei dėl nenumatytų aplinkybių (padarytų klaidų registruose, įrašų registruose pasikeitimų dėl gamintojo mirties ar valdos perdavimo atvejo), kurios paramos skaičiavimo metu Centrui nebuvo žinomos, paramos gavėjams priskaičiuota lėšų suma viršija taisyklių 3 punkte nustatytą paramos sumą, viršijanti paramos sumos dalis bus išmokama iš valstybės biudžeto lėšų, kaip nustatyta </w:t>
                  </w:r>
                  <w:r>
                    <w:t xml:space="preserve">reglamento </w:t>
                  </w:r>
                  <w:fldSimple w:instr="HYPERLINK http://eur-lex.europa.eu/legal-content/LIT/TXT/?uri=CELEX:31465R2023&amp;locale=lt \t _blank">
                    <w:r>
                      <w:rPr>
                        <w:u w:val="single"/>
                        <w:color w:val="0000FF" w:themeColor="hyperlink"/>
                      </w:rPr>
                      <w:t>(ES) Nr. 2023/1465</w:t>
                    </w:r>
                  </w:fldSimple>
                  <w:r>
                    <w:t xml:space="preserve"> 3 straipsnio 2 dalyje, laikantis taisyklių 13.1 papunktyje nustatytų paramos išmokėjimo terminų. </w:t>
                  </w:r>
                </w:p>
                <w:p w14:paraId="031508C3" w14:textId="77777777">
                  <w:pPr>
                    <w:tabs>
                      <w:tab w:val="left" w:pos="993"/>
                    </w:tabs>
                    <w:suppressAutoHyphens/>
                    <w:overflowPunct w:val="0"/>
                    <w:spacing w:line="360" w:lineRule="auto"/>
                    <w:ind w:left="709"/>
                    <w:jc w:val="both"/>
                    <w:textAlignment w:val="center"/>
                    <w:rPr>
                      <w:szCs w:val="24"/>
                    </w:rPr>
                  </w:pPr>
                </w:p>
              </w:sdtContent>
            </w:sdt>
          </w:sdtContent>
        </w:sdt>
        <w:sdt>
          <w:sdtPr>
            <w:alias w:val="skyrius"/>
            <w:tag w:val="part_226acb876b204b36afcc0de5e2d28f9f"/>
            <w:lock w:val="sdtLocked"/>
            <w:richText/>
          </w:sdtPr>
          <w:sdtContent>
            <w:p w14:paraId="58FDD045" w14:textId="4B85CFBF">
              <w:pPr>
                <w:overflowPunct w:val="0"/>
                <w:jc w:val="center"/>
                <w:textAlignment w:val="baseline"/>
                <w:rPr>
                  <w:rFonts w:eastAsia="Calibri"/>
                  <w:b/>
                  <w:szCs w:val="24"/>
                </w:rPr>
              </w:pPr>
              <w:sdt>
                <w:sdtPr>
                  <w:alias w:val="Numeris"/>
                  <w:tag w:val="nr_226acb876b204b36afcc0de5e2d28f9f"/>
                  <w:lock w:val="sdtLocked"/>
                  <w:richText/>
                </w:sdtPr>
                <w:sdtContent>
                  <w:r>
                    <w:rPr>
                      <w:b/>
                      <w:szCs w:val="24"/>
                    </w:rPr>
                    <w:t>IV</w:t>
                  </w:r>
                </w:sdtContent>
              </w:sdt>
              <w:r>
                <w:rPr>
                  <w:b/>
                  <w:szCs w:val="24"/>
                </w:rPr>
                <w:t xml:space="preserve"> SKYRIUS</w:t>
              </w:r>
            </w:p>
            <w:p w14:paraId="1C2BC016" w14:textId="77777777">
              <w:pPr>
                <w:overflowPunct w:val="0"/>
                <w:jc w:val="center"/>
                <w:textAlignment w:val="baseline"/>
                <w:rPr>
                  <w:b/>
                  <w:szCs w:val="24"/>
                </w:rPr>
              </w:pPr>
              <w:sdt>
                <w:sdtPr>
                  <w:alias w:val="Pavadinimas"/>
                  <w:tag w:val="title_226acb876b204b36afcc0de5e2d28f9f"/>
                  <w:lock w:val="sdtLocked"/>
                  <w:richText/>
                </w:sdtPr>
                <w:sdtContent>
                  <w:r>
                    <w:rPr>
                      <w:b/>
                      <w:szCs w:val="24"/>
                    </w:rPr>
                    <w:t>GAMINTOJŲ PRAŠYMŲ IR SKUNDŲ NAGRINĖJIMAS</w:t>
                  </w:r>
                </w:sdtContent>
              </w:sdt>
            </w:p>
            <w:p w14:paraId="5574CE61" w14:textId="77777777">
              <w:pPr>
                <w:overflowPunct w:val="0"/>
                <w:spacing w:line="360" w:lineRule="auto"/>
                <w:jc w:val="center"/>
                <w:textAlignment w:val="baseline"/>
                <w:rPr>
                  <w:b/>
                  <w:szCs w:val="24"/>
                </w:rPr>
              </w:pPr>
            </w:p>
            <w:sdt>
              <w:sdtPr>
                <w:alias w:val="18 p."/>
                <w:tag w:val="part_d94e3f68d29048fe81048bfbf3778d4d"/>
                <w:lock w:val="sdtLocked"/>
                <w:richText/>
              </w:sdtPr>
              <w:sdtContent>
                <w:p w14:paraId="7D1E3687" w14:textId="4AA7B653">
                  <w:pPr>
                    <w:tabs>
                      <w:tab w:val="left" w:pos="1134"/>
                    </w:tabs>
                    <w:spacing w:line="360" w:lineRule="auto"/>
                    <w:ind w:firstLine="720"/>
                    <w:jc w:val="both"/>
                    <w:rPr>
                      <w:szCs w:val="24"/>
                    </w:rPr>
                  </w:pPr>
                  <w:sdt>
                    <w:sdtPr>
                      <w:alias w:val="Numeris"/>
                      <w:tag w:val="nr_d94e3f68d29048fe81048bfbf3778d4d"/>
                      <w:lock w:val="sdtLocked"/>
                      <w:richText/>
                    </w:sdtPr>
                    <w:sdtContent>
                      <w:r>
                        <w:rPr>
                          <w:szCs w:val="24"/>
                        </w:rPr>
                        <w:t>18</w:t>
                      </w:r>
                    </w:sdtContent>
                  </w:sdt>
                  <w:r>
                    <w:rPr>
                      <w:szCs w:val="24"/>
                    </w:rPr>
                    <w:t xml:space="preserve">. Gamintojai iki 2023 m. gruodžio 31 d. Centrui gali teikti laisvos formos prašymus dėl paramos skyrimo arba patikslinimo, kartu pateikdami prašymo pagrindimo dokumentus. </w:t>
                  </w:r>
                </w:p>
              </w:sdtContent>
            </w:sdt>
            <w:sdt>
              <w:sdtPr>
                <w:alias w:val="19 p."/>
                <w:tag w:val="part_664c17daaece474f91f2b1c93477680b"/>
                <w:lock w:val="sdtLocked"/>
                <w:richText/>
              </w:sdtPr>
              <w:sdtContent>
                <w:p w14:paraId="0B1ECA57" w14:textId="2F746461">
                  <w:pPr>
                    <w:tabs>
                      <w:tab w:val="left" w:pos="1134"/>
                    </w:tabs>
                    <w:overflowPunct w:val="0"/>
                    <w:spacing w:line="360" w:lineRule="auto"/>
                    <w:ind w:firstLine="720"/>
                    <w:jc w:val="both"/>
                    <w:textAlignment w:val="baseline"/>
                    <w:rPr>
                      <w:szCs w:val="24"/>
                    </w:rPr>
                  </w:pPr>
                  <w:sdt>
                    <w:sdtPr>
                      <w:alias w:val="Numeris"/>
                      <w:tag w:val="nr_664c17daaece474f91f2b1c93477680b"/>
                      <w:lock w:val="sdtLocked"/>
                      <w:richText/>
                    </w:sdtPr>
                    <w:sdtContent>
                      <w:r>
                        <w:rPr>
                          <w:szCs w:val="24"/>
                        </w:rPr>
                        <w:t>19</w:t>
                      </w:r>
                    </w:sdtContent>
                  </w:sdt>
                  <w:r>
                    <w:rPr>
                      <w:szCs w:val="24"/>
                    </w:rPr>
                    <w:t xml:space="preserve">. Centras per 10 darbo dienų nuo prašymo dėl paramos skyrimo arba patikslinimo gavimo dienos išnagrinėja prašymą ir apie priimtą sprendimą informuoja gamintoją. </w:t>
                  </w:r>
                </w:p>
              </w:sdtContent>
            </w:sdt>
            <w:sdt>
              <w:sdtPr>
                <w:alias w:val="20 p."/>
                <w:tag w:val="part_97ff806e0da84242a25be64e526e3f22"/>
                <w:lock w:val="sdtLocked"/>
                <w:richText/>
              </w:sdtPr>
              <w:sdtContent>
                <w:p w14:paraId="3745114C" w14:textId="504A532E">
                  <w:pPr>
                    <w:tabs>
                      <w:tab w:val="left" w:pos="1134"/>
                    </w:tabs>
                    <w:overflowPunct w:val="0"/>
                    <w:spacing w:line="360" w:lineRule="auto"/>
                    <w:ind w:firstLine="720"/>
                    <w:jc w:val="both"/>
                    <w:textAlignment w:val="baseline"/>
                    <w:rPr>
                      <w:szCs w:val="24"/>
                    </w:rPr>
                  </w:pPr>
                  <w:sdt>
                    <w:sdtPr>
                      <w:alias w:val="Numeris"/>
                      <w:tag w:val="nr_97ff806e0da84242a25be64e526e3f22"/>
                      <w:lock w:val="sdtLocked"/>
                      <w:richText/>
                    </w:sdtPr>
                    <w:sdtContent>
                      <w:r>
                        <w:rPr>
                          <w:szCs w:val="24"/>
                        </w:rPr>
                        <w:t>20</w:t>
                      </w:r>
                    </w:sdtContent>
                  </w:sdt>
                  <w:r>
                    <w:rPr>
                      <w:szCs w:val="24"/>
                    </w:rPr>
                    <w:t>. Centro sprendimai arba veiksmai (neveikimas) gali būti skundžiami Lietuvos Respublikos viešojo administravimo įstatymo nustatyta tvarka Centro vadovui, Lietuvos Respublikos ikiteisminio administracinių ginčų nagrinėjimo tvarkos įstatymo nustatyta tvarka Lietuvos administracinių ginčų komisijai arba administraciniam teismui Lietuvos Respublikos teisės aktų nustatyta tvarka. Agentūros sprendimai arba veiksmai (neveikimas) gali būti skundžiami Agentūros vadovui arba Žemės ūkio ministerijai, Lietuvos administracinių ginčų komisijai arba administraciniam teismui šiame punkte nurodytų teisės aktų nustatyta tvarka.</w:t>
                  </w:r>
                </w:p>
                <w:p w14:paraId="6FB55218" w14:textId="77777777">
                  <w:pPr>
                    <w:overflowPunct w:val="0"/>
                    <w:textAlignment w:val="baseline"/>
                    <w:rPr>
                      <w:b/>
                      <w:szCs w:val="24"/>
                    </w:rPr>
                  </w:pPr>
                </w:p>
              </w:sdtContent>
            </w:sdt>
          </w:sdtContent>
        </w:sdt>
        <w:sdt>
          <w:sdtPr>
            <w:alias w:val="skyrius"/>
            <w:tag w:val="part_4e5b5cf160fa40c18880b5c851c94a79"/>
            <w:lock w:val="sdtLocked"/>
            <w:richText/>
          </w:sdtPr>
          <w:sdtContent>
            <w:p w14:paraId="1A1B597C" w14:textId="5AAF2A9C">
              <w:pPr>
                <w:overflowPunct w:val="0"/>
                <w:jc w:val="center"/>
                <w:textAlignment w:val="baseline"/>
                <w:rPr>
                  <w:rFonts w:eastAsia="Calibri"/>
                  <w:b/>
                  <w:szCs w:val="24"/>
                </w:rPr>
              </w:pPr>
              <w:sdt>
                <w:sdtPr>
                  <w:alias w:val="Numeris"/>
                  <w:tag w:val="nr_4e5b5cf160fa40c18880b5c851c94a79"/>
                  <w:lock w:val="sdtLocked"/>
                  <w:richText/>
                </w:sdtPr>
                <w:sdtContent>
                  <w:r>
                    <w:rPr>
                      <w:b/>
                      <w:szCs w:val="24"/>
                    </w:rPr>
                    <w:t>V</w:t>
                  </w:r>
                </w:sdtContent>
              </w:sdt>
              <w:r>
                <w:rPr>
                  <w:b/>
                  <w:szCs w:val="24"/>
                </w:rPr>
                <w:t xml:space="preserve"> SKYRIUS</w:t>
              </w:r>
            </w:p>
            <w:p w14:paraId="264499C7" w14:textId="77777777">
              <w:pPr>
                <w:overflowPunct w:val="0"/>
                <w:jc w:val="center"/>
                <w:textAlignment w:val="baseline"/>
                <w:rPr>
                  <w:b/>
                  <w:szCs w:val="24"/>
                </w:rPr>
              </w:pPr>
              <w:sdt>
                <w:sdtPr>
                  <w:alias w:val="Pavadinimas"/>
                  <w:tag w:val="title_4e5b5cf160fa40c18880b5c851c94a79"/>
                  <w:lock w:val="sdtLocked"/>
                  <w:richText/>
                </w:sdtPr>
                <w:sdtContent>
                  <w:r>
                    <w:rPr>
                      <w:b/>
                      <w:szCs w:val="24"/>
                    </w:rPr>
                    <w:t>ATSAKOMYBĖ</w:t>
                  </w:r>
                </w:sdtContent>
              </w:sdt>
            </w:p>
            <w:p w14:paraId="30CC35D2" w14:textId="77777777">
              <w:pPr>
                <w:overflowPunct w:val="0"/>
                <w:spacing w:line="360" w:lineRule="auto"/>
                <w:jc w:val="center"/>
                <w:textAlignment w:val="baseline"/>
                <w:rPr>
                  <w:b/>
                  <w:szCs w:val="24"/>
                </w:rPr>
              </w:pPr>
            </w:p>
            <w:sdt>
              <w:sdtPr>
                <w:alias w:val="21 p."/>
                <w:tag w:val="part_50a8b568a25f435b8dbbc132bb743448"/>
                <w:lock w:val="sdtLocked"/>
                <w:richText/>
              </w:sdtPr>
              <w:sdtContent>
                <w:p w14:paraId="25397A8E" w14:textId="3629E3A3">
                  <w:pPr>
                    <w:tabs>
                      <w:tab w:val="left" w:pos="1134"/>
                    </w:tabs>
                    <w:spacing w:line="360" w:lineRule="auto"/>
                    <w:ind w:firstLine="720"/>
                    <w:jc w:val="both"/>
                    <w:rPr>
                      <w:szCs w:val="24"/>
                    </w:rPr>
                  </w:pPr>
                  <w:sdt>
                    <w:sdtPr>
                      <w:alias w:val="Numeris"/>
                      <w:tag w:val="nr_50a8b568a25f435b8dbbc132bb743448"/>
                      <w:lock w:val="sdtLocked"/>
                      <w:richText/>
                    </w:sdtPr>
                    <w:sdtContent>
                      <w:r>
                        <w:rPr>
                          <w:szCs w:val="24"/>
                        </w:rPr>
                        <w:t>21</w:t>
                      </w:r>
                    </w:sdtContent>
                  </w:sdt>
                  <w:r>
                    <w:rPr>
                      <w:szCs w:val="24"/>
                    </w:rPr>
                    <w:t xml:space="preserve">. Neteisėtai išmokėtos ir (arba) panaudotos paramos lėšos susigrąžinamos Grąžintinų lėšų, susidariusių įgyvendinant Europos Sąjungos žemės ūkio ir žuvininkystės fondų priemones, administravimo taisyklių, patvirtintų Lietuvos Respublikos Vyriausybės </w:t>
                  </w:r>
                  <w:smartTag w:uri="urn:schemas-microsoft-com:office:smarttags" w:element="metricconverter">
                    <w:smartTagPr>
                      <w:attr w:name="ProductID" w:val="2008 m"/>
                    </w:smartTagPr>
                    <w:r>
                      <w:rPr>
                        <w:szCs w:val="24"/>
                      </w:rPr>
                      <w:t>2008 m</w:t>
                    </w:r>
                  </w:smartTag>
                  <w:r>
                    <w:rPr>
                      <w:szCs w:val="24"/>
                    </w:rPr>
                    <w:t>. vasario 13 d. nutarimu Nr. 137 „Dėl Grąžintinų lėšų, susidariusių įgyvendinant Europos Sąjungos žemės ūkio ir žuvininkystės fondų priemones, administravimo taisyklių patvirtinimo“ nustatyta tvarka.</w:t>
                  </w:r>
                </w:p>
              </w:sdtContent>
            </w:sdt>
            <w:sdt>
              <w:sdtPr>
                <w:alias w:val="22 p."/>
                <w:tag w:val="part_74f974d404ee4a5da2c033f86f932d21"/>
                <w:lock w:val="sdtLocked"/>
                <w:richText/>
              </w:sdtPr>
              <w:sdtContent>
                <w:p w14:paraId="291F5515" w14:textId="4F507FC2">
                  <w:pPr>
                    <w:tabs>
                      <w:tab w:val="left" w:pos="1134"/>
                    </w:tabs>
                    <w:overflowPunct w:val="0"/>
                    <w:spacing w:line="360" w:lineRule="auto"/>
                    <w:ind w:firstLine="709"/>
                    <w:jc w:val="both"/>
                    <w:textAlignment w:val="baseline"/>
                    <w:rPr>
                      <w:szCs w:val="24"/>
                    </w:rPr>
                  </w:pPr>
                  <w:sdt>
                    <w:sdtPr>
                      <w:alias w:val="Numeris"/>
                      <w:tag w:val="nr_74f974d404ee4a5da2c033f86f932d21"/>
                      <w:lock w:val="sdtLocked"/>
                      <w:richText/>
                    </w:sdtPr>
                    <w:sdtContent>
                      <w:r>
                        <w:rPr>
                          <w:szCs w:val="24"/>
                        </w:rPr>
                        <w:t>22</w:t>
                      </w:r>
                    </w:sdtContent>
                  </w:sdt>
                  <w:r>
                    <w:rPr>
                      <w:szCs w:val="24"/>
                    </w:rPr>
                    <w:t>. Asmenys, pažeidę šių taisyklių reikalavimus, atsako teisės aktų nustatyta tvarka.</w:t>
                  </w:r>
                </w:p>
                <w:p w14:paraId="320FC2A6" w14:textId="77777777">
                  <w:pPr>
                    <w:tabs>
                      <w:tab w:val="left" w:pos="1134"/>
                    </w:tabs>
                    <w:overflowPunct w:val="0"/>
                    <w:spacing w:line="360" w:lineRule="auto"/>
                    <w:ind w:firstLine="709"/>
                    <w:jc w:val="both"/>
                    <w:textAlignment w:val="baseline"/>
                    <w:rPr>
                      <w:szCs w:val="24"/>
                    </w:rPr>
                  </w:pPr>
                </w:p>
              </w:sdtContent>
            </w:sdt>
          </w:sdtContent>
        </w:sdt>
        <w:sdt>
          <w:sdtPr>
            <w:alias w:val="signatura"/>
            <w:tag w:val="part_eb7ed7ef31104400b08dede04f381411"/>
            <w:lock w:val="sdtLocked"/>
            <w:richText/>
          </w:sdtPr>
          <w:sdtContent>
            <w:p w14:paraId="21AB20BD" w14:textId="77777777">
              <w:pPr>
                <w:tabs>
                  <w:tab w:val="left" w:pos="993"/>
                </w:tabs>
                <w:suppressAutoHyphens/>
                <w:overflowPunct w:val="0"/>
                <w:spacing w:line="360" w:lineRule="auto"/>
                <w:jc w:val="center"/>
                <w:textAlignment w:val="center"/>
                <w:rPr>
                  <w:rFonts w:eastAsia="Calibri"/>
                  <w:color w:val="000000"/>
                  <w:szCs w:val="24"/>
                </w:rPr>
              </w:pPr>
              <w:r>
                <w:rPr>
                  <w:rFonts w:eastAsia="Calibri"/>
                  <w:color w:val="000000"/>
                  <w:szCs w:val="24"/>
                </w:rPr>
                <w:t>______________</w:t>
              </w:r>
            </w:p>
            <w:p w14:paraId="3D13C29C" w14:textId="77777777">
              <w:pPr>
                <w:tabs>
                  <w:tab w:val="left" w:pos="993"/>
                </w:tabs>
                <w:suppressAutoHyphens/>
                <w:overflowPunct w:val="0"/>
                <w:spacing w:line="360" w:lineRule="auto"/>
                <w:jc w:val="both"/>
                <w:textAlignment w:val="center"/>
                <w:rPr>
                  <w:color w:val="000000"/>
                  <w:szCs w:val="24"/>
                </w:rPr>
              </w:pPr>
            </w:p>
            <w:p w14:paraId="3A1DAD3E" w14:textId="77777777">
              <w:pPr>
                <w:overflowPunct w:val="0"/>
                <w:spacing w:line="360" w:lineRule="auto"/>
                <w:jc w:val="both"/>
                <w:textAlignment w:val="baseline"/>
                <w:rPr>
                  <w:szCs w:val="24"/>
                </w:rPr>
                <w:sectPr>
                  <w:headerReference w:type="even" r:id="rId7"/>
                  <w:headerReference w:type="default" r:id="rId8"/>
                  <w:footerReference w:type="even" r:id="rId9"/>
                  <w:footerReference w:type="default" r:id="rId10"/>
                  <w:headerReference w:type="first" r:id="rId11"/>
                  <w:footerReference w:type="first" r:id="rId12"/>
                  <w:pgSz w:w="11906" w:h="16838"/>
                  <w:pgMar w:top="1418" w:right="567" w:bottom="1191" w:left="1701" w:header="567" w:footer="567" w:gutter="0"/>
                  <w:cols w:space="1296"/>
                  <w:titlePg/>
                  <w:docGrid w:linePitch="360"/>
                </w:sectPr>
              </w:pPr>
            </w:p>
          </w:sdtContent>
        </w:sdt>
      </w:sdtContent>
    </w:sdt>
    <w:sdt>
      <w:sdtPr>
        <w:alias w:val="pr."/>
        <w:tag w:val="part_48f3e235a77443a5a64121d2d72fd0d0"/>
        <w:lock w:val="sdtLocked"/>
        <w:richText/>
      </w:sdtPr>
      <w:sdtContent>
        <w:p w14:paraId="597ADF55" w14:textId="23A65C06">
          <w:pPr>
            <w:overflowPunct w:val="0"/>
            <w:ind w:left="10368"/>
            <w:textAlignment w:val="baseline"/>
            <w:rPr>
              <w:szCs w:val="24"/>
            </w:rPr>
          </w:pPr>
          <w:r>
            <w:rPr>
              <w:szCs w:val="24"/>
            </w:rPr>
            <w:t>2023 m. Europos Sąjungos paramos pieno gamintojams</w:t>
          </w:r>
          <w:r>
            <w:rPr>
              <w:b/>
              <w:szCs w:val="24"/>
            </w:rPr>
            <w:t xml:space="preserve"> </w:t>
          </w:r>
          <w:r>
            <w:rPr>
              <w:bCs/>
              <w:szCs w:val="24"/>
            </w:rPr>
            <w:t xml:space="preserve">ekonominiam gyvybingumui išsaugoti </w:t>
          </w:r>
          <w:r>
            <w:rPr>
              <w:szCs w:val="24"/>
            </w:rPr>
            <w:t>administravimo taisyklių</w:t>
          </w:r>
        </w:p>
        <w:p w14:paraId="59D6B67D" w14:textId="77777777">
          <w:pPr>
            <w:overflowPunct w:val="0"/>
            <w:ind w:left="10368"/>
            <w:textAlignment w:val="baseline"/>
            <w:rPr>
              <w:szCs w:val="24"/>
            </w:rPr>
          </w:pPr>
          <w:r>
            <w:rPr>
              <w:szCs w:val="24"/>
            </w:rPr>
            <w:t>priedas</w:t>
          </w:r>
        </w:p>
        <w:p w14:paraId="1D23C7DB" w14:textId="77777777">
          <w:pPr>
            <w:overflowPunct w:val="0"/>
            <w:jc w:val="both"/>
            <w:textAlignment w:val="baseline"/>
            <w:rPr>
              <w:b/>
              <w:color w:val="000000"/>
              <w:szCs w:val="24"/>
            </w:rPr>
          </w:pPr>
        </w:p>
        <w:p w14:paraId="75D23994" w14:textId="77777777">
          <w:pPr>
            <w:overflowPunct w:val="0"/>
            <w:ind w:left="567"/>
            <w:jc w:val="center"/>
            <w:textAlignment w:val="baseline"/>
            <w:rPr>
              <w:b/>
              <w:caps/>
              <w:szCs w:val="24"/>
            </w:rPr>
          </w:pPr>
        </w:p>
        <w:p w14:paraId="1CF7D449" w14:textId="659FD2EB">
          <w:pPr>
            <w:overflowPunct w:val="0"/>
            <w:ind w:left="567"/>
            <w:jc w:val="center"/>
            <w:textAlignment w:val="baseline"/>
            <w:rPr>
              <w:b/>
              <w:caps/>
              <w:szCs w:val="24"/>
            </w:rPr>
          </w:pPr>
          <w:sdt>
            <w:sdtPr>
              <w:alias w:val="Pavadinimas"/>
              <w:tag w:val="title_48f3e235a77443a5a64121d2d72fd0d0"/>
              <w:lock w:val="sdtLocked"/>
              <w:richText/>
            </w:sdtPr>
            <w:sdtContent>
              <w:r>
                <w:rPr>
                  <w:b/>
                  <w:caps/>
                  <w:szCs w:val="24"/>
                </w:rPr>
                <w:t xml:space="preserve">PERDUODAMŲ DUOMENŲ </w:t>
              </w:r>
              <w:r>
                <w:rPr>
                  <w:b/>
                  <w:szCs w:val="24"/>
                </w:rPr>
                <w:t>APIE 2023 M. EUROPOS SĄJUNGOS PARAMOS PIENO GAMINTOJAMS EKONOMINIAM GYVYBINGUMUI IŠSAUGOTI SKYRIMĄ SUVESTINĖ</w:t>
              </w:r>
            </w:sdtContent>
          </w:sdt>
        </w:p>
        <w:p w14:paraId="6A97AF30" w14:textId="77777777">
          <w:pPr>
            <w:overflowPunct w:val="0"/>
            <w:jc w:val="center"/>
            <w:textAlignment w:val="baseline"/>
            <w:rPr>
              <w:szCs w:val="24"/>
            </w:rPr>
          </w:pPr>
        </w:p>
        <w:p w14:paraId="5828A6E4" w14:textId="77777777">
          <w:pPr>
            <w:overflowPunct w:val="0"/>
            <w:spacing w:line="276" w:lineRule="auto"/>
            <w:ind w:firstLine="1054"/>
            <w:jc w:val="center"/>
            <w:textAlignment w:val="baseline"/>
            <w:rPr>
              <w:szCs w:val="24"/>
            </w:rPr>
          </w:pPr>
          <w:r>
            <w:rPr>
              <w:szCs w:val="24"/>
            </w:rPr>
            <w:t xml:space="preserve">________________    Nr. _______</w:t>
          </w:r>
        </w:p>
        <w:p w14:paraId="2A976C98" w14:textId="77777777">
          <w:pPr>
            <w:overflowPunct w:val="0"/>
            <w:spacing w:line="276" w:lineRule="auto"/>
            <w:ind w:left="5184" w:firstLine="1544"/>
            <w:textAlignment w:val="baseline"/>
            <w:rPr>
              <w:sz w:val="18"/>
              <w:szCs w:val="18"/>
            </w:rPr>
          </w:pPr>
          <w:r>
            <w:rPr>
              <w:sz w:val="18"/>
              <w:szCs w:val="18"/>
            </w:rPr>
            <w:t xml:space="preserve">(data) </w:t>
          </w:r>
        </w:p>
        <w:p w14:paraId="0E2DCF0D" w14:textId="77777777">
          <w:pPr>
            <w:overflowPunct w:val="0"/>
            <w:spacing w:line="276" w:lineRule="auto"/>
            <w:jc w:val="center"/>
            <w:textAlignment w:val="baseline"/>
            <w:rPr>
              <w:szCs w:val="24"/>
            </w:rPr>
          </w:pPr>
          <w:r>
            <w:rPr>
              <w:szCs w:val="24"/>
            </w:rPr>
            <w:t>____________________</w:t>
          </w:r>
        </w:p>
        <w:p w14:paraId="0E6CD24F" w14:textId="77777777">
          <w:pPr>
            <w:overflowPunct w:val="0"/>
            <w:spacing w:line="276" w:lineRule="auto"/>
            <w:jc w:val="center"/>
            <w:textAlignment w:val="baseline"/>
            <w:rPr>
              <w:sz w:val="18"/>
              <w:szCs w:val="18"/>
            </w:rPr>
          </w:pPr>
          <w:r>
            <w:rPr>
              <w:sz w:val="18"/>
              <w:szCs w:val="18"/>
            </w:rPr>
            <w:t xml:space="preserve">(sudarymo vieta) </w:t>
          </w:r>
        </w:p>
        <w:p w14:paraId="7FCCD718" w14:textId="58CAF213">
          <w:pPr>
            <w:overflowPunct w:val="0"/>
            <w:textAlignment w:val="baseline"/>
            <w:rPr>
              <w:szCs w:val="24"/>
            </w:rPr>
          </w:pPr>
        </w:p>
        <w:p w14:paraId="7CB5A967" w14:textId="6030C0D6">
          <w:pPr>
            <w:overflowPunct w:val="0"/>
            <w:textAlignment w:val="baseline"/>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1"/>
            <w:gridCol w:w="3070"/>
            <w:gridCol w:w="2594"/>
            <w:gridCol w:w="1593"/>
            <w:gridCol w:w="1791"/>
            <w:gridCol w:w="1745"/>
            <w:gridCol w:w="1817"/>
            <w:gridCol w:w="1566"/>
          </w:tblGrid>
          <w:tr w14:paraId="07E552B5" w14:textId="080D2F47">
            <w:trPr>
              <w:jc w:val="center"/>
            </w:trPr>
            <w:tc>
              <w:tcPr>
                <w:tcW w:w="561" w:type="dxa"/>
              </w:tcPr>
              <w:p w14:paraId="79833828" w14:textId="4D43FCA0">
                <w:pPr>
                  <w:overflowPunct w:val="0"/>
                  <w:jc w:val="center"/>
                  <w:textAlignment w:val="baseline"/>
                  <w:rPr>
                    <w:szCs w:val="24"/>
                  </w:rPr>
                </w:pPr>
                <w:r>
                  <w:rPr>
                    <w:szCs w:val="24"/>
                  </w:rPr>
                  <w:t>Eil. Nr.</w:t>
                </w:r>
              </w:p>
            </w:tc>
            <w:tc>
              <w:tcPr>
                <w:tcW w:w="3070" w:type="dxa"/>
              </w:tcPr>
              <w:p w14:paraId="3A0E4966" w14:textId="48DE40E1">
                <w:pPr>
                  <w:overflowPunct w:val="0"/>
                  <w:jc w:val="center"/>
                  <w:textAlignment w:val="baseline"/>
                  <w:rPr>
                    <w:szCs w:val="24"/>
                  </w:rPr>
                </w:pPr>
                <w:r>
                  <w:rPr>
                    <w:szCs w:val="24"/>
                  </w:rPr>
                  <w:t>Gamintojo vardas, pavardė (įmonės pavadinimas)</w:t>
                </w:r>
              </w:p>
            </w:tc>
            <w:tc>
              <w:tcPr>
                <w:tcW w:w="2594" w:type="dxa"/>
              </w:tcPr>
              <w:p w14:paraId="51229310" w14:textId="42DCEA7F">
                <w:pPr>
                  <w:overflowPunct w:val="0"/>
                  <w:jc w:val="center"/>
                  <w:textAlignment w:val="baseline"/>
                  <w:rPr>
                    <w:szCs w:val="24"/>
                  </w:rPr>
                </w:pPr>
                <w:r>
                  <w:rPr>
                    <w:szCs w:val="24"/>
                  </w:rPr>
                  <w:t>Gamintojo asmens kodas (įmonės kodas)</w:t>
                </w:r>
              </w:p>
            </w:tc>
            <w:tc>
              <w:tcPr>
                <w:tcW w:w="1593" w:type="dxa"/>
              </w:tcPr>
              <w:p w14:paraId="3670B1D1" w14:textId="59000883">
                <w:pPr>
                  <w:overflowPunct w:val="0"/>
                  <w:jc w:val="center"/>
                  <w:textAlignment w:val="baseline"/>
                  <w:rPr>
                    <w:szCs w:val="24"/>
                  </w:rPr>
                </w:pPr>
                <w:r>
                  <w:rPr>
                    <w:szCs w:val="24"/>
                  </w:rPr>
                  <w:t>Valdos Nr.</w:t>
                </w:r>
              </w:p>
            </w:tc>
            <w:tc>
              <w:tcPr>
                <w:tcW w:w="1791" w:type="dxa"/>
              </w:tcPr>
              <w:p w14:paraId="1C627313" w14:textId="1FF01EBD">
                <w:pPr>
                  <w:overflowPunct w:val="0"/>
                  <w:jc w:val="center"/>
                  <w:textAlignment w:val="baseline"/>
                  <w:rPr>
                    <w:szCs w:val="24"/>
                  </w:rPr>
                </w:pPr>
                <w:r>
                  <w:rPr>
                    <w:szCs w:val="24"/>
                  </w:rPr>
                  <w:t>Savivaldybės pavadinimas</w:t>
                </w:r>
              </w:p>
            </w:tc>
            <w:tc>
              <w:tcPr>
                <w:tcW w:w="1745" w:type="dxa"/>
              </w:tcPr>
              <w:p w14:paraId="52BBA4CB" w14:textId="3CBEF0D9">
                <w:pPr>
                  <w:overflowPunct w:val="0"/>
                  <w:jc w:val="center"/>
                  <w:textAlignment w:val="baseline"/>
                  <w:rPr>
                    <w:szCs w:val="24"/>
                  </w:rPr>
                </w:pPr>
                <w:r>
                  <w:rPr>
                    <w:lang w:eastAsia="lt-LT"/>
                  </w:rPr>
                  <w:t>Seniūnija</w:t>
                </w:r>
              </w:p>
            </w:tc>
            <w:tc>
              <w:tcPr>
                <w:tcW w:w="1817" w:type="dxa"/>
              </w:tcPr>
              <w:p w14:paraId="251B02F5" w14:textId="38F4D3DC">
                <w:pPr>
                  <w:overflowPunct w:val="0"/>
                  <w:jc w:val="center"/>
                  <w:textAlignment w:val="baseline"/>
                  <w:rPr>
                    <w:szCs w:val="24"/>
                  </w:rPr>
                </w:pPr>
                <w:r>
                  <w:rPr>
                    <w:lang w:eastAsia="lt-LT"/>
                  </w:rPr>
                  <w:t>Vietovės pavadinimas</w:t>
                </w:r>
              </w:p>
            </w:tc>
            <w:tc>
              <w:tcPr>
                <w:tcW w:w="1566" w:type="dxa"/>
              </w:tcPr>
              <w:p w14:paraId="7CDB6B50" w14:textId="4FFFD855">
                <w:pPr>
                  <w:overflowPunct w:val="0"/>
                  <w:jc w:val="center"/>
                  <w:textAlignment w:val="baseline"/>
                  <w:rPr>
                    <w:szCs w:val="24"/>
                  </w:rPr>
                </w:pPr>
                <w:r>
                  <w:rPr>
                    <w:szCs w:val="24"/>
                  </w:rPr>
                  <w:t>Paramos suma Eur</w:t>
                </w:r>
              </w:p>
            </w:tc>
          </w:tr>
          <w:tr w14:paraId="655C487C" w14:textId="08B0E8EE">
            <w:trPr>
              <w:jc w:val="center"/>
            </w:trPr>
            <w:tc>
              <w:tcPr>
                <w:tcW w:w="561" w:type="dxa"/>
              </w:tcPr>
              <w:p w14:paraId="706F5170" w14:textId="32E05C8D">
                <w:pPr>
                  <w:overflowPunct w:val="0"/>
                  <w:jc w:val="center"/>
                  <w:textAlignment w:val="baseline"/>
                  <w:rPr>
                    <w:sz w:val="20"/>
                  </w:rPr>
                </w:pPr>
                <w:r>
                  <w:rPr>
                    <w:sz w:val="20"/>
                  </w:rPr>
                  <w:t>1</w:t>
                </w:r>
              </w:p>
            </w:tc>
            <w:tc>
              <w:tcPr>
                <w:tcW w:w="3070" w:type="dxa"/>
              </w:tcPr>
              <w:p w14:paraId="79942CD2" w14:textId="644B51B5">
                <w:pPr>
                  <w:overflowPunct w:val="0"/>
                  <w:jc w:val="center"/>
                  <w:textAlignment w:val="baseline"/>
                  <w:rPr>
                    <w:sz w:val="20"/>
                  </w:rPr>
                </w:pPr>
                <w:r>
                  <w:rPr>
                    <w:sz w:val="20"/>
                  </w:rPr>
                  <w:t>2</w:t>
                </w:r>
              </w:p>
            </w:tc>
            <w:tc>
              <w:tcPr>
                <w:tcW w:w="2594" w:type="dxa"/>
              </w:tcPr>
              <w:p w14:paraId="44886D4C" w14:textId="388A6758">
                <w:pPr>
                  <w:overflowPunct w:val="0"/>
                  <w:jc w:val="center"/>
                  <w:textAlignment w:val="baseline"/>
                  <w:rPr>
                    <w:sz w:val="20"/>
                  </w:rPr>
                </w:pPr>
                <w:r>
                  <w:rPr>
                    <w:sz w:val="20"/>
                  </w:rPr>
                  <w:t>3</w:t>
                </w:r>
              </w:p>
            </w:tc>
            <w:tc>
              <w:tcPr>
                <w:tcW w:w="1593" w:type="dxa"/>
              </w:tcPr>
              <w:p w14:paraId="40D5E3F0" w14:textId="30AB6599">
                <w:pPr>
                  <w:overflowPunct w:val="0"/>
                  <w:jc w:val="center"/>
                  <w:textAlignment w:val="baseline"/>
                  <w:rPr>
                    <w:sz w:val="20"/>
                  </w:rPr>
                </w:pPr>
                <w:r>
                  <w:rPr>
                    <w:sz w:val="20"/>
                  </w:rPr>
                  <w:t>4</w:t>
                </w:r>
              </w:p>
            </w:tc>
            <w:tc>
              <w:tcPr>
                <w:tcW w:w="1791" w:type="dxa"/>
              </w:tcPr>
              <w:p w14:paraId="6896342B" w14:textId="3A657520">
                <w:pPr>
                  <w:overflowPunct w:val="0"/>
                  <w:jc w:val="center"/>
                  <w:textAlignment w:val="baseline"/>
                  <w:rPr>
                    <w:sz w:val="20"/>
                  </w:rPr>
                </w:pPr>
                <w:r>
                  <w:rPr>
                    <w:sz w:val="20"/>
                  </w:rPr>
                  <w:t>5</w:t>
                </w:r>
              </w:p>
            </w:tc>
            <w:tc>
              <w:tcPr>
                <w:tcW w:w="1745" w:type="dxa"/>
              </w:tcPr>
              <w:p w14:paraId="26D7EB96" w14:textId="77777777">
                <w:pPr>
                  <w:overflowPunct w:val="0"/>
                  <w:jc w:val="center"/>
                  <w:textAlignment w:val="baseline"/>
                  <w:rPr>
                    <w:sz w:val="20"/>
                  </w:rPr>
                </w:pPr>
              </w:p>
            </w:tc>
            <w:tc>
              <w:tcPr>
                <w:tcW w:w="1817" w:type="dxa"/>
              </w:tcPr>
              <w:p w14:paraId="30B345FC" w14:textId="77777777">
                <w:pPr>
                  <w:overflowPunct w:val="0"/>
                  <w:jc w:val="center"/>
                  <w:textAlignment w:val="baseline"/>
                  <w:rPr>
                    <w:sz w:val="20"/>
                  </w:rPr>
                </w:pPr>
              </w:p>
            </w:tc>
            <w:tc>
              <w:tcPr>
                <w:tcW w:w="1566" w:type="dxa"/>
              </w:tcPr>
              <w:p w14:paraId="05E4B886" w14:textId="6F0F155B">
                <w:pPr>
                  <w:overflowPunct w:val="0"/>
                  <w:jc w:val="center"/>
                  <w:textAlignment w:val="baseline"/>
                  <w:rPr>
                    <w:sz w:val="20"/>
                  </w:rPr>
                </w:pPr>
                <w:r>
                  <w:rPr>
                    <w:sz w:val="20"/>
                  </w:rPr>
                  <w:t>6</w:t>
                </w:r>
              </w:p>
            </w:tc>
          </w:tr>
          <w:tr w14:paraId="19C63F52" w14:textId="328799CA">
            <w:trPr>
              <w:jc w:val="center"/>
            </w:trPr>
            <w:tc>
              <w:tcPr>
                <w:tcW w:w="561" w:type="dxa"/>
              </w:tcPr>
              <w:p w14:paraId="4CF1E423" w14:textId="77777777">
                <w:pPr>
                  <w:overflowPunct w:val="0"/>
                  <w:textAlignment w:val="baseline"/>
                  <w:rPr>
                    <w:szCs w:val="24"/>
                  </w:rPr>
                </w:pPr>
              </w:p>
            </w:tc>
            <w:tc>
              <w:tcPr>
                <w:tcW w:w="3070" w:type="dxa"/>
              </w:tcPr>
              <w:p w14:paraId="76C9E73B" w14:textId="77777777">
                <w:pPr>
                  <w:overflowPunct w:val="0"/>
                  <w:textAlignment w:val="baseline"/>
                  <w:rPr>
                    <w:szCs w:val="24"/>
                  </w:rPr>
                </w:pPr>
              </w:p>
            </w:tc>
            <w:tc>
              <w:tcPr>
                <w:tcW w:w="2594" w:type="dxa"/>
              </w:tcPr>
              <w:p w14:paraId="3AB8BE71" w14:textId="77777777">
                <w:pPr>
                  <w:overflowPunct w:val="0"/>
                  <w:textAlignment w:val="baseline"/>
                  <w:rPr>
                    <w:szCs w:val="24"/>
                  </w:rPr>
                </w:pPr>
              </w:p>
            </w:tc>
            <w:tc>
              <w:tcPr>
                <w:tcW w:w="1593" w:type="dxa"/>
              </w:tcPr>
              <w:p w14:paraId="5C6EC034" w14:textId="77777777">
                <w:pPr>
                  <w:overflowPunct w:val="0"/>
                  <w:textAlignment w:val="baseline"/>
                  <w:rPr>
                    <w:szCs w:val="24"/>
                  </w:rPr>
                </w:pPr>
              </w:p>
            </w:tc>
            <w:tc>
              <w:tcPr>
                <w:tcW w:w="1791" w:type="dxa"/>
              </w:tcPr>
              <w:p w14:paraId="1FD06BDA" w14:textId="77777777">
                <w:pPr>
                  <w:overflowPunct w:val="0"/>
                  <w:textAlignment w:val="baseline"/>
                  <w:rPr>
                    <w:szCs w:val="24"/>
                  </w:rPr>
                </w:pPr>
              </w:p>
            </w:tc>
            <w:tc>
              <w:tcPr>
                <w:tcW w:w="1745" w:type="dxa"/>
              </w:tcPr>
              <w:p w14:paraId="1F27B7C4" w14:textId="77777777">
                <w:pPr>
                  <w:overflowPunct w:val="0"/>
                  <w:textAlignment w:val="baseline"/>
                  <w:rPr>
                    <w:szCs w:val="24"/>
                  </w:rPr>
                </w:pPr>
              </w:p>
            </w:tc>
            <w:tc>
              <w:tcPr>
                <w:tcW w:w="1817" w:type="dxa"/>
              </w:tcPr>
              <w:p w14:paraId="1411F84B" w14:textId="77777777">
                <w:pPr>
                  <w:overflowPunct w:val="0"/>
                  <w:textAlignment w:val="baseline"/>
                  <w:rPr>
                    <w:szCs w:val="24"/>
                  </w:rPr>
                </w:pPr>
              </w:p>
            </w:tc>
            <w:tc>
              <w:tcPr>
                <w:tcW w:w="1566" w:type="dxa"/>
              </w:tcPr>
              <w:p w14:paraId="17239B33" w14:textId="66A2F15A">
                <w:pPr>
                  <w:overflowPunct w:val="0"/>
                  <w:textAlignment w:val="baseline"/>
                  <w:rPr>
                    <w:szCs w:val="24"/>
                  </w:rPr>
                </w:pPr>
              </w:p>
            </w:tc>
          </w:tr>
          <w:tr w14:paraId="134AFC82" w14:textId="77777777">
            <w:trPr>
              <w:jc w:val="center"/>
            </w:trPr>
            <w:tc>
              <w:tcPr>
                <w:tcW w:w="561" w:type="dxa"/>
              </w:tcPr>
              <w:p w14:paraId="04154E57" w14:textId="77777777">
                <w:pPr>
                  <w:overflowPunct w:val="0"/>
                  <w:textAlignment w:val="baseline"/>
                  <w:rPr>
                    <w:szCs w:val="24"/>
                  </w:rPr>
                </w:pPr>
              </w:p>
            </w:tc>
            <w:tc>
              <w:tcPr>
                <w:tcW w:w="3070" w:type="dxa"/>
              </w:tcPr>
              <w:p w14:paraId="406B1E3F" w14:textId="77777777">
                <w:pPr>
                  <w:overflowPunct w:val="0"/>
                  <w:textAlignment w:val="baseline"/>
                  <w:rPr>
                    <w:szCs w:val="24"/>
                  </w:rPr>
                </w:pPr>
              </w:p>
            </w:tc>
            <w:tc>
              <w:tcPr>
                <w:tcW w:w="2594" w:type="dxa"/>
              </w:tcPr>
              <w:p w14:paraId="68742B07" w14:textId="77777777">
                <w:pPr>
                  <w:overflowPunct w:val="0"/>
                  <w:textAlignment w:val="baseline"/>
                  <w:rPr>
                    <w:szCs w:val="24"/>
                  </w:rPr>
                </w:pPr>
              </w:p>
            </w:tc>
            <w:tc>
              <w:tcPr>
                <w:tcW w:w="1593" w:type="dxa"/>
              </w:tcPr>
              <w:p w14:paraId="4BA3AB12" w14:textId="77777777">
                <w:pPr>
                  <w:overflowPunct w:val="0"/>
                  <w:textAlignment w:val="baseline"/>
                  <w:rPr>
                    <w:szCs w:val="24"/>
                  </w:rPr>
                </w:pPr>
              </w:p>
            </w:tc>
            <w:tc>
              <w:tcPr>
                <w:tcW w:w="1791" w:type="dxa"/>
              </w:tcPr>
              <w:p w14:paraId="60E6B139" w14:textId="77777777">
                <w:pPr>
                  <w:overflowPunct w:val="0"/>
                  <w:textAlignment w:val="baseline"/>
                  <w:rPr>
                    <w:szCs w:val="24"/>
                  </w:rPr>
                </w:pPr>
              </w:p>
            </w:tc>
            <w:tc>
              <w:tcPr>
                <w:tcW w:w="1745" w:type="dxa"/>
              </w:tcPr>
              <w:p w14:paraId="6A441483" w14:textId="77777777">
                <w:pPr>
                  <w:overflowPunct w:val="0"/>
                  <w:textAlignment w:val="baseline"/>
                  <w:rPr>
                    <w:szCs w:val="24"/>
                  </w:rPr>
                </w:pPr>
              </w:p>
            </w:tc>
            <w:tc>
              <w:tcPr>
                <w:tcW w:w="1817" w:type="dxa"/>
              </w:tcPr>
              <w:p w14:paraId="6F2439C1" w14:textId="77777777">
                <w:pPr>
                  <w:overflowPunct w:val="0"/>
                  <w:textAlignment w:val="baseline"/>
                  <w:rPr>
                    <w:szCs w:val="24"/>
                  </w:rPr>
                </w:pPr>
              </w:p>
            </w:tc>
            <w:tc>
              <w:tcPr>
                <w:tcW w:w="1566" w:type="dxa"/>
              </w:tcPr>
              <w:p w14:paraId="0D29AFD3" w14:textId="3BC77D71">
                <w:pPr>
                  <w:overflowPunct w:val="0"/>
                  <w:textAlignment w:val="baseline"/>
                  <w:rPr>
                    <w:szCs w:val="24"/>
                  </w:rPr>
                </w:pPr>
              </w:p>
            </w:tc>
          </w:tr>
          <w:tr w14:paraId="2BE96C43" w14:textId="77777777">
            <w:trPr>
              <w:jc w:val="center"/>
            </w:trPr>
            <w:tc>
              <w:tcPr>
                <w:tcW w:w="561" w:type="dxa"/>
              </w:tcPr>
              <w:p w14:paraId="572DEAEF" w14:textId="77777777">
                <w:pPr>
                  <w:overflowPunct w:val="0"/>
                  <w:textAlignment w:val="baseline"/>
                  <w:rPr>
                    <w:szCs w:val="24"/>
                  </w:rPr>
                </w:pPr>
              </w:p>
            </w:tc>
            <w:tc>
              <w:tcPr>
                <w:tcW w:w="3070" w:type="dxa"/>
              </w:tcPr>
              <w:p w14:paraId="179AAB2B" w14:textId="77777777">
                <w:pPr>
                  <w:overflowPunct w:val="0"/>
                  <w:textAlignment w:val="baseline"/>
                  <w:rPr>
                    <w:szCs w:val="24"/>
                  </w:rPr>
                </w:pPr>
              </w:p>
            </w:tc>
            <w:tc>
              <w:tcPr>
                <w:tcW w:w="2594" w:type="dxa"/>
              </w:tcPr>
              <w:p w14:paraId="23A54A05" w14:textId="77777777">
                <w:pPr>
                  <w:overflowPunct w:val="0"/>
                  <w:textAlignment w:val="baseline"/>
                  <w:rPr>
                    <w:szCs w:val="24"/>
                  </w:rPr>
                </w:pPr>
              </w:p>
            </w:tc>
            <w:tc>
              <w:tcPr>
                <w:tcW w:w="1593" w:type="dxa"/>
              </w:tcPr>
              <w:p w14:paraId="17155A8A" w14:textId="77777777">
                <w:pPr>
                  <w:overflowPunct w:val="0"/>
                  <w:textAlignment w:val="baseline"/>
                  <w:rPr>
                    <w:szCs w:val="24"/>
                  </w:rPr>
                </w:pPr>
              </w:p>
            </w:tc>
            <w:tc>
              <w:tcPr>
                <w:tcW w:w="1791" w:type="dxa"/>
              </w:tcPr>
              <w:p w14:paraId="293F26DE" w14:textId="77777777">
                <w:pPr>
                  <w:overflowPunct w:val="0"/>
                  <w:textAlignment w:val="baseline"/>
                  <w:rPr>
                    <w:szCs w:val="24"/>
                  </w:rPr>
                </w:pPr>
              </w:p>
            </w:tc>
            <w:tc>
              <w:tcPr>
                <w:tcW w:w="1745" w:type="dxa"/>
              </w:tcPr>
              <w:p w14:paraId="6F6571C3" w14:textId="77777777">
                <w:pPr>
                  <w:overflowPunct w:val="0"/>
                  <w:textAlignment w:val="baseline"/>
                  <w:rPr>
                    <w:szCs w:val="24"/>
                  </w:rPr>
                </w:pPr>
              </w:p>
            </w:tc>
            <w:tc>
              <w:tcPr>
                <w:tcW w:w="1817" w:type="dxa"/>
              </w:tcPr>
              <w:p w14:paraId="21B2857A" w14:textId="77777777">
                <w:pPr>
                  <w:overflowPunct w:val="0"/>
                  <w:textAlignment w:val="baseline"/>
                  <w:rPr>
                    <w:szCs w:val="24"/>
                  </w:rPr>
                </w:pPr>
              </w:p>
            </w:tc>
            <w:tc>
              <w:tcPr>
                <w:tcW w:w="1566" w:type="dxa"/>
              </w:tcPr>
              <w:p w14:paraId="76C2D81B" w14:textId="72181A36">
                <w:pPr>
                  <w:overflowPunct w:val="0"/>
                  <w:textAlignment w:val="baseline"/>
                  <w:rPr>
                    <w:szCs w:val="24"/>
                  </w:rPr>
                </w:pPr>
              </w:p>
            </w:tc>
          </w:tr>
          <w:tr w14:paraId="022BE9F6" w14:textId="77777777">
            <w:trPr>
              <w:jc w:val="center"/>
            </w:trPr>
            <w:tc>
              <w:tcPr>
                <w:tcW w:w="561" w:type="dxa"/>
              </w:tcPr>
              <w:p w14:paraId="05C834CB" w14:textId="77777777">
                <w:pPr>
                  <w:overflowPunct w:val="0"/>
                  <w:textAlignment w:val="baseline"/>
                  <w:rPr>
                    <w:szCs w:val="24"/>
                  </w:rPr>
                </w:pPr>
              </w:p>
            </w:tc>
            <w:tc>
              <w:tcPr>
                <w:tcW w:w="3070" w:type="dxa"/>
              </w:tcPr>
              <w:p w14:paraId="6C9E00AC" w14:textId="77777777">
                <w:pPr>
                  <w:overflowPunct w:val="0"/>
                  <w:textAlignment w:val="baseline"/>
                  <w:rPr>
                    <w:szCs w:val="24"/>
                  </w:rPr>
                </w:pPr>
              </w:p>
            </w:tc>
            <w:tc>
              <w:tcPr>
                <w:tcW w:w="2594" w:type="dxa"/>
              </w:tcPr>
              <w:p w14:paraId="048CB7C8" w14:textId="77777777">
                <w:pPr>
                  <w:overflowPunct w:val="0"/>
                  <w:textAlignment w:val="baseline"/>
                  <w:rPr>
                    <w:szCs w:val="24"/>
                  </w:rPr>
                </w:pPr>
              </w:p>
            </w:tc>
            <w:tc>
              <w:tcPr>
                <w:tcW w:w="1593" w:type="dxa"/>
              </w:tcPr>
              <w:p w14:paraId="25731959" w14:textId="77777777">
                <w:pPr>
                  <w:overflowPunct w:val="0"/>
                  <w:textAlignment w:val="baseline"/>
                  <w:rPr>
                    <w:szCs w:val="24"/>
                  </w:rPr>
                </w:pPr>
              </w:p>
            </w:tc>
            <w:tc>
              <w:tcPr>
                <w:tcW w:w="1791" w:type="dxa"/>
              </w:tcPr>
              <w:p w14:paraId="4BA02CD2" w14:textId="77777777">
                <w:pPr>
                  <w:overflowPunct w:val="0"/>
                  <w:textAlignment w:val="baseline"/>
                  <w:rPr>
                    <w:szCs w:val="24"/>
                  </w:rPr>
                </w:pPr>
              </w:p>
            </w:tc>
            <w:tc>
              <w:tcPr>
                <w:tcW w:w="1745" w:type="dxa"/>
              </w:tcPr>
              <w:p w14:paraId="3CD03074" w14:textId="77777777">
                <w:pPr>
                  <w:overflowPunct w:val="0"/>
                  <w:textAlignment w:val="baseline"/>
                  <w:rPr>
                    <w:szCs w:val="24"/>
                  </w:rPr>
                </w:pPr>
              </w:p>
            </w:tc>
            <w:tc>
              <w:tcPr>
                <w:tcW w:w="1817" w:type="dxa"/>
              </w:tcPr>
              <w:p w14:paraId="4EA5D5F2" w14:textId="77777777">
                <w:pPr>
                  <w:overflowPunct w:val="0"/>
                  <w:textAlignment w:val="baseline"/>
                  <w:rPr>
                    <w:szCs w:val="24"/>
                  </w:rPr>
                </w:pPr>
              </w:p>
            </w:tc>
            <w:tc>
              <w:tcPr>
                <w:tcW w:w="1566" w:type="dxa"/>
              </w:tcPr>
              <w:p w14:paraId="5AE444B0" w14:textId="19683AD6">
                <w:pPr>
                  <w:overflowPunct w:val="0"/>
                  <w:textAlignment w:val="baseline"/>
                  <w:rPr>
                    <w:szCs w:val="24"/>
                  </w:rPr>
                </w:pPr>
              </w:p>
            </w:tc>
          </w:tr>
          <w:tr w14:paraId="2F41E784" w14:textId="4C05AB93">
            <w:trPr>
              <w:jc w:val="center"/>
            </w:trPr>
            <w:tc>
              <w:tcPr>
                <w:tcW w:w="561" w:type="dxa"/>
              </w:tcPr>
              <w:p w14:paraId="0EA13B55" w14:textId="77777777">
                <w:pPr>
                  <w:overflowPunct w:val="0"/>
                  <w:textAlignment w:val="baseline"/>
                  <w:rPr>
                    <w:szCs w:val="24"/>
                  </w:rPr>
                </w:pPr>
              </w:p>
            </w:tc>
            <w:tc>
              <w:tcPr>
                <w:tcW w:w="3070" w:type="dxa"/>
              </w:tcPr>
              <w:p w14:paraId="5A6DDF0E" w14:textId="77777777">
                <w:pPr>
                  <w:overflowPunct w:val="0"/>
                  <w:textAlignment w:val="baseline"/>
                  <w:rPr>
                    <w:szCs w:val="24"/>
                  </w:rPr>
                </w:pPr>
              </w:p>
            </w:tc>
            <w:tc>
              <w:tcPr>
                <w:tcW w:w="2594" w:type="dxa"/>
              </w:tcPr>
              <w:p w14:paraId="4412F83F" w14:textId="77777777">
                <w:pPr>
                  <w:overflowPunct w:val="0"/>
                  <w:textAlignment w:val="baseline"/>
                  <w:rPr>
                    <w:szCs w:val="24"/>
                  </w:rPr>
                </w:pPr>
              </w:p>
            </w:tc>
            <w:tc>
              <w:tcPr>
                <w:tcW w:w="1593" w:type="dxa"/>
              </w:tcPr>
              <w:p w14:paraId="26CA72C3" w14:textId="77777777">
                <w:pPr>
                  <w:overflowPunct w:val="0"/>
                  <w:textAlignment w:val="baseline"/>
                  <w:rPr>
                    <w:szCs w:val="24"/>
                  </w:rPr>
                </w:pPr>
              </w:p>
            </w:tc>
            <w:tc>
              <w:tcPr>
                <w:tcW w:w="1791" w:type="dxa"/>
              </w:tcPr>
              <w:p w14:paraId="3FA16F91" w14:textId="77777777">
                <w:pPr>
                  <w:overflowPunct w:val="0"/>
                  <w:textAlignment w:val="baseline"/>
                  <w:rPr>
                    <w:szCs w:val="24"/>
                  </w:rPr>
                </w:pPr>
              </w:p>
            </w:tc>
            <w:tc>
              <w:tcPr>
                <w:tcW w:w="1745" w:type="dxa"/>
              </w:tcPr>
              <w:p w14:paraId="4DED7AD7" w14:textId="77777777">
                <w:pPr>
                  <w:overflowPunct w:val="0"/>
                  <w:textAlignment w:val="baseline"/>
                  <w:rPr>
                    <w:szCs w:val="24"/>
                  </w:rPr>
                </w:pPr>
              </w:p>
            </w:tc>
            <w:tc>
              <w:tcPr>
                <w:tcW w:w="1817" w:type="dxa"/>
              </w:tcPr>
              <w:p w14:paraId="61A23E24" w14:textId="77777777">
                <w:pPr>
                  <w:overflowPunct w:val="0"/>
                  <w:textAlignment w:val="baseline"/>
                  <w:rPr>
                    <w:szCs w:val="24"/>
                  </w:rPr>
                </w:pPr>
              </w:p>
            </w:tc>
            <w:tc>
              <w:tcPr>
                <w:tcW w:w="1566" w:type="dxa"/>
              </w:tcPr>
              <w:p w14:paraId="1093FB26" w14:textId="3AA4DC3F">
                <w:pPr>
                  <w:overflowPunct w:val="0"/>
                  <w:textAlignment w:val="baseline"/>
                  <w:rPr>
                    <w:szCs w:val="24"/>
                  </w:rPr>
                </w:pPr>
              </w:p>
            </w:tc>
          </w:tr>
        </w:tbl>
        <w:p w14:paraId="4962CBA6" w14:textId="6E2B8D72">
          <w:pPr>
            <w:overflowPunct w:val="0"/>
            <w:textAlignment w:val="baseline"/>
            <w:rPr>
              <w:szCs w:val="24"/>
            </w:rPr>
          </w:pPr>
        </w:p>
        <w:p w14:paraId="17DE4F12" w14:textId="77777777">
          <w:pPr>
            <w:overflowPunct w:val="0"/>
            <w:textAlignment w:val="baseline"/>
            <w:rPr>
              <w:szCs w:val="24"/>
            </w:rPr>
          </w:pPr>
        </w:p>
        <w:p w14:paraId="39C0E2C9" w14:textId="77777777">
          <w:pPr>
            <w:overflowPunct w:val="0"/>
            <w:ind w:firstLine="709"/>
            <w:textAlignment w:val="baseline"/>
            <w:rPr>
              <w:szCs w:val="24"/>
            </w:rPr>
          </w:pPr>
        </w:p>
        <w:p w14:paraId="37C908E5" w14:textId="77777777">
          <w:pPr>
            <w:overflowPunct w:val="0"/>
            <w:ind w:firstLine="709"/>
            <w:textAlignment w:val="baseline"/>
            <w:rPr>
              <w:szCs w:val="24"/>
            </w:rPr>
          </w:pPr>
          <w:r>
            <w:rPr>
              <w:szCs w:val="24"/>
            </w:rPr>
            <w:t>Atsakingas asmuo</w:t>
            <w:tab/>
            <w:tab/>
            <w:tab/>
            <w:tab/>
            <w:t xml:space="preserve">                                  </w:t>
          </w:r>
        </w:p>
        <w:p w14:paraId="366704CC" w14:textId="038F2085">
          <w:pPr>
            <w:overflowPunct w:val="0"/>
            <w:ind w:left="720" w:firstLine="5570"/>
            <w:textAlignment w:val="baseline"/>
            <w:rPr>
              <w:szCs w:val="24"/>
            </w:rPr>
          </w:pPr>
          <w:r>
            <w:rPr>
              <w:szCs w:val="24"/>
            </w:rPr>
            <w:t>(parašas)</w:t>
            <w:tab/>
            <w:t xml:space="preserve">                                        (vardas ir pavardė)</w:t>
          </w:r>
        </w:p>
        <w:p w14:paraId="292FC427" w14:textId="77777777">
          <w:pPr>
            <w:overflowPunct w:val="0"/>
            <w:jc w:val="both"/>
            <w:textAlignment w:val="baseline"/>
            <w:rPr>
              <w:sz w:val="18"/>
              <w:szCs w:val="18"/>
            </w:rPr>
          </w:pPr>
        </w:p>
      </w:sdtContent>
    </w:sdt>
    <w:sectPr>
      <w:headerReference w:type="even" r:id="rId13"/>
      <w:headerReference w:type="default" r:id="rId14"/>
      <w:pgSz w:w="16838" w:h="11906" w:orient="landscape" w:code="9"/>
      <w:pgMar w:top="1134" w:right="397" w:bottom="1134" w:left="1418" w:header="567" w:footer="567"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1D3E11" w14:textId="77777777">
      <w:pPr>
        <w:overflowPunct w:val="0"/>
        <w:textAlignment w:val="baseline"/>
        <w:rPr>
          <w:lang w:val="en-GB"/>
        </w:rPr>
      </w:pPr>
      <w:r>
        <w:rPr>
          <w:lang w:val="en-GB"/>
        </w:rPr>
        <w:separator/>
      </w:r>
    </w:p>
  </w:endnote>
  <w:endnote w:type="continuationSeparator" w:id="0">
    <w:p w14:paraId="203FFEB9" w14:textId="77777777">
      <w:pPr>
        <w:overflowPunct w:val="0"/>
        <w:textAlignment w:val="baseline"/>
        <w:rPr>
          <w:lang w:val="en-GB"/>
        </w:rPr>
      </w:pPr>
      <w:r>
        <w:rPr>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F189FD" w14:textId="77777777">
    <w:pPr>
      <w:tabs>
        <w:tab w:val="center" w:pos="4819"/>
        <w:tab w:val="right" w:pos="9638"/>
      </w:tabs>
      <w:overflowPunct w:val="0"/>
      <w:textAlignment w:val="baseline"/>
      <w:rPr>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BB48EF" w14:textId="77777777">
    <w:pPr>
      <w:tabs>
        <w:tab w:val="center" w:pos="4819"/>
        <w:tab w:val="right" w:pos="9638"/>
      </w:tabs>
      <w:overflowPunct w:val="0"/>
      <w:textAlignment w:val="baseline"/>
      <w:rPr>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DE43C0" w14:textId="77777777">
    <w:pPr>
      <w:tabs>
        <w:tab w:val="center" w:pos="4819"/>
        <w:tab w:val="right" w:pos="9638"/>
      </w:tabs>
      <w:overflowPunct w:val="0"/>
      <w:textAlignment w:val="baseline"/>
      <w:rPr>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E4F584" w14:textId="77777777">
      <w:pPr>
        <w:overflowPunct w:val="0"/>
        <w:textAlignment w:val="baseline"/>
        <w:rPr>
          <w:lang w:val="en-GB"/>
        </w:rPr>
      </w:pPr>
      <w:r>
        <w:rPr>
          <w:lang w:val="en-GB"/>
        </w:rPr>
        <w:separator/>
      </w:r>
    </w:p>
  </w:footnote>
  <w:footnote w:type="continuationSeparator" w:id="0">
    <w:p w14:paraId="060AB70B" w14:textId="77777777">
      <w:pPr>
        <w:overflowPunct w:val="0"/>
        <w:textAlignment w:val="baseline"/>
        <w:rPr>
          <w:lang w:val="en-GB"/>
        </w:rPr>
      </w:pPr>
      <w:r>
        <w:rPr>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6EA409" w14:textId="77777777">
    <w:pPr>
      <w:tabs>
        <w:tab w:val="center" w:pos="4819"/>
        <w:tab w:val="right" w:pos="9638"/>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E271E9" w14:textId="77777777">
    <w:pPr>
      <w:tabs>
        <w:tab w:val="center" w:pos="4819"/>
        <w:tab w:val="right" w:pos="9638"/>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14:paraId="683901A9" w14:textId="77777777">
    <w:pPr>
      <w:tabs>
        <w:tab w:val="center" w:pos="4819"/>
        <w:tab w:val="right" w:pos="9638"/>
      </w:tabs>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FB3635" w14:textId="77777777">
    <w:pPr>
      <w:tabs>
        <w:tab w:val="center" w:pos="4819"/>
        <w:tab w:val="right" w:pos="9638"/>
      </w:tabs>
      <w:rPr>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7F4AAC" w14:textId="77777777">
    <w:pPr>
      <w:framePr w:wrap="auto" w:vAnchor="text" w:hAnchor="margin" w:xAlign="center" w:y="1"/>
      <w:tabs>
        <w:tab w:val="center" w:pos="4819"/>
        <w:tab w:val="right" w:pos="9638"/>
      </w:tabs>
      <w:rPr>
        <w:lang w:eastAsia="lt-LT"/>
      </w:rPr>
    </w:pPr>
    <w:r>
      <w:rPr>
        <w:lang w:eastAsia="lt-LT"/>
      </w:rPr>
      <w:fldChar w:fldCharType="begin"/>
    </w:r>
    <w:r>
      <w:rPr>
        <w:lang w:eastAsia="lt-LT"/>
      </w:rPr>
      <w:instrText xml:space="preserve">PAGE  </w:instrText>
    </w:r>
    <w:r>
      <w:rPr>
        <w:lang w:eastAsia="lt-LT"/>
      </w:rPr>
      <w:fldChar w:fldCharType="end"/>
    </w:r>
  </w:p>
  <w:p w14:paraId="61607955" w14:textId="77777777">
    <w:pPr>
      <w:tabs>
        <w:tab w:val="center" w:pos="4819"/>
        <w:tab w:val="right" w:pos="9638"/>
      </w:tabs>
      <w:rPr>
        <w:lang w:eastAsia="lt-LT"/>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BD842A" w14:textId="77777777">
    <w:pPr>
      <w:tabs>
        <w:tab w:val="center" w:pos="4819"/>
        <w:tab w:val="right" w:pos="9638"/>
      </w:tab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7D2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AEECEDD"/>
  <w15:docId w15:val="{79E8E4A3-1130-43D6-BFC1-C0AF5AB758B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5343506">
      <w:bodyDiv w:val="1"/>
      <w:marLeft w:val="0"/>
      <w:marRight w:val="0"/>
      <w:marTop w:val="0"/>
      <w:marBottom w:val="0"/>
      <w:divBdr>
        <w:top w:val="none" w:sz="0" w:space="0" w:color="auto"/>
        <w:left w:val="none" w:sz="0" w:space="0" w:color="auto"/>
        <w:bottom w:val="none" w:sz="0" w:space="0" w:color="auto"/>
        <w:right w:val="none" w:sz="0" w:space="0" w:color="auto"/>
      </w:divBdr>
    </w:div>
    <w:div w:id="117723495">
      <w:bodyDiv w:val="1"/>
      <w:marLeft w:val="0"/>
      <w:marRight w:val="0"/>
      <w:marTop w:val="0"/>
      <w:marBottom w:val="0"/>
      <w:divBdr>
        <w:top w:val="none" w:sz="0" w:space="0" w:color="auto"/>
        <w:left w:val="none" w:sz="0" w:space="0" w:color="auto"/>
        <w:bottom w:val="none" w:sz="0" w:space="0" w:color="auto"/>
        <w:right w:val="none" w:sz="0" w:space="0" w:color="auto"/>
      </w:divBdr>
    </w:div>
    <w:div w:id="120542274">
      <w:bodyDiv w:val="1"/>
      <w:marLeft w:val="0"/>
      <w:marRight w:val="0"/>
      <w:marTop w:val="0"/>
      <w:marBottom w:val="0"/>
      <w:divBdr>
        <w:top w:val="none" w:sz="0" w:space="0" w:color="auto"/>
        <w:left w:val="none" w:sz="0" w:space="0" w:color="auto"/>
        <w:bottom w:val="none" w:sz="0" w:space="0" w:color="auto"/>
        <w:right w:val="none" w:sz="0" w:space="0" w:color="auto"/>
      </w:divBdr>
    </w:div>
    <w:div w:id="261842938">
      <w:bodyDiv w:val="1"/>
      <w:marLeft w:val="0"/>
      <w:marRight w:val="0"/>
      <w:marTop w:val="0"/>
      <w:marBottom w:val="0"/>
      <w:divBdr>
        <w:top w:val="none" w:sz="0" w:space="0" w:color="auto"/>
        <w:left w:val="none" w:sz="0" w:space="0" w:color="auto"/>
        <w:bottom w:val="none" w:sz="0" w:space="0" w:color="auto"/>
        <w:right w:val="none" w:sz="0" w:space="0" w:color="auto"/>
      </w:divBdr>
    </w:div>
    <w:div w:id="1432317334">
      <w:bodyDiv w:val="1"/>
      <w:marLeft w:val="0"/>
      <w:marRight w:val="0"/>
      <w:marTop w:val="0"/>
      <w:marBottom w:val="0"/>
      <w:divBdr>
        <w:top w:val="none" w:sz="0" w:space="0" w:color="auto"/>
        <w:left w:val="none" w:sz="0" w:space="0" w:color="auto"/>
        <w:bottom w:val="none" w:sz="0" w:space="0" w:color="auto"/>
        <w:right w:val="none" w:sz="0" w:space="0" w:color="auto"/>
      </w:divBdr>
    </w:div>
    <w:div w:id="1651130870">
      <w:bodyDiv w:val="1"/>
      <w:marLeft w:val="0"/>
      <w:marRight w:val="0"/>
      <w:marTop w:val="0"/>
      <w:marBottom w:val="0"/>
      <w:divBdr>
        <w:top w:val="none" w:sz="0" w:space="0" w:color="auto"/>
        <w:left w:val="none" w:sz="0" w:space="0" w:color="auto"/>
        <w:bottom w:val="none" w:sz="0" w:space="0" w:color="auto"/>
        <w:right w:val="none" w:sz="0" w:space="0" w:color="auto"/>
      </w:divBdr>
    </w:div>
    <w:div w:id="1826166035">
      <w:bodyDiv w:val="1"/>
      <w:marLeft w:val="0"/>
      <w:marRight w:val="0"/>
      <w:marTop w:val="0"/>
      <w:marBottom w:val="0"/>
      <w:divBdr>
        <w:top w:val="none" w:sz="0" w:space="0" w:color="auto"/>
        <w:left w:val="none" w:sz="0" w:space="0" w:color="auto"/>
        <w:bottom w:val="none" w:sz="0" w:space="0" w:color="auto"/>
        <w:right w:val="none" w:sz="0" w:space="0" w:color="auto"/>
      </w:divBdr>
    </w:div>
    <w:div w:id="1925072018">
      <w:bodyDiv w:val="1"/>
      <w:marLeft w:val="0"/>
      <w:marRight w:val="0"/>
      <w:marTop w:val="0"/>
      <w:marBottom w:val="0"/>
      <w:divBdr>
        <w:top w:val="none" w:sz="0" w:space="0" w:color="auto"/>
        <w:left w:val="none" w:sz="0" w:space="0" w:color="auto"/>
        <w:bottom w:val="none" w:sz="0" w:space="0" w:color="auto"/>
        <w:right w:val="none" w:sz="0" w:space="0" w:color="auto"/>
      </w:divBdr>
      <w:divsChild>
        <w:div w:id="113446916">
          <w:marLeft w:val="547"/>
          <w:marRight w:val="0"/>
          <w:marTop w:val="67"/>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61b6ed59be04f16a10e1757adb8d5b9" PartId="33b9332fe4454d9a8ff0336bde0b2417">
    <Part Type="skyrius" Nr="1" Title="BENDROSIOS NUOSTATOS" DocPartId="a9eb2e1362394ea5963c761496910c54" PartId="2eb8e492b49c4de583b1204b7a28564a">
      <Part Type="punktas" Nr="1" Abbr="1 p." DocPartId="80ca43c2f3094601a941702886e1f28d" PartId="e2700dba04fe4af5a64fab5273e99871"/>
      <Part Type="punktas" Nr="2" Abbr="2 p." DocPartId="72d4eee538de4fef914db455b2ca7f90" PartId="bc7006820e0f48778d3ac8f8b48be47c"/>
      <Part Type="punktas" Nr="3" Abbr="3 p." DocPartId="e077b2445b644552b2f0569f85ac5df0" PartId="6e738682217449bf97af5e945dbd132e"/>
    </Part>
    <Part Type="skyrius" Nr="2" Title="PARAMOS DYDIS IR PARAMOS SKYRIMO REIKALAVIMAI" DocPartId="4ee6686f0e2d40ceaecf89f09179084c" PartId="2f6422802cb14f24a2ff260090c6c836">
      <Part Type="punktas" Nr="4" Abbr="4 p." DocPartId="f469be26415f4ed086bdaa9b2ffc7dc0" PartId="2455931ff4a74be2844e3a3a5ebda9a1">
        <Part Type="papunktis" Nr="4.1" Abbr="4.1 pp." DocPartId="9e6bc367683048d1ac1ee4465543267d" PartId="2401c90489b44cd39965c6c93dbe712b"/>
        <Part Type="papunktis" Nr="4.2" Abbr="4.2 pp." DocPartId="eddbd803cddf4b63b9c9abfe28a896fe" PartId="b2b04c84ad424264841f9acf638ffa5a"/>
        <Part Type="papunktis" Nr="4.3" Abbr="4.3 pp." DocPartId="1f6a51b01b094b4a94f842512b6d7a63" PartId="0443bcaa86a14ec2a3acb416d4c7a0af"/>
        <Part Type="papunktis" Nr="4.4" Abbr="4.4 pp." DocPartId="6172016f346a41c1a4bd2df2515684da" PartId="e19e079e64bc438583b003e8ba2e63b2"/>
        <Part Type="papunktis" Nr="4.5" Abbr="4.5 pp." DocPartId="7fe0e7c308b34229b96a0fe981c48b65" PartId="585228c8082c43638cc1ff9a2e3999c1"/>
      </Part>
      <Part Type="punktas" Nr="5" Abbr="5 p." DocPartId="3d9b46d3315045f6b5ed2d09df94ed15" PartId="8f68def1202847eeb168a87b36292d6c"/>
      <Part Type="punktas" Nr="6" Abbr="6 p." DocPartId="374e1b19223544c0892567374250d882" PartId="8367ac187fa5420aa4372d332ca93d86">
        <Part Type="papunktis" Nr="6.1" Abbr="6.1 pp." DocPartId="93e66ede48c4492ba8f565f07f9b69ba" PartId="08a85828b92944e0862f50b3b48a74fb"/>
        <Part Type="papunktis" Nr="6.2" Abbr="6.2 pp." DocPartId="fa4a0440dc8b44aba3d0811173f393db" PartId="519218e7e2db4f788c80c5ff719e0f63"/>
        <Part Type="papunktis" Nr="6.3" Abbr="6.3 pp." DocPartId="d5df1aa64c0045d5a861c44cd8717bf8" PartId="542fe575b62d4bd2bc646a4f0adcf283"/>
        <Part Type="papunktis" Nr="6.4" Abbr="6.4 pp." DocPartId="268e7b31114d464ab55a33753c89e9a4" PartId="c76f6e3502ae409eb6efa1ec228689c5"/>
      </Part>
      <Part Type="punktas" Nr="7" Abbr="7 p." DocPartId="2cdc5c7828e446cdb769d07c8eef8901" PartId="f1712c598cc042988b4103f2d77a77f7"/>
      <Part Type="punktas" Nr="8" Abbr="8 p." DocPartId="8ca8987d03f24607a4893368101b44ca" PartId="e5677ec781974bbeb2ba183a4b22930f"/>
      <Part Type="punktas" Nr="9" Abbr="9 p." DocPartId="cc3e7c0fca51402fab5d905ef939cb41" PartId="2b02c22c33eb432cb1402ead1dc08656"/>
      <Part Type="punktas" Nr="10" Abbr="10 p." DocPartId="2dda6b2375ae47d98cdf0b039a4f1b0b" PartId="f91aa8293da24338860f926905416868"/>
    </Part>
    <Part Type="skyrius" Nr="3" Title="ADMINISTRAVIMO PROCEDŪROS" DocPartId="2f96b38a07b74afea1103556350c06b2" PartId="adcb95281d9d457e80e64336eb9dec42">
      <Part Type="punktas" Nr="11" Abbr="11 p." DocPartId="a738d7b04dd54c8ba335da8d432799e4" PartId="31a28b5fcaac4814adb580238f360c12">
        <Part Type="papunktis" Nr="11.1" Abbr="11.1 pp." DocPartId="65d1936d3a3841c5abce7330f7c4fc18" PartId="a431edf2d96c431cadb033320bcb9d71"/>
        <Part Type="papunktis" Nr="11.2" Abbr="11.2 pp." DocPartId="6a83380130214628a7ec1ffc50445251" PartId="45b77319200d412b88e5daddd0f54c1e"/>
      </Part>
      <Part Type="punktas" Nr="12" Abbr="12 p." DocPartId="7d5a3735aa414f44bd61e12bfe6098a0" PartId="919b26432d714dcc9a39bc69fea7170d">
        <Part Type="papunktis" Nr="12.1" Abbr="12.1 pp." DocPartId="b45dd65d944749e89ea3988d25a14eeb" PartId="6915e4c07b6c4f3fa352b66663ffe525"/>
        <Part Type="papunktis" Nr="12.2" Abbr="12.2 pp." DocPartId="4970aadc837b4b60bf5d27728e127505" PartId="17b56f0f611c4aa798c31f816884ec0f"/>
        <Part Type="papunktis" Nr="12.3" Abbr="12.3 pp." DocPartId="aa6e8556133243d485e2ddec65888e14" PartId="0609dbdf3c0a448680ef58ae8fdb0a79"/>
        <Part Type="papunktis" Nr="12.4" Abbr="12.4 pp." DocPartId="90f00a70bdf94b0787be9771ba8a0b58" PartId="21f7a7a123804a5ab5ff4ff8b28ace63"/>
      </Part>
      <Part Type="punktas" Nr="13" Abbr="13 p." DocPartId="2acc065e4f1841a5a899b4b24572ce9d" PartId="8800639d3b9d4c0faf0d57590f4ee5f4"/>
      <Part Type="punktas" Nr="14" Abbr="14 p." DocPartId="564d19cc9d6f48e58be20b98d8dedfc9" PartId="862b7b741e6c42e79e63c74ccdcb26c8">
        <Part Type="papunktis" Nr="14.1" Abbr="14.1 pp." DocPartId="453b8e1cff694bb287f3c113f6c1b0fe" PartId="70d5d33b9e3e4a06973790e43319cce9"/>
        <Part Type="papunktis" Nr="14.2" Abbr="14.2 pp." DocPartId="1141792ad7264260adaf5fbbf68e2793" PartId="330e3140c80c4ea28c1972e10a5dd2f5"/>
      </Part>
      <Part Type="punktas" Nr="15" Abbr="15 p." DocPartId="3cbd116810864e93afa4ddad70fcdd4c" PartId="da4780f5dbd649d6962f05dcd0706774">
        <Part Type="papunktis" Nr="15.1" Abbr="15.1 pp." DocPartId="ea6c5dadca6549c8a1d85f03bc046958" PartId="cae4b8385aa549fe8f830abe49191a25"/>
        <Part Type="papunktis" Nr="15.2" Abbr="15.2 pp." DocPartId="a02285b0de7a4bcda4c054cdc02c13b8" PartId="1aa34a1709cc4a80b22a254b4e9b220a"/>
        <Part Type="papunktis" Nr="15.3" Abbr="15.3 pp." DocPartId="b789d0953dfd47eca408b42fec8b0729" PartId="3634ce6abaf4419798ac4571666275e1"/>
      </Part>
      <Part Type="punktas" Nr="16" Abbr="16 p." DocPartId="9646f85385e942c3bbd1052bb5f9ee87" PartId="4ff29bcc591b4a70bc40f87e03a84b99"/>
      <Part Type="punktas" Nr="17" Abbr="17 p." DocPartId="13ae2fd35dcf4edbbc4c0cb294c7288e" PartId="d9c9c4bb7b05488caaaa167a344599a2"/>
    </Part>
    <Part Type="skyrius" Nr="4" Title="GAMINTOJŲ PRAŠYMŲ IR SKUNDŲ NAGRINĖJIMAS" DocPartId="2309cc9bfc704b698ff246f0571c30be" PartId="226acb876b204b36afcc0de5e2d28f9f">
      <Part Type="punktas" Nr="18" Abbr="18 p." DocPartId="dadd72ca49634c21a9072fbaad9b583c" PartId="d94e3f68d29048fe81048bfbf3778d4d"/>
      <Part Type="punktas" Nr="19" Abbr="19 p." DocPartId="59b9b7dddf3046caacf510cf05ca4cd1" PartId="664c17daaece474f91f2b1c93477680b"/>
      <Part Type="punktas" Nr="20" Abbr="20 p." DocPartId="12f58d8705e44be1a3dd8040404d3345" PartId="97ff806e0da84242a25be64e526e3f22"/>
    </Part>
    <Part Type="skyrius" Nr="5" Title="ATSAKOMYBĖ" DocPartId="f8acf9c2d768460e9cf708492d862155" PartId="4e5b5cf160fa40c18880b5c851c94a79">
      <Part Type="punktas" Nr="21" Abbr="21 p." DocPartId="c66eff158a264c7b839ec1be9295d5ba" PartId="50a8b568a25f435b8dbbc132bb743448"/>
      <Part Type="punktas" Nr="22" Abbr="22 p." DocPartId="b6d691eb8143404590394e5ea072c952" PartId="74f974d404ee4a5da2c033f86f932d21"/>
    </Part>
    <Part Type="signatura" DocPartId="57fe92900df14e998f4f8d51c15c62fd" PartId="eb7ed7ef31104400b08dede04f381411"/>
  </Part>
  <Part Type="priedas" Abbr="pr." Title="PERDUODAMŲ DUOMENŲ APIE 2023 M. EUROPOS SĄJUNGOS PARAMOS PIENO GAMINTOJAMS EKONOMINIAM GYVYBINGUMUI IŠSAUGOTI SKYRIMĄ SUVESTINĖ" DocPartId="70de728679e34d748cde0e7289ffdc93" PartId="48f3e235a77443a5a64121d2d72fd0d0"/>
</Parts>
</file>

<file path=customXml/itemProps1.xml><?xml version="1.0" encoding="utf-8"?>
<ds:datastoreItem xmlns:ds="http://schemas.openxmlformats.org/officeDocument/2006/customXml" ds:itemID="{4C5FD0AB-7387-4E72-A697-C11C51BB8C28}">
  <ds:schemaRefs>
    <ds:schemaRef ds:uri="http://schemas.openxmlformats.org/officeDocument/2006/bibliography"/>
  </ds:schemaRefs>
</ds:datastoreItem>
</file>

<file path=customXml/itemProps2.xml><?xml version="1.0" encoding="utf-8"?>
<ds:datastoreItem xmlns:ds="http://schemas.openxmlformats.org/officeDocument/2006/customXml" ds:itemID="{7994F6F3-9EF9-40CE-B3D3-E79D535F862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1722</Words>
  <Characters>11215</Characters>
  <Application>Microsoft Office Word</Application>
  <DocSecurity>4</DocSecurity>
  <Lines>260</Lines>
  <Paragraphs>89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12848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2023-08-11T12:59:00Z</dcterms:created>
  <dc:creator>vidak</dc:creator>
  <lastModifiedBy>adlibuser</lastModifiedBy>
  <lastPrinted>2016-09-13T12:51:00Z</lastPrinted>
  <dcterms:modified xsi:type="dcterms:W3CDTF">2023-08-11T12:59:00Z</dcterms:modified>
  <revision>2</revision>
</coreProperties>
</file>