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82d4af723e443bb3958d634f9ae57b"/>
        <w:lock w:val="sdtLocked"/>
        <w:richText/>
      </w:sdtPr>
      <w:sdtContent>
        <w:p w14:paraId="05456198" w14:textId="77777777">
          <w:pPr>
            <w:keepNext/>
            <w:jc w:val="center"/>
            <w:rPr>
              <w:szCs w:val="24"/>
              <w:lang w:eastAsia="lt-LT"/>
            </w:rPr>
          </w:pPr>
          <w:r>
            <w:rPr>
              <w:b/>
              <w:bCs/>
              <w:szCs w:val="24"/>
              <w:lang w:eastAsia="lt-LT"/>
            </w:rPr>
            <w:t>ŠIAULIŲ MIESTO SAVIVALDYBĖS ADMINISTRACIJOS</w:t>
          </w:r>
        </w:p>
        <w:sdt>
          <w:sdtPr>
            <w:alias w:val="skyrius"/>
            <w:tag w:val="part_e485d69c867b4d149acd90e0ae06f5c3"/>
            <w:lock w:val="sdtLocked"/>
            <w:richText/>
          </w:sdtPr>
          <w:sdtContent>
            <w:p w14:paraId="05456199" w14:textId="77777777">
              <w:pPr>
                <w:widowControl w:val="0"/>
                <w:suppressAutoHyphens/>
                <w:jc w:val="center"/>
                <w:rPr>
                  <w:rFonts w:eastAsia="Lucida Sans Unicode"/>
                  <w:szCs w:val="24"/>
                  <w:lang w:eastAsia="lt-LT"/>
                </w:rPr>
              </w:pPr>
              <w:r>
                <w:rPr>
                  <w:rFonts w:eastAsia="Lucida Sans Unicode"/>
                  <w:b/>
                  <w:szCs w:val="24"/>
                  <w:lang w:eastAsia="lt-LT"/>
                </w:rPr>
                <w:t>TURTO VALDYMO SKYRIUS</w:t>
              </w:r>
            </w:p>
            <w:p w14:paraId="0545619A" w14:textId="77777777">
              <w:pPr>
                <w:jc w:val="center"/>
                <w:rPr>
                  <w:szCs w:val="24"/>
                  <w:lang w:eastAsia="lt-LT"/>
                </w:rPr>
              </w:pPr>
            </w:p>
            <w:sdt>
              <w:sdtPr>
                <w:alias w:val="Pavadinimas"/>
                <w:tag w:val="title_e485d69c867b4d149acd90e0ae06f5c3"/>
                <w:lock w:val="sdtLocked"/>
                <w:richText/>
              </w:sdtPr>
              <w:sdtContent>
                <w:p w14:paraId="0545619B" w14:textId="55785D24">
                  <w:pPr>
                    <w:keepNext/>
                    <w:widowControl w:val="0"/>
                    <w:suppressAutoHyphens/>
                    <w:jc w:val="center"/>
                    <w:outlineLvl w:val="3"/>
                    <w:rPr>
                      <w:rFonts w:eastAsia="Lucida Sans Unicode"/>
                      <w:b/>
                      <w:bCs/>
                      <w:szCs w:val="24"/>
                    </w:rPr>
                  </w:pPr>
                  <w:r>
                    <w:rPr>
                      <w:rFonts w:eastAsia="Lucida Sans Unicode"/>
                      <w:b/>
                      <w:szCs w:val="24"/>
                    </w:rPr>
                    <w:t>SPRENDIMO „DĖL</w:t>
                  </w:r>
                  <w:r>
                    <w:rPr>
                      <w:rFonts w:eastAsia="Lucida Sans Unicode"/>
                      <w:b/>
                      <w:bCs/>
                      <w:szCs w:val="24"/>
                    </w:rPr>
                    <w:t xml:space="preserve"> ŠIAULIŲ MIESTO SAVIVALDYBĖS TARYBOS 2021 M. VASARIO</w:t>
                  </w:r>
                  <w:r>
                    <w:rPr>
                      <w:rFonts w:ascii="TimesLT" w:eastAsia="Lucida Sans Unicode" w:hAnsi="TimesLT"/>
                      <w:b/>
                      <w:szCs w:val="24"/>
                      <w:lang w:val="x-none"/>
                    </w:rPr>
                    <w:t> </w:t>
                  </w:r>
                  <w:r>
                    <w:rPr>
                      <w:rFonts w:eastAsia="Lucida Sans Unicode"/>
                      <w:b/>
                      <w:bCs/>
                      <w:szCs w:val="24"/>
                    </w:rPr>
                    <w:t>4</w:t>
                  </w:r>
                  <w:r>
                    <w:rPr>
                      <w:rFonts w:ascii="TimesLT" w:eastAsia="Lucida Sans Unicode" w:hAnsi="TimesLT"/>
                      <w:b/>
                      <w:szCs w:val="24"/>
                      <w:lang w:val="x-none"/>
                    </w:rPr>
                    <w:t> </w:t>
                  </w:r>
                  <w:r>
                    <w:rPr>
                      <w:rFonts w:eastAsia="Lucida Sans Unicode"/>
                      <w:b/>
                      <w:bCs/>
                      <w:szCs w:val="24"/>
                    </w:rPr>
                    <w:t>D. SPRENDIMO NR. T-6 „DĖL VIEŠAME AUKCIONE PARDUODAMO SAVIVALDYBĖS NEKILNOJAMOJO TURTO IR KITŲ NEKILNOJAMŲJŲ DAIKTŲ SĄRAŠO PATVIRTINIMO“ PAKEITIMO“</w:t>
                  </w:r>
                </w:p>
                <w:p w14:paraId="0545619C" w14:textId="77777777">
                  <w:pPr>
                    <w:keepNext/>
                    <w:widowControl w:val="0"/>
                    <w:suppressAutoHyphens/>
                    <w:jc w:val="center"/>
                    <w:outlineLvl w:val="3"/>
                    <w:rPr>
                      <w:rFonts w:eastAsia="Lucida Sans Unicode"/>
                      <w:b/>
                      <w:bCs/>
                      <w:szCs w:val="24"/>
                    </w:rPr>
                  </w:pPr>
                  <w:r>
                    <w:rPr>
                      <w:rFonts w:eastAsia="Lucida Sans Unicode"/>
                      <w:b/>
                      <w:szCs w:val="24"/>
                    </w:rPr>
                    <w:t>PROJEKTO</w:t>
                  </w:r>
                  <w:r>
                    <w:rPr>
                      <w:rFonts w:eastAsia="Lucida Sans Unicode"/>
                      <w:b/>
                      <w:bCs/>
                      <w:szCs w:val="24"/>
                    </w:rPr>
                    <w:t xml:space="preserve"> </w:t>
                  </w:r>
                  <w:r>
                    <w:rPr>
                      <w:rFonts w:eastAsia="Lucida Sans Unicode"/>
                      <w:b/>
                      <w:szCs w:val="24"/>
                    </w:rPr>
                    <w:t>AIŠKINAMASIS RAŠTAS</w:t>
                  </w:r>
                </w:p>
              </w:sdtContent>
            </w:sdt>
            <w:p w14:paraId="0545619D" w14:textId="77777777">
              <w:pPr>
                <w:jc w:val="center"/>
                <w:rPr>
                  <w:szCs w:val="24"/>
                  <w:lang w:eastAsia="lt-LT"/>
                </w:rPr>
              </w:pPr>
            </w:p>
            <w:p w14:paraId="0545619E" w14:textId="595FA836">
              <w:pPr>
                <w:jc w:val="center"/>
                <w:rPr>
                  <w:szCs w:val="24"/>
                  <w:lang w:eastAsia="lt-LT"/>
                </w:rPr>
              </w:pPr>
              <w:r>
                <w:rPr>
                  <w:szCs w:val="24"/>
                  <w:lang w:eastAsia="lt-LT"/>
                </w:rPr>
                <w:t xml:space="preserve">2025 m.                  d.</w:t>
              </w:r>
            </w:p>
            <w:p w14:paraId="0545619F" w14:textId="77777777">
              <w:pPr>
                <w:jc w:val="center"/>
                <w:rPr>
                  <w:szCs w:val="24"/>
                  <w:lang w:eastAsia="lt-LT"/>
                </w:rPr>
              </w:pPr>
              <w:r>
                <w:rPr>
                  <w:szCs w:val="24"/>
                  <w:lang w:eastAsia="lt-LT"/>
                </w:rPr>
                <w:t>Šiauliai</w:t>
              </w:r>
            </w:p>
            <w:p w14:paraId="0FA9A295" w14:textId="77777777">
              <w:pPr>
                <w:widowControl w:val="0"/>
                <w:suppressAutoHyphens/>
                <w:rPr>
                  <w:rFonts w:eastAsia="Lucida Sans Unicode"/>
                  <w:szCs w:val="24"/>
                  <w:lang w:eastAsia="lt-LT"/>
                </w:rPr>
              </w:pPr>
            </w:p>
            <w:p w14:paraId="13BCC5F0" w14:textId="77777777">
              <w:pPr>
                <w:widowControl w:val="0"/>
                <w:suppressAutoHyphens/>
                <w:rPr>
                  <w:rFonts w:eastAsia="Lucida Sans Unicode"/>
                  <w:szCs w:val="24"/>
                  <w:lang w:eastAsia="lt-LT"/>
                </w:rPr>
              </w:pPr>
            </w:p>
            <w:sdt>
              <w:sdtPr>
                <w:alias w:val="poskyris"/>
                <w:tag w:val="part_2deb380bd19d42a3a4a28ad5573daa55"/>
                <w:lock w:val="sdtLocked"/>
                <w:richText/>
              </w:sdtPr>
              <w:sdtContent>
                <w:p w14:paraId="5E62B130" w14:textId="53040F00">
                  <w:pPr>
                    <w:widowControl w:val="0"/>
                    <w:suppressAutoHyphens/>
                    <w:ind w:firstLine="709"/>
                    <w:rPr>
                      <w:rFonts w:eastAsia="Lucida Sans Unicode"/>
                      <w:b/>
                      <w:bCs/>
                      <w:szCs w:val="24"/>
                    </w:rPr>
                  </w:pPr>
                  <w:sdt>
                    <w:sdtPr>
                      <w:alias w:val="Pavadinimas"/>
                      <w:tag w:val="title_2deb380bd19d42a3a4a28ad5573daa55"/>
                      <w:lock w:val="sdtLocked"/>
                      <w:richText/>
                    </w:sdtPr>
                    <w:sdtContent>
                      <w:r>
                        <w:rPr>
                          <w:rFonts w:eastAsia="Lucida Sans Unicode"/>
                          <w:b/>
                          <w:bCs/>
                          <w:szCs w:val="24"/>
                        </w:rPr>
                        <w:t>Parengto sprendimo projekto tikslas ir uždaviniai.</w:t>
                      </w:r>
                    </w:sdtContent>
                  </w:sdt>
                </w:p>
                <w:p w14:paraId="5D7BA871" w14:textId="15CE7DCC">
                  <w:pPr>
                    <w:widowControl w:val="0"/>
                    <w:suppressAutoHyphens/>
                    <w:ind w:firstLine="709"/>
                    <w:jc w:val="both"/>
                    <w:rPr>
                      <w:rFonts w:eastAsia="Lucida Sans Unicode"/>
                      <w:szCs w:val="24"/>
                    </w:rPr>
                  </w:pPr>
                  <w:r>
                    <w:rPr>
                      <w:rFonts w:eastAsia="Lucida Sans Unicode"/>
                      <w:color w:val="000000"/>
                      <w:szCs w:val="24"/>
                      <w:shd w:val="clear" w:color="auto" w:fill="FFFFFF"/>
                    </w:rPr>
                    <w:t>Atsižvelgiant</w:t>
                  </w:r>
                  <w:r>
                    <w:rPr>
                      <w:rFonts w:eastAsia="Lucida Sans Unicode"/>
                      <w:color w:val="FF0000"/>
                      <w:szCs w:val="24"/>
                      <w:shd w:val="clear" w:color="auto" w:fill="FFFFFF"/>
                    </w:rPr>
                    <w:t xml:space="preserve"> </w:t>
                  </w:r>
                  <w:r>
                    <w:rPr>
                      <w:rFonts w:eastAsia="Lucida Sans Unicode"/>
                      <w:color w:val="000000"/>
                      <w:szCs w:val="24"/>
                      <w:shd w:val="clear" w:color="auto" w:fill="FFFFFF"/>
                    </w:rPr>
                    <w:t>į Šiaulių miesto savivaldybės tarybos 2025</w:t>
                  </w:r>
                  <w:r>
                    <w:rPr>
                      <w:rFonts w:eastAsia="Lucida Sans Unicode"/>
                      <w:szCs w:val="24"/>
                    </w:rPr>
                    <w:t> </w:t>
                  </w:r>
                  <w:r>
                    <w:rPr>
                      <w:rFonts w:eastAsia="Lucida Sans Unicode"/>
                      <w:color w:val="000000"/>
                      <w:szCs w:val="24"/>
                      <w:shd w:val="clear" w:color="auto" w:fill="FFFFFF"/>
                    </w:rPr>
                    <w:t>m.</w:t>
                  </w:r>
                  <w:r>
                    <w:rPr>
                      <w:rFonts w:eastAsia="Lucida Sans Unicode"/>
                      <w:szCs w:val="24"/>
                    </w:rPr>
                    <w:t> </w:t>
                  </w:r>
                  <w:r>
                    <w:rPr>
                      <w:rFonts w:eastAsia="Lucida Sans Unicode"/>
                      <w:color w:val="000000"/>
                      <w:szCs w:val="24"/>
                      <w:shd w:val="clear" w:color="auto" w:fill="FFFFFF"/>
                    </w:rPr>
                    <w:t>kovo</w:t>
                  </w:r>
                  <w:r>
                    <w:rPr>
                      <w:rFonts w:eastAsia="Lucida Sans Unicode"/>
                      <w:szCs w:val="24"/>
                    </w:rPr>
                    <w:t> </w:t>
                  </w:r>
                  <w:r>
                    <w:rPr>
                      <w:rFonts w:eastAsia="Lucida Sans Unicode"/>
                      <w:color w:val="000000"/>
                      <w:szCs w:val="24"/>
                      <w:shd w:val="clear" w:color="auto" w:fill="FFFFFF"/>
                    </w:rPr>
                    <w:t>6</w:t>
                  </w:r>
                  <w:r>
                    <w:rPr>
                      <w:rFonts w:eastAsia="Lucida Sans Unicode"/>
                      <w:szCs w:val="24"/>
                    </w:rPr>
                    <w:t> </w:t>
                  </w:r>
                  <w:r>
                    <w:rPr>
                      <w:rFonts w:eastAsia="Lucida Sans Unicode"/>
                      <w:color w:val="000000"/>
                      <w:szCs w:val="24"/>
                      <w:shd w:val="clear" w:color="auto" w:fill="FFFFFF"/>
                    </w:rPr>
                    <w:t xml:space="preserve">d. sprendimą Nr. T-85 „Dėl savivaldybei nuosavybės teise priklausančių gyvenamųjų patalpų pripažinimo netinkamomis (negalimomis) naudoti“, </w:t>
                  </w:r>
                  <w:r>
                    <w:rPr>
                      <w:rFonts w:eastAsia="Lucida Sans Unicode"/>
                      <w:szCs w:val="24"/>
                    </w:rPr>
                    <w:t>pakeisti Viešame aukcione parduodamo savivaldybės nekilnojamojo turto ir kitų nekilnojamųjų daiktų sąrašą, patvirtintą Savivaldybės tarybos 2021 m. vasario 4 d. sprendimu Nr. T-6 „Dėl Viešame aukcione parduodamo savivaldybės nekilnojamojo turto ir kitų nekilnojamųjų daiktų sąrašo patvirtinimo“ (toliau – Sąrašas).</w:t>
                  </w:r>
                </w:p>
              </w:sdtContent>
            </w:sdt>
            <w:sdt>
              <w:sdtPr>
                <w:alias w:val="poskyris"/>
                <w:tag w:val="part_19d626d2f5c94fd0a0837cbddde7be8d"/>
                <w:lock w:val="sdtLocked"/>
                <w:richText/>
              </w:sdtPr>
              <w:sdtContent>
                <w:p w14:paraId="054561A3" w14:textId="3335E704">
                  <w:pPr>
                    <w:ind w:firstLine="709"/>
                    <w:jc w:val="both"/>
                    <w:rPr>
                      <w:b/>
                      <w:szCs w:val="24"/>
                      <w:lang w:eastAsia="lt-LT"/>
                    </w:rPr>
                  </w:pPr>
                  <w:sdt>
                    <w:sdtPr>
                      <w:alias w:val="Pavadinimas"/>
                      <w:tag w:val="title_19d626d2f5c94fd0a0837cbddde7be8d"/>
                      <w:lock w:val="sdtLocked"/>
                      <w:richText/>
                    </w:sdtPr>
                    <w:sdtContent>
                      <w:r>
                        <w:rPr>
                          <w:b/>
                          <w:szCs w:val="24"/>
                          <w:lang w:eastAsia="lt-LT"/>
                        </w:rPr>
                        <w:t>Dabartinis sprendimo projekte aptariamų klausimų reguliavimas.</w:t>
                      </w:r>
                    </w:sdtContent>
                  </w:sdt>
                </w:p>
                <w:p w14:paraId="6CDC16C9" w14:textId="0E3EDC6A">
                  <w:pPr>
                    <w:ind w:firstLine="709"/>
                    <w:jc w:val="both"/>
                    <w:rPr>
                      <w:szCs w:val="24"/>
                      <w:lang w:eastAsia="lt-LT"/>
                    </w:rPr>
                  </w:pPr>
                  <w:r>
                    <w:rPr>
                      <w:szCs w:val="24"/>
                      <w:lang w:eastAsia="lt-LT"/>
                    </w:rPr>
                    <w:t>Vadovaujantis Lietuvos Respublikos Vyriausybės 2014 m. spalio 28 d. nutarimo Nr. 1179 „Dėl Viešame aukcione parduodamo valstybės ir savivaldybių nekilnojamojo turto ir kitų nekilnojamųjų daiktų sąrašo sudarymo tvarkos aprašo patvirtinimo“ 3.2 papunkčiu, viešame aukcione parduodamo nekilnojamojo turto ir kitų nekilnojamųjų daiktų sąrašą tvirtina savivaldybės taryba, kai nekilnojamasis turtas ir kiti nekilnojamieji daiktai nuosavybės teise priklauso savivaldybei.</w:t>
                  </w:r>
                </w:p>
                <w:p w14:paraId="24C6FE4E" w14:textId="77777777">
                  <w:pPr>
                    <w:widowControl w:val="0"/>
                    <w:suppressAutoHyphens/>
                    <w:rPr>
                      <w:rFonts w:eastAsia="Lucida Sans Unicode"/>
                      <w:szCs w:val="24"/>
                      <w:lang w:eastAsia="lt-LT"/>
                    </w:rPr>
                  </w:pPr>
                </w:p>
              </w:sdtContent>
            </w:sdt>
            <w:sdt>
              <w:sdtPr>
                <w:alias w:val="poskyris"/>
                <w:tag w:val="part_38fd15cbcd1c4b54b479e094c47b251d"/>
                <w:lock w:val="sdtLocked"/>
                <w:richText/>
              </w:sdtPr>
              <w:sdtContent>
                <w:p w14:paraId="026154C6" w14:textId="77777777">
                  <w:pPr>
                    <w:ind w:firstLine="709"/>
                    <w:jc w:val="both"/>
                    <w:rPr>
                      <w:b/>
                      <w:bCs/>
                      <w:szCs w:val="24"/>
                      <w:lang w:eastAsia="lt-LT"/>
                    </w:rPr>
                  </w:pPr>
                  <w:sdt>
                    <w:sdtPr>
                      <w:alias w:val="Pavadinimas"/>
                      <w:tag w:val="title_38fd15cbcd1c4b54b479e094c47b251d"/>
                      <w:lock w:val="sdtLocked"/>
                      <w:richText/>
                    </w:sdtPr>
                    <w:sdtContent>
                      <w:r>
                        <w:rPr>
                          <w:b/>
                          <w:bCs/>
                          <w:szCs w:val="24"/>
                          <w:lang w:eastAsia="lt-LT"/>
                        </w:rPr>
                        <w:t>Sprendimo projekte numatyta:</w:t>
                      </w:r>
                    </w:sdtContent>
                  </w:sdt>
                </w:p>
                <w:sdt>
                  <w:sdtPr>
                    <w:alias w:val="1 p."/>
                    <w:tag w:val="part_2a23b48a44bb4baf920ee98eb7f9c330"/>
                    <w:lock w:val="sdtLocked"/>
                    <w:richText/>
                  </w:sdtPr>
                  <w:sdtContent>
                    <w:p w14:paraId="054561AB" w14:textId="49A68745">
                      <w:pPr>
                        <w:ind w:firstLine="709"/>
                        <w:jc w:val="both"/>
                        <w:rPr>
                          <w:b/>
                          <w:bCs/>
                          <w:szCs w:val="24"/>
                          <w:lang w:eastAsia="lt-LT"/>
                        </w:rPr>
                      </w:pPr>
                      <w:sdt>
                        <w:sdtPr>
                          <w:alias w:val="Numeris"/>
                          <w:tag w:val="nr_2a23b48a44bb4baf920ee98eb7f9c330"/>
                          <w:lock w:val="sdtLocked"/>
                          <w:richText/>
                        </w:sdtPr>
                        <w:sdtContent>
                          <w:r>
                            <w:rPr>
                              <w:b/>
                              <w:bCs/>
                              <w:szCs w:val="24"/>
                              <w:lang w:eastAsia="lt-LT"/>
                            </w:rPr>
                            <w:t>1</w:t>
                          </w:r>
                        </w:sdtContent>
                      </w:sdt>
                      <w:r>
                        <w:rPr>
                          <w:b/>
                          <w:bCs/>
                          <w:szCs w:val="24"/>
                          <w:lang w:eastAsia="lt-LT"/>
                        </w:rPr>
                        <w:t>. I</w:t>
                      </w:r>
                      <w:r>
                        <w:rPr>
                          <w:b/>
                          <w:szCs w:val="24"/>
                          <w:lang w:eastAsia="lt-LT"/>
                        </w:rPr>
                        <w:t>šbraukti iš Sąrašo:</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4365"/>
                      </w:tblGrid>
                      <w:tr w14:paraId="07A1C4A7" w14:textId="77777777">
                        <w:trPr>
                          <w:trHeight w:val="842"/>
                        </w:trPr>
                        <w:tc>
                          <w:tcPr>
                            <w:tcW w:w="5524" w:type="dxa"/>
                            <w:shd w:val="clear" w:color="auto" w:fill="auto"/>
                          </w:tcPr>
                          <w:p w14:paraId="59F7935D" w14:textId="36DF7E8F">
                            <w:pPr>
                              <w:widowControl w:val="0"/>
                              <w:suppressAutoHyphens/>
                              <w:jc w:val="both"/>
                              <w:rPr>
                                <w:rFonts w:eastAsia="Lucida Sans Unicode"/>
                                <w:szCs w:val="24"/>
                              </w:rPr>
                            </w:pPr>
                            <w:r>
                              <w:rPr>
                                <w:rFonts w:eastAsia="Lucida Sans Unicode"/>
                                <w:szCs w:val="24"/>
                              </w:rPr>
                              <w:t>33,91 kv. m bendro ploto patalpa – butas (unikalus numeris 2998-5005-9012:0059, plane pažymėta 1N5p) su 9,47 kv. m bendrojo naudojimo patalpomis Aerouosto g. 7-305, Šiauliuose</w:t>
                            </w:r>
                          </w:p>
                        </w:tc>
                        <w:tc>
                          <w:tcPr>
                            <w:tcW w:w="4365" w:type="dxa"/>
                            <w:shd w:val="clear" w:color="auto" w:fill="auto"/>
                          </w:tcPr>
                          <w:p w14:paraId="2B43DFE9" w14:textId="2F07B637">
                            <w:pPr>
                              <w:jc w:val="both"/>
                              <w:rPr>
                                <w:szCs w:val="24"/>
                                <w:lang w:eastAsia="lt-LT"/>
                              </w:rPr>
                            </w:pPr>
                            <w:r>
                              <w:rPr>
                                <w:szCs w:val="24"/>
                                <w:lang w:eastAsia="lt-LT"/>
                              </w:rPr>
                              <w:t xml:space="preserve">Vadovaujantis Lietuvos Respublikos Vyriausybės 2014 m. spalio 28 d. nutarimo Nr. 1179 „Dėl Viešame aukcione parduodamo valstybės ir savivaldybių nekilnojamojo turto ir kitų nekilnojamųjų daiktų sąrašo sudarymo tvarkos aprašo patvirtinimo“ 22.1 papunkčiu, nekilnojamasis turtas arba kiti nekilnojamieji daiktai iš </w:t>
                            </w:r>
                            <w:r>
                              <w:rPr>
                                <w:color w:val="000000"/>
                                <w:szCs w:val="24"/>
                                <w:lang w:eastAsia="lt-LT"/>
                              </w:rPr>
                              <w:t>patvirtinto Sąrašo</w:t>
                            </w:r>
                            <w:r>
                              <w:rPr>
                                <w:szCs w:val="24"/>
                                <w:lang w:eastAsia="lt-LT"/>
                              </w:rPr>
                              <w:t xml:space="preserve"> išbraukiami, kai nekilnojamasis turtas ar kitas nekilnojamasis daiktas yra parduotas aukcione ir aukciono laimėtojas yra įvykdęs visus įsipareigojimus pagal nekilnojamojo turto ir jam priskirto žemės sklypo pirkimo-pardavimo sutartis arba kito nekilnojamojo daikto pirkimo-pardavimo sutartis. </w:t>
                            </w:r>
                          </w:p>
                          <w:p w14:paraId="05DDE47A" w14:textId="41A79A8A">
                            <w:pPr>
                              <w:widowControl w:val="0"/>
                              <w:suppressAutoHyphens/>
                              <w:jc w:val="both"/>
                              <w:rPr>
                                <w:rFonts w:eastAsia="Lucida Sans Unicode"/>
                                <w:szCs w:val="24"/>
                                <w:lang w:eastAsia="lt-LT"/>
                              </w:rPr>
                            </w:pPr>
                            <w:r>
                              <w:rPr>
                                <w:rFonts w:eastAsia="Lucida Sans Unicode"/>
                                <w:szCs w:val="24"/>
                                <w:lang w:eastAsia="lt-LT"/>
                              </w:rPr>
                              <w:t xml:space="preserve">Už objektą pirkėjas su Savivaldybe yra atsiskaitęs ir įvykdęs visus sutartinius įsipareigojimus. </w:t>
                            </w:r>
                          </w:p>
                          <w:p w14:paraId="09DD3E0A" w14:textId="47DD6725">
                            <w:pPr>
                              <w:jc w:val="both"/>
                              <w:rPr>
                                <w:szCs w:val="24"/>
                                <w:lang w:eastAsia="lt-LT"/>
                              </w:rPr>
                            </w:pPr>
                          </w:p>
                        </w:tc>
                      </w:tr>
                    </w:tbl>
                    <w:p w14:paraId="57E399F4" w14:textId="77777777"/>
                    <w:p w14:paraId="54702AE6" w14:textId="77777777">
                      <w:pPr>
                        <w:widowControl w:val="0"/>
                        <w:suppressAutoHyphens/>
                        <w:rPr>
                          <w:rFonts w:eastAsia="Lucida Sans Unicode"/>
                          <w:szCs w:val="24"/>
                        </w:rPr>
                      </w:pPr>
                    </w:p>
                    <w:p w14:paraId="78193B7A" w14:textId="77777777">
                      <w:pPr>
                        <w:widowControl w:val="0"/>
                        <w:suppressAutoHyphens/>
                        <w:ind w:firstLine="737"/>
                        <w:rPr>
                          <w:rFonts w:eastAsia="Lucida Sans Unicode"/>
                          <w:b/>
                          <w:bCs/>
                          <w:szCs w:val="24"/>
                        </w:rPr>
                      </w:pPr>
                    </w:p>
                    <w:p w14:paraId="07BDED32" w14:textId="77777777">
                      <w:pPr>
                        <w:widowControl w:val="0"/>
                        <w:suppressAutoHyphens/>
                        <w:ind w:firstLine="737"/>
                        <w:rPr>
                          <w:rFonts w:eastAsia="Lucida Sans Unicode"/>
                          <w:b/>
                          <w:bCs/>
                          <w:szCs w:val="24"/>
                        </w:rPr>
                      </w:pPr>
                    </w:p>
                  </w:sdtContent>
                </w:sdt>
                <w:sdt>
                  <w:sdtPr>
                    <w:alias w:val="2 p."/>
                    <w:tag w:val="part_ab74ce19114d4c16ab9044013ea17fef"/>
                    <w:lock w:val="sdtLocked"/>
                    <w:richText/>
                  </w:sdtPr>
                  <w:sdtContent>
                    <w:p w14:paraId="74C10034" w14:textId="7B0B9E1E">
                      <w:pPr>
                        <w:widowControl w:val="0"/>
                        <w:suppressAutoHyphens/>
                        <w:ind w:firstLine="737"/>
                        <w:rPr>
                          <w:rFonts w:eastAsia="Lucida Sans Unicode"/>
                          <w:b/>
                          <w:bCs/>
                          <w:szCs w:val="24"/>
                        </w:rPr>
                      </w:pPr>
                      <w:sdt>
                        <w:sdtPr>
                          <w:alias w:val="Numeris"/>
                          <w:tag w:val="nr_ab74ce19114d4c16ab9044013ea17fef"/>
                          <w:lock w:val="sdtLocked"/>
                          <w:richText/>
                        </w:sdtPr>
                        <w:sdtContent>
                          <w:r>
                            <w:rPr>
                              <w:rFonts w:eastAsia="Lucida Sans Unicode"/>
                              <w:b/>
                              <w:bCs/>
                              <w:szCs w:val="24"/>
                            </w:rPr>
                            <w:t>2</w:t>
                          </w:r>
                        </w:sdtContent>
                      </w:sdt>
                      <w:r>
                        <w:rPr>
                          <w:rFonts w:eastAsia="Lucida Sans Unicode"/>
                          <w:b/>
                          <w:bCs/>
                          <w:szCs w:val="24"/>
                        </w:rPr>
                        <w:t>. Papildyti Sąrašą žemiau nurodytais objektais: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1"/>
                        <w:gridCol w:w="2948"/>
                      </w:tblGrid>
                      <w:tr w14:paraId="1941FAA1" w14:textId="77777777">
                        <w:trPr>
                          <w:trHeight w:val="983"/>
                        </w:trPr>
                        <w:tc>
                          <w:tcPr>
                            <w:tcW w:w="6941" w:type="dxa"/>
                            <w:shd w:val="clear" w:color="auto" w:fill="auto"/>
                          </w:tcPr>
                          <w:p w14:paraId="661D5A22" w14:textId="521D108F">
                            <w:pPr>
                              <w:widowControl w:val="0"/>
                              <w:suppressAutoHyphens/>
                              <w:jc w:val="both"/>
                              <w:rPr>
                                <w:rFonts w:eastAsia="Lucida Sans Unicode"/>
                                <w:szCs w:val="24"/>
                              </w:rPr>
                            </w:pPr>
                            <w:r>
                              <w:rPr>
                                <w:rFonts w:eastAsia="Lucida Sans Unicode"/>
                                <w:szCs w:val="24"/>
                              </w:rPr>
                              <w:t>19,67 kv. m bendro ploto patalpa – butas (unikalus numeris 4400-0717-0610:1740, plane pažymėta 2995-2009-7019, 3A1p) Sodo g. 6A-14, Šiauliuose</w:t>
                            </w:r>
                          </w:p>
                        </w:tc>
                        <w:tc>
                          <w:tcPr>
                            <w:tcW w:w="2948" w:type="dxa"/>
                            <w:vMerge w:val="restart"/>
                            <w:shd w:val="clear" w:color="auto" w:fill="auto"/>
                          </w:tcPr>
                          <w:p w14:paraId="0F17A5D8" w14:textId="6407AC4C">
                            <w:pPr>
                              <w:jc w:val="both"/>
                              <w:rPr>
                                <w:szCs w:val="24"/>
                                <w:lang w:eastAsia="lt-LT"/>
                              </w:rPr>
                            </w:pPr>
                            <w:r>
                              <w:rPr>
                                <w:szCs w:val="24"/>
                                <w:lang w:eastAsia="lt-LT"/>
                              </w:rPr>
                              <w:t>Į Sąrašą šie objektai yra įtraukiami vadovaujantis 2025 m. kovo 6 d. Savivaldybės Tarybos sprendimu Nr. T-85 „Dėl savivaldybei nuosavybės teise priklausančių gyvenamųjų patalpų pripažinimo netinkamomis (negalimomis) naudoti“.</w:t>
                            </w:r>
                          </w:p>
                        </w:tc>
                      </w:tr>
                      <w:tr w14:paraId="72CDB186" w14:textId="77777777">
                        <w:trPr>
                          <w:trHeight w:val="1408"/>
                        </w:trPr>
                        <w:tc>
                          <w:tcPr>
                            <w:tcW w:w="6941" w:type="dxa"/>
                            <w:shd w:val="clear" w:color="auto" w:fill="auto"/>
                          </w:tcPr>
                          <w:p w14:paraId="496671CA" w14:textId="7E06760C">
                            <w:pPr>
                              <w:widowControl w:val="0"/>
                              <w:suppressAutoHyphens/>
                              <w:jc w:val="both"/>
                              <w:rPr>
                                <w:rFonts w:eastAsia="Lucida Sans Unicode"/>
                                <w:szCs w:val="24"/>
                              </w:rPr>
                            </w:pPr>
                            <w:r>
                              <w:rPr>
                                <w:rFonts w:eastAsia="Lucida Sans Unicode"/>
                                <w:szCs w:val="24"/>
                              </w:rPr>
                              <w:t>60,06 kv. m bendro ploto patalpa – butas (unikalus numeris 2992-9004-2017:0003, plane pažymėta 1A2m) su 3,51 kv. m ploto rūsiu (pažymėta R-12), 14,78 kv. m bendro naudojimo patalpomis (pažymėta a-1, a-2, a-3) M. Valančiaus g. 29-1, Šiauliuose</w:t>
                            </w:r>
                          </w:p>
                        </w:tc>
                        <w:tc>
                          <w:tcPr>
                            <w:tcW w:w="2948" w:type="dxa"/>
                            <w:vMerge/>
                            <w:shd w:val="clear" w:color="auto" w:fill="auto"/>
                          </w:tcPr>
                          <w:p w14:paraId="7A283031" w14:textId="77777777">
                            <w:pPr>
                              <w:jc w:val="both"/>
                              <w:rPr>
                                <w:szCs w:val="24"/>
                                <w:lang w:eastAsia="lt-LT"/>
                              </w:rPr>
                            </w:pPr>
                          </w:p>
                        </w:tc>
                      </w:tr>
                      <w:tr w14:paraId="52026422" w14:textId="77777777">
                        <w:trPr>
                          <w:trHeight w:val="1408"/>
                        </w:trPr>
                        <w:tc>
                          <w:tcPr>
                            <w:tcW w:w="6941" w:type="dxa"/>
                            <w:shd w:val="clear" w:color="auto" w:fill="auto"/>
                          </w:tcPr>
                          <w:p w14:paraId="4A88149F" w14:textId="49157BAF">
                            <w:pPr>
                              <w:widowControl w:val="0"/>
                              <w:suppressAutoHyphens/>
                              <w:jc w:val="both"/>
                              <w:rPr>
                                <w:rFonts w:eastAsia="Lucida Sans Unicode"/>
                                <w:szCs w:val="24"/>
                              </w:rPr>
                            </w:pPr>
                            <w:r>
                              <w:rPr>
                                <w:rFonts w:eastAsia="Lucida Sans Unicode"/>
                                <w:szCs w:val="24"/>
                              </w:rPr>
                              <w:t xml:space="preserve">59,06 kv. m bendro ploto patalpa – butas (unikalus numeris 4400-0875-7084:6848, plane pažymėta 2992-9004-2017 1A2m) su 1/2 dalimi iš 14,78 kv. m bendro naudojimo patalpų (pažymėta a-1, a-2,   a-3) su rūsiais 16,13 kv. m (pažymėta R-8, R-7, R-6) M. Valančiaus g. 29-2, Šiauliuose</w:t>
                            </w:r>
                          </w:p>
                        </w:tc>
                        <w:tc>
                          <w:tcPr>
                            <w:tcW w:w="2948" w:type="dxa"/>
                            <w:vMerge/>
                            <w:shd w:val="clear" w:color="auto" w:fill="auto"/>
                          </w:tcPr>
                          <w:p w14:paraId="618BF9FE" w14:textId="77777777">
                            <w:pPr>
                              <w:jc w:val="both"/>
                              <w:rPr>
                                <w:szCs w:val="24"/>
                                <w:lang w:eastAsia="lt-LT"/>
                              </w:rPr>
                            </w:pPr>
                          </w:p>
                        </w:tc>
                      </w:tr>
                      <w:tr w14:paraId="4AC5AE50" w14:textId="77777777">
                        <w:trPr>
                          <w:trHeight w:val="1408"/>
                        </w:trPr>
                        <w:tc>
                          <w:tcPr>
                            <w:tcW w:w="6941" w:type="dxa"/>
                            <w:shd w:val="clear" w:color="auto" w:fill="auto"/>
                          </w:tcPr>
                          <w:p w14:paraId="131D8CD1" w14:textId="59B2F524">
                            <w:pPr>
                              <w:widowControl w:val="0"/>
                              <w:suppressAutoHyphens/>
                              <w:jc w:val="both"/>
                              <w:rPr>
                                <w:rFonts w:eastAsia="Lucida Sans Unicode"/>
                                <w:szCs w:val="24"/>
                              </w:rPr>
                            </w:pPr>
                            <w:r>
                              <w:rPr>
                                <w:rFonts w:eastAsia="Lucida Sans Unicode"/>
                                <w:szCs w:val="24"/>
                              </w:rPr>
                              <w:t>38/100 pastato ‒ gyvenamojo namo (45,35 kv. m iš 118,46 kv. m bendro ploto, unikalus numeris 2993-1000-3018, plane pažymėta 1A1m) su 1/3 dalimi pastato sandėlio (7,33 kv. m iš 22 kv. m bendro ploto, unikalus numeris 2993-1000-3029), 1/3 dalimi kiemo inžineriniu statiniu – šuliniu (unikalus numeris 2993-1000-3034) Aušros alėja 76A, Šiauliuose</w:t>
                            </w:r>
                          </w:p>
                        </w:tc>
                        <w:tc>
                          <w:tcPr>
                            <w:tcW w:w="2948" w:type="dxa"/>
                            <w:vMerge/>
                            <w:shd w:val="clear" w:color="auto" w:fill="auto"/>
                          </w:tcPr>
                          <w:p w14:paraId="6FAFEA8A" w14:textId="77777777">
                            <w:pPr>
                              <w:jc w:val="both"/>
                              <w:rPr>
                                <w:szCs w:val="24"/>
                                <w:lang w:eastAsia="lt-LT"/>
                              </w:rPr>
                            </w:pPr>
                          </w:p>
                        </w:tc>
                      </w:tr>
                      <w:tr w14:paraId="70261451" w14:textId="77777777">
                        <w:trPr>
                          <w:trHeight w:val="1408"/>
                        </w:trPr>
                        <w:tc>
                          <w:tcPr>
                            <w:tcW w:w="6941" w:type="dxa"/>
                            <w:shd w:val="clear" w:color="auto" w:fill="auto"/>
                          </w:tcPr>
                          <w:p w14:paraId="0341F094" w14:textId="1CA9B44E">
                            <w:pPr>
                              <w:widowControl w:val="0"/>
                              <w:suppressAutoHyphens/>
                              <w:jc w:val="both"/>
                              <w:rPr>
                                <w:rFonts w:eastAsia="Lucida Sans Unicode"/>
                                <w:szCs w:val="24"/>
                              </w:rPr>
                            </w:pPr>
                            <w:r>
                              <w:rPr>
                                <w:rFonts w:eastAsia="Lucida Sans Unicode"/>
                                <w:color w:val="000000"/>
                                <w:szCs w:val="24"/>
                              </w:rPr>
                              <w:t xml:space="preserve">45/100 pastato ‒ gyvenamojo namo (61,03 </w:t>
                            </w:r>
                            <w:r>
                              <w:rPr>
                                <w:rFonts w:eastAsia="Lucida Sans Unicode"/>
                                <w:szCs w:val="24"/>
                              </w:rPr>
                              <w:t>kv. m iš 135,62 kv. m bendro ploto, unikalus numeris 2992-8001-8018, plane pažymėta 1A1m) su 45/100 kiemo rūsio dalimi (8,55 kv. m iš 19,0 kv. m rūsio ploto, unikalus numeris 2992-8001-8029), 45/100 ūkinio pastato (13,95 kv. m. iš 31 kv. m., unikalus numeris 2992-8001-8034), 45/100 kitais inžineriniais kiemo statiniais (tualetas, šulinys) Dvaro g. 142b, Šiauliuose</w:t>
                            </w:r>
                          </w:p>
                        </w:tc>
                        <w:tc>
                          <w:tcPr>
                            <w:tcW w:w="2948" w:type="dxa"/>
                            <w:vMerge/>
                            <w:shd w:val="clear" w:color="auto" w:fill="auto"/>
                          </w:tcPr>
                          <w:p w14:paraId="13B70ACD" w14:textId="77777777">
                            <w:pPr>
                              <w:jc w:val="both"/>
                              <w:rPr>
                                <w:szCs w:val="24"/>
                                <w:lang w:eastAsia="lt-LT"/>
                              </w:rPr>
                            </w:pPr>
                          </w:p>
                        </w:tc>
                      </w:tr>
                      <w:tr w14:paraId="45BD6347" w14:textId="77777777">
                        <w:trPr>
                          <w:trHeight w:val="928"/>
                        </w:trPr>
                        <w:tc>
                          <w:tcPr>
                            <w:tcW w:w="6941" w:type="dxa"/>
                            <w:shd w:val="clear" w:color="auto" w:fill="auto"/>
                          </w:tcPr>
                          <w:p w14:paraId="08545C85" w14:textId="1C3A145A">
                            <w:pPr>
                              <w:widowControl w:val="0"/>
                              <w:suppressAutoHyphens/>
                              <w:jc w:val="both"/>
                              <w:rPr>
                                <w:rFonts w:eastAsia="Lucida Sans Unicode"/>
                                <w:szCs w:val="24"/>
                              </w:rPr>
                            </w:pPr>
                            <w:r>
                              <w:rPr>
                                <w:rFonts w:eastAsia="Lucida Sans Unicode"/>
                                <w:szCs w:val="24"/>
                              </w:rPr>
                              <w:t>47,79 kv. m bendro ploto patalpa – butas (unikalus numeris 4400-1226-8272:8235, plane pažymėta 2995-9011-5015, 1A1b) Margių g. 8-2, Šiauliuose</w:t>
                            </w:r>
                          </w:p>
                        </w:tc>
                        <w:tc>
                          <w:tcPr>
                            <w:tcW w:w="2948" w:type="dxa"/>
                            <w:vMerge/>
                            <w:shd w:val="clear" w:color="auto" w:fill="auto"/>
                          </w:tcPr>
                          <w:p w14:paraId="276E18E2" w14:textId="77777777">
                            <w:pPr>
                              <w:jc w:val="both"/>
                              <w:rPr>
                                <w:szCs w:val="24"/>
                                <w:lang w:eastAsia="lt-LT"/>
                              </w:rPr>
                            </w:pPr>
                          </w:p>
                        </w:tc>
                      </w:tr>
                      <w:tr w14:paraId="56DF6D53" w14:textId="77777777">
                        <w:trPr>
                          <w:trHeight w:val="928"/>
                        </w:trPr>
                        <w:tc>
                          <w:tcPr>
                            <w:tcW w:w="6941" w:type="dxa"/>
                            <w:tcBorders>
                              <w:bottom w:val="single" w:sz="4" w:space="0" w:color="auto"/>
                            </w:tcBorders>
                            <w:shd w:val="clear" w:color="auto" w:fill="auto"/>
                          </w:tcPr>
                          <w:p w14:paraId="3C4A2725" w14:textId="001B323F">
                            <w:pPr>
                              <w:widowControl w:val="0"/>
                              <w:suppressAutoHyphens/>
                              <w:jc w:val="both"/>
                              <w:rPr>
                                <w:rFonts w:eastAsia="Lucida Sans Unicode"/>
                                <w:szCs w:val="24"/>
                              </w:rPr>
                            </w:pPr>
                            <w:r>
                              <w:rPr>
                                <w:rFonts w:eastAsia="Lucida Sans Unicode"/>
                                <w:szCs w:val="24"/>
                              </w:rPr>
                              <w:t>34,36 kv. m bendro ploto patalpa – butas (unikalus numeris 4400-0802-8015:9268, plane pažymėta 2995-7002-9018, 1A1b) Skrydžio g. 15-2, Šiauliuose</w:t>
                            </w:r>
                          </w:p>
                        </w:tc>
                        <w:tc>
                          <w:tcPr>
                            <w:tcW w:w="2948" w:type="dxa"/>
                            <w:vMerge/>
                            <w:tcBorders>
                              <w:bottom w:val="single" w:sz="4" w:space="0" w:color="auto"/>
                            </w:tcBorders>
                            <w:shd w:val="clear" w:color="auto" w:fill="auto"/>
                          </w:tcPr>
                          <w:p w14:paraId="03CC7CE1" w14:textId="77777777">
                            <w:pPr>
                              <w:jc w:val="both"/>
                              <w:rPr>
                                <w:szCs w:val="24"/>
                                <w:lang w:eastAsia="lt-LT"/>
                              </w:rPr>
                            </w:pPr>
                          </w:p>
                        </w:tc>
                      </w:tr>
                    </w:tbl>
                    <w:p w14:paraId="08936314" w14:textId="77777777">
                      <w:pPr>
                        <w:widowControl w:val="0"/>
                        <w:suppressAutoHyphens/>
                        <w:ind w:firstLine="709"/>
                        <w:jc w:val="both"/>
                        <w:rPr>
                          <w:rFonts w:eastAsia="Lucida Sans Unicode"/>
                          <w:b/>
                          <w:bCs/>
                          <w:szCs w:val="24"/>
                        </w:rPr>
                      </w:pPr>
                    </w:p>
                    <w:p w14:paraId="7D17AB82" w14:textId="4EAC3021">
                      <w:pPr>
                        <w:widowControl w:val="0"/>
                        <w:suppressAutoHyphens/>
                        <w:ind w:firstLine="737"/>
                        <w:jc w:val="both"/>
                        <w:rPr>
                          <w:szCs w:val="24"/>
                        </w:rPr>
                      </w:pPr>
                      <w:r>
                        <w:rPr>
                          <w:rFonts w:eastAsia="Lucida Sans Unicode"/>
                          <w:szCs w:val="24"/>
                        </w:rPr>
                        <w:t xml:space="preserve">Vadovaujantis Savivaldybės Apskaitos skyriaus pateiktais duomenimis (paskaičiuotu nusidėvėjimu) Sąraše </w:t>
                      </w:r>
                      <w:r>
                        <w:rPr>
                          <w:rFonts w:eastAsia="Lucida Sans Unicode"/>
                          <w:bCs/>
                          <w:szCs w:val="24"/>
                        </w:rPr>
                        <w:t xml:space="preserve">nurodytų Savivaldybės objektų likutinės vertės yra pakoreguotos. </w:t>
                      </w:r>
                      <w:r>
                        <w:rPr>
                          <w:rFonts w:eastAsia="Lucida Sans Unicode"/>
                          <w:szCs w:val="24"/>
                        </w:rPr>
                        <w:t xml:space="preserve">Sąraše </w:t>
                      </w:r>
                      <w:r>
                        <w:rPr>
                          <w:rFonts w:eastAsia="Lucida Sans Unicode"/>
                          <w:bCs/>
                          <w:szCs w:val="24"/>
                        </w:rPr>
                        <w:t>nurodytų Savivaldybės objektų likutinės vertės yra pateiktos 2025 m. kovo 31 d.</w:t>
                      </w:r>
                    </w:p>
                  </w:sdtContent>
                </w:sdt>
              </w:sdtContent>
            </w:sdt>
            <w:sdt>
              <w:sdtPr>
                <w:alias w:val="poskyris"/>
                <w:tag w:val="part_302b54ad70cd4c5588a8e68c334f88fc"/>
                <w:lock w:val="sdtLocked"/>
                <w:richText/>
              </w:sdtPr>
              <w:sdtContent>
                <w:p w14:paraId="054561C9" w14:textId="11B29FC6">
                  <w:pPr>
                    <w:widowControl w:val="0"/>
                    <w:suppressAutoHyphens/>
                    <w:ind w:firstLine="709"/>
                    <w:jc w:val="both"/>
                    <w:rPr>
                      <w:rFonts w:eastAsia="Lucida Sans Unicode"/>
                      <w:b/>
                      <w:bCs/>
                      <w:szCs w:val="24"/>
                    </w:rPr>
                  </w:pPr>
                  <w:sdt>
                    <w:sdtPr>
                      <w:alias w:val="Pavadinimas"/>
                      <w:tag w:val="title_302b54ad70cd4c5588a8e68c334f88fc"/>
                      <w:lock w:val="sdtLocked"/>
                      <w:richText/>
                    </w:sdtPr>
                    <w:sdtContent>
                      <w:r>
                        <w:rPr>
                          <w:rFonts w:eastAsia="Lucida Sans Unicode"/>
                          <w:b/>
                          <w:bCs/>
                          <w:szCs w:val="24"/>
                        </w:rPr>
                        <w:t>Sprendimo projekte numatytos naujo teisinio reglamentavimo nuostatos.</w:t>
                      </w:r>
                    </w:sdtContent>
                  </w:sdt>
                </w:p>
                <w:p w14:paraId="054561CA" w14:textId="15CCFBB6">
                  <w:pPr>
                    <w:ind w:firstLine="709"/>
                    <w:jc w:val="both"/>
                    <w:rPr>
                      <w:bCs/>
                      <w:szCs w:val="24"/>
                      <w:lang w:eastAsia="lt-LT"/>
                    </w:rPr>
                  </w:pPr>
                  <w:r>
                    <w:rPr>
                      <w:bCs/>
                      <w:szCs w:val="24"/>
                      <w:lang w:eastAsia="lt-LT"/>
                    </w:rPr>
                    <w:t>Naujos teisinio reguliavimo nuostatos nenumatomos.</w:t>
                  </w:r>
                </w:p>
              </w:sdtContent>
            </w:sdt>
            <w:sdt>
              <w:sdtPr>
                <w:alias w:val="poskyris"/>
                <w:tag w:val="part_ccec9d09e70b4f859c1b2c5b3eb08e54"/>
                <w:lock w:val="sdtLocked"/>
                <w:richText/>
              </w:sdtPr>
              <w:sdtContent>
                <w:p w14:paraId="054561CB" w14:textId="2C16E09B">
                  <w:pPr>
                    <w:ind w:firstLine="709"/>
                    <w:jc w:val="both"/>
                    <w:rPr>
                      <w:b/>
                      <w:bCs/>
                      <w:szCs w:val="24"/>
                      <w:lang w:eastAsia="lt-LT"/>
                    </w:rPr>
                  </w:pPr>
                  <w:sdt>
                    <w:sdtPr>
                      <w:alias w:val="Pavadinimas"/>
                      <w:tag w:val="title_ccec9d09e70b4f859c1b2c5b3eb08e54"/>
                      <w:lock w:val="sdtLocked"/>
                      <w:richText/>
                    </w:sdtPr>
                    <w:sdtContent>
                      <w:r>
                        <w:rPr>
                          <w:b/>
                          <w:bCs/>
                          <w:szCs w:val="24"/>
                          <w:lang w:eastAsia="lt-LT"/>
                        </w:rPr>
                        <w:t>Priėmus sprendimą, galimos pasekmės (tiek teigiamos, tiek neigiamos).</w:t>
                      </w:r>
                    </w:sdtContent>
                  </w:sdt>
                </w:p>
                <w:p w14:paraId="054561CC" w14:textId="362DB5BF">
                  <w:pPr>
                    <w:ind w:firstLine="709"/>
                    <w:jc w:val="both"/>
                    <w:rPr>
                      <w:szCs w:val="24"/>
                      <w:lang w:eastAsia="lt-LT"/>
                    </w:rPr>
                  </w:pPr>
                  <w:r>
                    <w:rPr>
                      <w:szCs w:val="24"/>
                      <w:lang w:eastAsia="lt-LT"/>
                    </w:rPr>
                    <w:t>Priėmus sprendimą neigiamų pasekmių nenumatoma. Teigiamos pasekmės – pardavus nebenaudojamą nekilnojamąjį turtą sumažės šio turto išlaikymo išlaidos, Savivaldybės biudžetas bus papildytas papildomomis pajamomis.</w:t>
                  </w:r>
                </w:p>
              </w:sdtContent>
            </w:sdt>
            <w:sdt>
              <w:sdtPr>
                <w:alias w:val="poskyris"/>
                <w:tag w:val="part_bbbcfb602c4940a8b27a5f60255c2332"/>
                <w:lock w:val="sdtLocked"/>
                <w:richText/>
              </w:sdtPr>
              <w:sdtContent>
                <w:p w14:paraId="1E0A3EFE" w14:textId="0A1F5BE3">
                  <w:pPr>
                    <w:widowControl w:val="0"/>
                    <w:tabs>
                      <w:tab w:val="left" w:pos="709"/>
                    </w:tabs>
                    <w:suppressAutoHyphens/>
                    <w:ind w:firstLine="709"/>
                    <w:jc w:val="both"/>
                    <w:rPr>
                      <w:rFonts w:eastAsia="Lucida Sans Unicode"/>
                      <w:b/>
                      <w:szCs w:val="24"/>
                      <w:shd w:val="clear" w:color="auto" w:fill="FFFFFF"/>
                    </w:rPr>
                  </w:pPr>
                  <w:sdt>
                    <w:sdtPr>
                      <w:alias w:val="Pavadinimas"/>
                      <w:tag w:val="title_bbbcfb602c4940a8b27a5f60255c2332"/>
                      <w:lock w:val="sdtLocked"/>
                      <w:richText/>
                    </w:sdtPr>
                    <w:sdtContent>
                      <w:r>
                        <w:rPr>
                          <w:rFonts w:eastAsia="Lucida Sans Unicode"/>
                          <w:b/>
                          <w:szCs w:val="24"/>
                          <w:shd w:val="clear" w:color="auto" w:fill="FFFFFF"/>
                        </w:rPr>
                        <w:t>Priėmus sprendimą, keičiami ar pripažįstami negaliojančiais teisės aktai.</w:t>
                      </w:r>
                    </w:sdtContent>
                  </w:sdt>
                </w:p>
                <w:p w14:paraId="054561CE" w14:textId="4B909134">
                  <w:pPr>
                    <w:widowControl w:val="0"/>
                    <w:tabs>
                      <w:tab w:val="left" w:pos="709"/>
                    </w:tabs>
                    <w:suppressAutoHyphens/>
                    <w:ind w:firstLine="709"/>
                    <w:jc w:val="both"/>
                    <w:rPr>
                      <w:rFonts w:eastAsia="Lucida Sans Unicode"/>
                      <w:szCs w:val="24"/>
                      <w:shd w:val="clear" w:color="auto" w:fill="FFFFFF"/>
                    </w:rPr>
                  </w:pPr>
                  <w:r>
                    <w:rPr>
                      <w:rFonts w:eastAsia="Lucida Sans Unicode"/>
                      <w:szCs w:val="24"/>
                      <w:shd w:val="clear" w:color="auto" w:fill="FFFFFF"/>
                    </w:rPr>
                    <w:t xml:space="preserve">Priėmus sprendimą bus keičiamas </w:t>
                  </w:r>
                  <w:r>
                    <w:rPr>
                      <w:rFonts w:eastAsia="Lucida Sans Unicode"/>
                      <w:bCs/>
                      <w:szCs w:val="24"/>
                    </w:rPr>
                    <w:t xml:space="preserve">Savivaldybės viešame aukcione parduodamo nekilnojamojo turto ir kitų nekilnojamųjų daiktų sąrašas, patvirtintas </w:t>
                  </w:r>
                  <w:r>
                    <w:rPr>
                      <w:rFonts w:eastAsia="Lucida Sans Unicode"/>
                      <w:szCs w:val="24"/>
                    </w:rPr>
                    <w:t>Savivaldybės tarybos 2021 m. vasario 4 d. sprendimu Nr. T-6 „Dėl Viešame aukcione parduodamo Savivaldybės nekilnojamojo turto ir kitų nekilnojamųjų daiktų sąrašo patvirtinimo“.</w:t>
                  </w:r>
                </w:p>
              </w:sdtContent>
            </w:sdt>
            <w:sdt>
              <w:sdtPr>
                <w:alias w:val="poskyris"/>
                <w:tag w:val="part_8ce2eb9f34fc496cae645cdc7b2fc2b5"/>
                <w:lock w:val="sdtLocked"/>
                <w:richText/>
              </w:sdtPr>
              <w:sdtContent>
                <w:p w14:paraId="054561CF" w14:textId="696FB820">
                  <w:pPr>
                    <w:widowControl w:val="0"/>
                    <w:tabs>
                      <w:tab w:val="left" w:pos="855"/>
                    </w:tabs>
                    <w:suppressAutoHyphens/>
                    <w:ind w:firstLine="709"/>
                    <w:jc w:val="both"/>
                    <w:rPr>
                      <w:rFonts w:eastAsia="Lucida Sans Unicode"/>
                      <w:szCs w:val="24"/>
                      <w:shd w:val="clear" w:color="auto" w:fill="FFFFFF"/>
                    </w:rPr>
                  </w:pPr>
                  <w:sdt>
                    <w:sdtPr>
                      <w:alias w:val="Pavadinimas"/>
                      <w:tag w:val="title_8ce2eb9f34fc496cae645cdc7b2fc2b5"/>
                      <w:lock w:val="sdtLocked"/>
                      <w:richText/>
                    </w:sdtPr>
                    <w:sdtContent>
                      <w:r>
                        <w:rPr>
                          <w:rFonts w:eastAsia="Lucida Sans Unicode"/>
                          <w:b/>
                          <w:szCs w:val="24"/>
                          <w:shd w:val="clear" w:color="auto" w:fill="FFFFFF"/>
                        </w:rPr>
                        <w:t>Sprendimui įgyvendinti reikalingi priimti papildomi teisės aktai.</w:t>
                      </w:r>
                    </w:sdtContent>
                  </w:sdt>
                </w:p>
                <w:p w14:paraId="054561D0" w14:textId="6748BC16">
                  <w:pPr>
                    <w:ind w:firstLine="709"/>
                    <w:jc w:val="both"/>
                    <w:rPr>
                      <w:bCs/>
                      <w:szCs w:val="24"/>
                      <w:lang w:eastAsia="lt-LT"/>
                    </w:rPr>
                  </w:pPr>
                  <w:r>
                    <w:rPr>
                      <w:bCs/>
                      <w:szCs w:val="24"/>
                      <w:lang w:eastAsia="lt-LT"/>
                    </w:rPr>
                    <w:t>Papildomų teisės aktų nėra.</w:t>
                  </w:r>
                </w:p>
              </w:sdtContent>
            </w:sdt>
            <w:sdt>
              <w:sdtPr>
                <w:alias w:val="poskyris"/>
                <w:tag w:val="part_24418c01ec2445d5ac487c153ca4e5c8"/>
                <w:lock w:val="sdtLocked"/>
                <w:richText/>
              </w:sdtPr>
              <w:sdtContent>
                <w:p w14:paraId="054561D1" w14:textId="26CD9954">
                  <w:pPr>
                    <w:ind w:firstLine="709"/>
                    <w:jc w:val="both"/>
                    <w:rPr>
                      <w:szCs w:val="24"/>
                      <w:lang w:eastAsia="lt-LT"/>
                    </w:rPr>
                  </w:pPr>
                  <w:sdt>
                    <w:sdtPr>
                      <w:alias w:val="Pavadinimas"/>
                      <w:tag w:val="title_24418c01ec2445d5ac487c153ca4e5c8"/>
                      <w:lock w:val="sdtLocked"/>
                      <w:richText/>
                    </w:sdtPr>
                    <w:sdtContent>
                      <w:r>
                        <w:rPr>
                          <w:b/>
                          <w:bCs/>
                          <w:szCs w:val="24"/>
                          <w:lang w:eastAsia="lt-LT"/>
                        </w:rPr>
                        <w:t>Sprendimui įgyvendinti reikalingos lėšos.</w:t>
                      </w:r>
                    </w:sdtContent>
                  </w:sdt>
                </w:p>
                <w:p w14:paraId="054561D4" w14:textId="14DD37E3">
                  <w:pPr>
                    <w:ind w:firstLine="709"/>
                    <w:jc w:val="both"/>
                    <w:rPr>
                      <w:szCs w:val="24"/>
                      <w:lang w:eastAsia="lt-LT"/>
                    </w:rPr>
                  </w:pPr>
                  <w:r>
                    <w:rPr>
                      <w:szCs w:val="24"/>
                      <w:lang w:eastAsia="lt-LT"/>
                    </w:rPr>
                    <w:t>Sprendimui įgyvendinti yra skirtos lėšos (objektų pardavimo dokumentams parengti (turto vertinimas, energinio naudingumo sertifikatas, duomenų tikslinimas sandoriui).</w:t>
                  </w:r>
                </w:p>
              </w:sdtContent>
            </w:sdt>
            <w:sdt>
              <w:sdtPr>
                <w:alias w:val="poskyris"/>
                <w:tag w:val="part_bb167cf704814f88b947fd141ceb3ca2"/>
                <w:lock w:val="sdtLocked"/>
                <w:richText/>
              </w:sdtPr>
              <w:sdtContent>
                <w:p w14:paraId="26A024CF" w14:textId="77777777">
                  <w:pPr>
                    <w:widowControl w:val="0"/>
                    <w:suppressAutoHyphens/>
                    <w:ind w:firstLine="737"/>
                    <w:jc w:val="both"/>
                    <w:rPr>
                      <w:rFonts w:eastAsia="Lucida Sans Unicode"/>
                      <w:b/>
                      <w:bCs/>
                      <w:szCs w:val="24"/>
                      <w:lang w:eastAsia="lt-LT"/>
                    </w:rPr>
                  </w:pPr>
                  <w:sdt>
                    <w:sdtPr>
                      <w:alias w:val="Pavadinimas"/>
                      <w:tag w:val="title_bb167cf704814f88b947fd141ceb3ca2"/>
                      <w:lock w:val="sdtLocked"/>
                      <w:richText/>
                    </w:sdtPr>
                    <w:sdtContent>
                      <w:r>
                        <w:rPr>
                          <w:rFonts w:eastAsia="Lucida Sans Unicode"/>
                          <w:b/>
                          <w:bCs/>
                          <w:szCs w:val="24"/>
                          <w:lang w:eastAsia="lt-LT"/>
                        </w:rPr>
                        <w:t>Sprendimo projekto antikorupcinis vertinimas.</w:t>
                      </w:r>
                    </w:sdtContent>
                  </w:sdt>
                </w:p>
                <w:p w14:paraId="68B0EDCB" w14:textId="77777777">
                  <w:pPr>
                    <w:widowControl w:val="0"/>
                    <w:suppressAutoHyphens/>
                    <w:ind w:firstLine="737"/>
                    <w:jc w:val="both"/>
                    <w:rPr>
                      <w:rFonts w:eastAsia="Lucida Sans Unicode"/>
                      <w:szCs w:val="24"/>
                      <w:lang w:eastAsia="lt-LT"/>
                    </w:rPr>
                  </w:pPr>
                  <w:r>
                    <w:rPr>
                      <w:rFonts w:eastAsia="Lucida Sans Unicode"/>
                      <w:szCs w:val="24"/>
                      <w:lang w:eastAsia="lt-LT"/>
                    </w:rPr>
                    <w:t>Lietuvos Respublikos korupcijos prevencijos įstatymo 8 straipsnio 1 dalyje yra numatyti atvejai kada viešojo administravimo subjektas, rengiantis norminio teisės akto projektą, Vyriausybės nustatyta tvarka atlieka šio teisės akto projekto antikorupcinį vertinimą. Dėl teisės akto projekto antikorupcinio vertinimo spręs Šiaulių miesto savivaldybės administracijos už korupcijai atsparios aplinkos kūrimą atsakingas asmuo.</w:t>
                  </w:r>
                </w:p>
              </w:sdtContent>
            </w:sdt>
            <w:sdt>
              <w:sdtPr>
                <w:alias w:val="poskyris"/>
                <w:tag w:val="part_2bad6ba5de4b4502af6cb16b76e3bbc2"/>
                <w:lock w:val="sdtLocked"/>
                <w:richText/>
              </w:sdtPr>
              <w:sdtContent>
                <w:p w14:paraId="669F615B" w14:textId="63BA23BC">
                  <w:pPr>
                    <w:widowControl w:val="0"/>
                    <w:suppressAutoHyphens/>
                    <w:ind w:firstLine="737"/>
                    <w:jc w:val="both"/>
                    <w:rPr>
                      <w:rFonts w:eastAsia="Lucida Sans Unicode"/>
                      <w:b/>
                      <w:bCs/>
                      <w:szCs w:val="24"/>
                      <w:lang w:eastAsia="lt-LT"/>
                    </w:rPr>
                  </w:pPr>
                  <w:sdt>
                    <w:sdtPr>
                      <w:alias w:val="Pavadinimas"/>
                      <w:tag w:val="title_2bad6ba5de4b4502af6cb16b76e3bbc2"/>
                      <w:lock w:val="sdtLocked"/>
                      <w:richText/>
                    </w:sdtPr>
                    <w:sdtContent>
                      <w:r>
                        <w:rPr>
                          <w:rFonts w:eastAsia="Lucida Sans Unicode"/>
                          <w:b/>
                          <w:bCs/>
                          <w:szCs w:val="24"/>
                          <w:lang w:eastAsia="lt-LT"/>
                        </w:rPr>
                        <w:t>Sprendimo projekto rengėjas.</w:t>
                      </w:r>
                    </w:sdtContent>
                  </w:sdt>
                </w:p>
                <w:p w14:paraId="0B66CD62" w14:textId="73255458">
                  <w:pPr>
                    <w:widowControl w:val="0"/>
                    <w:suppressAutoHyphens/>
                    <w:ind w:firstLine="737"/>
                    <w:jc w:val="both"/>
                    <w:rPr>
                      <w:rFonts w:eastAsia="Lucida Sans Unicode"/>
                      <w:b/>
                      <w:bCs/>
                      <w:szCs w:val="24"/>
                      <w:lang w:eastAsia="lt-LT"/>
                    </w:rPr>
                  </w:pPr>
                  <w:r>
                    <w:rPr>
                      <w:rFonts w:eastAsia="Lucida Sans Unicode"/>
                      <w:szCs w:val="24"/>
                      <w:lang w:eastAsia="lt-LT"/>
                    </w:rPr>
                    <w:t>Savivaldybės administracijos Turto valdymo skyrius.</w:t>
                  </w:r>
                  <w:r>
                    <w:rPr>
                      <w:rFonts w:eastAsia="Lucida Sans Unicode"/>
                      <w:b/>
                      <w:bCs/>
                      <w:szCs w:val="24"/>
                      <w:lang w:eastAsia="lt-LT"/>
                    </w:rPr>
                    <w:t xml:space="preserve"> </w:t>
                  </w:r>
                  <w:r>
                    <w:rPr>
                      <w:rFonts w:eastAsia="Lucida Sans Unicode"/>
                      <w:szCs w:val="24"/>
                      <w:lang w:eastAsia="lt-LT"/>
                    </w:rPr>
                    <w:t>Rengėjas − skyriaus patarėja Ernesta Baltutienė, tel. +370 41 509 594.</w:t>
                  </w:r>
                </w:p>
              </w:sdtContent>
            </w:sdt>
            <w:sdt>
              <w:sdtPr>
                <w:alias w:val="poskyris"/>
                <w:tag w:val="part_3eb4f780668b4ff7b6fd178d2b2660a4"/>
                <w:lock w:val="sdtLocked"/>
                <w:richText/>
              </w:sdtPr>
              <w:sdtContent>
                <w:p w14:paraId="01E1DC9B" w14:textId="77777777">
                  <w:pPr>
                    <w:widowControl w:val="0"/>
                    <w:suppressAutoHyphens/>
                    <w:ind w:firstLine="737"/>
                    <w:jc w:val="both"/>
                    <w:rPr>
                      <w:rFonts w:eastAsia="Lucida Sans Unicode"/>
                      <w:b/>
                      <w:bCs/>
                      <w:szCs w:val="24"/>
                      <w:lang w:eastAsia="lt-LT"/>
                    </w:rPr>
                  </w:pPr>
                  <w:sdt>
                    <w:sdtPr>
                      <w:alias w:val="Pavadinimas"/>
                      <w:tag w:val="title_3eb4f780668b4ff7b6fd178d2b2660a4"/>
                      <w:lock w:val="sdtLocked"/>
                      <w:richText/>
                    </w:sdtPr>
                    <w:sdtContent>
                      <w:r>
                        <w:rPr>
                          <w:rFonts w:eastAsia="Lucida Sans Unicode"/>
                          <w:b/>
                          <w:bCs/>
                          <w:szCs w:val="24"/>
                          <w:lang w:eastAsia="lt-LT"/>
                        </w:rPr>
                        <w:t>Numatomo teisinio reguliavimo poveikio vertinimo rezultatai.</w:t>
                      </w:r>
                    </w:sdtContent>
                  </w:sdt>
                </w:p>
                <w:p w14:paraId="054561D9" w14:textId="05CC6BE6">
                  <w:pPr>
                    <w:widowControl w:val="0"/>
                    <w:suppressAutoHyphens/>
                    <w:ind w:firstLine="737"/>
                    <w:jc w:val="both"/>
                    <w:rPr>
                      <w:rFonts w:eastAsia="Lucida Sans Unicode"/>
                      <w:szCs w:val="24"/>
                      <w:lang w:eastAsia="lt-LT"/>
                    </w:rPr>
                  </w:pPr>
                  <w:r>
                    <w:rPr>
                      <w:rFonts w:eastAsia="Lucida Sans Unicode"/>
                      <w:szCs w:val="24"/>
                      <w:lang w:eastAsia="lt-LT"/>
                    </w:rPr>
                    <w:t>Numatomo teisinio reguliavimo poveikio vertinimas neatliekamas, nes sprendimo projektu nėra numatoma reglamentuoti iki tol nereglamentuotus santykius ar iš esmės keisti teisinį reguliavimą.</w:t>
                  </w:r>
                </w:p>
                <w:p w14:paraId="054561DA" w14:textId="2E557E6B">
                  <w:pPr>
                    <w:rPr>
                      <w:rFonts w:eastAsia="Lucida Sans Unicode"/>
                      <w:szCs w:val="24"/>
                      <w:lang w:eastAsia="lt-LT"/>
                    </w:rPr>
                  </w:pPr>
                </w:p>
                <w:p w14:paraId="20DFA1D2" w14:textId="77777777">
                  <w:pPr>
                    <w:widowControl w:val="0"/>
                    <w:suppressAutoHyphens/>
                    <w:rPr>
                      <w:rFonts w:eastAsia="Lucida Sans Unicode"/>
                      <w:szCs w:val="24"/>
                      <w:lang w:eastAsia="lt-LT"/>
                    </w:rPr>
                  </w:pPr>
                </w:p>
              </w:sdtContent>
            </w:sdt>
          </w:sdtContent>
        </w:sdt>
        <w:sdt>
          <w:sdtPr>
            <w:alias w:val="signatura"/>
            <w:tag w:val="part_8b375f8112734ea69b501ab1c949c585"/>
            <w:lock w:val="sdtLocked"/>
            <w:richText/>
          </w:sdtPr>
          <w:sdtContent>
            <w:p w14:paraId="3094DBBB" w14:textId="48E7ABDE">
              <w:pPr>
                <w:rPr>
                  <w:szCs w:val="24"/>
                  <w:lang w:eastAsia="lt-LT"/>
                </w:rPr>
              </w:pPr>
              <w:r>
                <w:rPr>
                  <w:szCs w:val="24"/>
                  <w:lang w:eastAsia="lt-LT"/>
                </w:rPr>
                <w:t xml:space="preserve">Vedėja </w:t>
                <w:tab/>
                <w:tab/>
                <w:tab/>
                <w:tab/>
                <w:tab/>
                <w:tab/>
                <w:t>Violeta Tylenienė</w:t>
              </w:r>
            </w:p>
            <w:p w14:paraId="054561DB" w14:textId="2CD083B5">
              <w:pPr>
                <w:ind w:firstLine="1626"/>
                <w:rPr>
                  <w:szCs w:val="24"/>
                  <w:lang w:eastAsia="lt-LT"/>
                </w:rPr>
              </w:pPr>
            </w:p>
          </w:sdtContent>
        </w:sdt>
      </w:sdtContent>
    </w:sdt>
    <w:sectPr>
      <w:headerReference w:type="default" r:id="rId7"/>
      <w:footnotePr>
        <w:pos w:val="beneathText"/>
        <w:numRestart w:val="eachPage"/>
      </w:footnotePr>
      <w:endnotePr>
        <w:numFmt w:val="decimal"/>
      </w:endnotePr>
      <w:pgSz w:w="11905" w:h="16837"/>
      <w:pgMar w:top="851" w:right="567" w:bottom="851" w:left="1701" w:header="567" w:footer="567" w:gutter="0"/>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BAE83D" w14:textId="77777777">
      <w:pPr>
        <w:widowControl w:val="0"/>
        <w:suppressAutoHyphens/>
        <w:rPr>
          <w:rFonts w:eastAsia="Lucida Sans Unicode"/>
          <w:szCs w:val="24"/>
        </w:rPr>
      </w:pPr>
      <w:r>
        <w:rPr>
          <w:rFonts w:eastAsia="Lucida Sans Unicode"/>
          <w:szCs w:val="24"/>
        </w:rPr>
        <w:separator/>
      </w:r>
    </w:p>
  </w:endnote>
  <w:endnote w:type="continuationSeparator" w:id="0">
    <w:p w14:paraId="54D57893" w14:textId="77777777">
      <w:pPr>
        <w:widowControl w:val="0"/>
        <w:suppressAutoHyphens/>
        <w:rPr>
          <w:rFonts w:eastAsia="Lucida Sans Unicode"/>
          <w:szCs w:val="24"/>
        </w:rPr>
      </w:pPr>
      <w:r>
        <w:rPr>
          <w:rFonts w:eastAsia="Lucida Sans Unicode"/>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D4E67B" w14:textId="77777777">
      <w:pPr>
        <w:widowControl w:val="0"/>
        <w:suppressAutoHyphens/>
        <w:rPr>
          <w:rFonts w:eastAsia="Lucida Sans Unicode"/>
          <w:szCs w:val="24"/>
        </w:rPr>
      </w:pPr>
      <w:r>
        <w:rPr>
          <w:rFonts w:eastAsia="Lucida Sans Unicode"/>
          <w:szCs w:val="24"/>
        </w:rPr>
        <w:separator/>
      </w:r>
    </w:p>
  </w:footnote>
  <w:footnote w:type="continuationSeparator" w:id="0">
    <w:p w14:paraId="4AB86E53" w14:textId="77777777">
      <w:pPr>
        <w:widowControl w:val="0"/>
        <w:suppressAutoHyphens/>
        <w:rPr>
          <w:rFonts w:eastAsia="Lucida Sans Unicode"/>
          <w:szCs w:val="24"/>
        </w:rPr>
      </w:pPr>
      <w:r>
        <w:rPr>
          <w:rFonts w:eastAsia="Lucida Sans Unicode"/>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561E1" w14:textId="77777777">
    <w:pPr>
      <w:widowControl w:val="0"/>
      <w:tabs>
        <w:tab w:val="center" w:pos="4819"/>
        <w:tab w:val="right" w:pos="9638"/>
      </w:tabs>
      <w:suppressAutoHyphens/>
      <w:rPr>
        <w:rFonts w:eastAsia="Lucida Sans Unicode"/>
        <w:szCs w:val="24"/>
      </w:rPr>
    </w:pPr>
    <w:r>
      <w:rPr>
        <w:rFonts w:eastAsia="Lucida Sans Unicode"/>
        <w:szCs w:val="24"/>
      </w:rPr>
      <w:tab/>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37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56197"/>
  <w15:chartTrackingRefBased/>
  <w15:docId w15:val="{28A574C2-478F-4E6E-BFAB-CA07728A2B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7649237">
      <w:bodyDiv w:val="1"/>
      <w:marLeft w:val="0"/>
      <w:marRight w:val="0"/>
      <w:marTop w:val="0"/>
      <w:marBottom w:val="0"/>
      <w:divBdr>
        <w:top w:val="none" w:sz="0" w:space="0" w:color="auto"/>
        <w:left w:val="none" w:sz="0" w:space="0" w:color="auto"/>
        <w:bottom w:val="none" w:sz="0" w:space="0" w:color="auto"/>
        <w:right w:val="none" w:sz="0" w:space="0" w:color="auto"/>
      </w:divBdr>
    </w:div>
    <w:div w:id="571279574">
      <w:bodyDiv w:val="1"/>
      <w:marLeft w:val="0"/>
      <w:marRight w:val="0"/>
      <w:marTop w:val="0"/>
      <w:marBottom w:val="0"/>
      <w:divBdr>
        <w:top w:val="none" w:sz="0" w:space="0" w:color="auto"/>
        <w:left w:val="none" w:sz="0" w:space="0" w:color="auto"/>
        <w:bottom w:val="none" w:sz="0" w:space="0" w:color="auto"/>
        <w:right w:val="none" w:sz="0" w:space="0" w:color="auto"/>
      </w:divBdr>
    </w:div>
    <w:div w:id="622930884">
      <w:bodyDiv w:val="1"/>
      <w:marLeft w:val="0"/>
      <w:marRight w:val="0"/>
      <w:marTop w:val="0"/>
      <w:marBottom w:val="0"/>
      <w:divBdr>
        <w:top w:val="none" w:sz="0" w:space="0" w:color="auto"/>
        <w:left w:val="none" w:sz="0" w:space="0" w:color="auto"/>
        <w:bottom w:val="none" w:sz="0" w:space="0" w:color="auto"/>
        <w:right w:val="none" w:sz="0" w:space="0" w:color="auto"/>
      </w:divBdr>
    </w:div>
    <w:div w:id="903831597">
      <w:bodyDiv w:val="1"/>
      <w:marLeft w:val="0"/>
      <w:marRight w:val="0"/>
      <w:marTop w:val="0"/>
      <w:marBottom w:val="0"/>
      <w:divBdr>
        <w:top w:val="none" w:sz="0" w:space="0" w:color="auto"/>
        <w:left w:val="none" w:sz="0" w:space="0" w:color="auto"/>
        <w:bottom w:val="none" w:sz="0" w:space="0" w:color="auto"/>
        <w:right w:val="none" w:sz="0" w:space="0" w:color="auto"/>
      </w:divBdr>
    </w:div>
    <w:div w:id="1622615121">
      <w:bodyDiv w:val="1"/>
      <w:marLeft w:val="0"/>
      <w:marRight w:val="0"/>
      <w:marTop w:val="0"/>
      <w:marBottom w:val="0"/>
      <w:divBdr>
        <w:top w:val="none" w:sz="0" w:space="0" w:color="auto"/>
        <w:left w:val="none" w:sz="0" w:space="0" w:color="auto"/>
        <w:bottom w:val="none" w:sz="0" w:space="0" w:color="auto"/>
        <w:right w:val="none" w:sz="0" w:space="0" w:color="auto"/>
      </w:divBdr>
    </w:div>
    <w:div w:id="1760179782">
      <w:bodyDiv w:val="1"/>
      <w:marLeft w:val="0"/>
      <w:marRight w:val="0"/>
      <w:marTop w:val="0"/>
      <w:marBottom w:val="0"/>
      <w:divBdr>
        <w:top w:val="none" w:sz="0" w:space="0" w:color="auto"/>
        <w:left w:val="none" w:sz="0" w:space="0" w:color="auto"/>
        <w:bottom w:val="none" w:sz="0" w:space="0" w:color="auto"/>
        <w:right w:val="none" w:sz="0" w:space="0" w:color="auto"/>
      </w:divBdr>
    </w:div>
    <w:div w:id="1841311444">
      <w:bodyDiv w:val="1"/>
      <w:marLeft w:val="0"/>
      <w:marRight w:val="0"/>
      <w:marTop w:val="0"/>
      <w:marBottom w:val="0"/>
      <w:divBdr>
        <w:top w:val="none" w:sz="0" w:space="0" w:color="auto"/>
        <w:left w:val="none" w:sz="0" w:space="0" w:color="auto"/>
        <w:bottom w:val="none" w:sz="0" w:space="0" w:color="auto"/>
        <w:right w:val="none" w:sz="0" w:space="0" w:color="auto"/>
      </w:divBdr>
    </w:div>
    <w:div w:id="2055081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37f04b126334c30aef0f6a776268988" PartId="bb82d4af723e443bb3958d634f9ae57b">
    <Part Type="skyrius" Nr="999" Title="SPRENDIMO „DĖL ŠIAULIŲ MIESTO SAVIVALDYBĖS TARYBOS 2021 M. VASARIO 4 D. SPRENDIMO NR. T-6 „DĖL VIEŠAME AUKCIONE PARDUODAMO SAVIVALDYBĖS NEKILNOJAMOJO TURTO IR KITŲ NEKILNOJAMŲJŲ DAIKTŲ SĄRAŠO PATVIRTINIMO“ PAKEITIMO“ PROJEKTO AIŠKINAMASIS RAŠTAS" DocPartId="0a45a57a793e46cf8e034ac639a5335d" PartId="e485d69c867b4d149acd90e0ae06f5c3">
      <Part Type="poskyris" Title="Parengto sprendimo projekto tikslas ir uždaviniai." DocPartId="63705131a66744c8ae3af1584441c7ee" PartId="2deb380bd19d42a3a4a28ad5573daa55"/>
      <Part Type="poskyris" Title="Dabartinis sprendimo projekte aptariamų klausimų reguliavimas." DocPartId="c9affc08e3704621bc6aa1d566b208a5" PartId="19d626d2f5c94fd0a0837cbddde7be8d"/>
      <Part Type="poskyris" Title="Sprendimo projekte numatyta:" DocPartId="83f3ed8083dc4ce2839dd65d6f8b1f5a" PartId="38fd15cbcd1c4b54b479e094c47b251d">
        <Part Type="punktas" Nr="1" Abbr="1 p." DocPartId="47e39d04681f4cde8d588728e0ae32a2" PartId="2a23b48a44bb4baf920ee98eb7f9c330"/>
        <Part Type="punktas" Nr="2" Abbr="2 p." DocPartId="9efde8e9fae94fdbbac937daf1aab763" PartId="ab74ce19114d4c16ab9044013ea17fef"/>
      </Part>
      <Part Type="poskyris" Title="Sprendimo projekte numatytos naujo teisinio reglamentavimo nuostatos." DocPartId="57b6e4a99ac048adb5ae12cf12dcda59" PartId="302b54ad70cd4c5588a8e68c334f88fc"/>
      <Part Type="poskyris" Title="Priėmus sprendimą, galimos pasekmės (tiek teigiamos, tiek neigiamos)." DocPartId="d6c364ec3353408187c0d19bac1cde03" PartId="ccec9d09e70b4f859c1b2c5b3eb08e54"/>
      <Part Type="poskyris" Title="Priėmus sprendimą, keičiami ar pripažįstami negaliojančiais teisės aktai." DocPartId="a577c2db9c884002aaaee480be0fde6d" PartId="bbbcfb602c4940a8b27a5f60255c2332"/>
      <Part Type="poskyris" Title="Sprendimui įgyvendinti reikalingi priimti papildomi teisės aktai." DocPartId="da1dfaedaad944188496e44d540fb15c" PartId="8ce2eb9f34fc496cae645cdc7b2fc2b5"/>
      <Part Type="poskyris" Title="Sprendimui įgyvendinti reikalingos lėšos." DocPartId="dba43370f1664ea1a30b356f8571dfc7" PartId="24418c01ec2445d5ac487c153ca4e5c8"/>
      <Part Type="poskyris" Title="Sprendimo projekto antikorupcinis vertinimas." DocPartId="8b5af5864fb145cd80510c1656c1c773" PartId="bb167cf704814f88b947fd141ceb3ca2"/>
      <Part Type="poskyris" Title="Sprendimo projekto rengėjas." DocPartId="b517c55bfe2c41ab924d03e19d10c339" PartId="2bad6ba5de4b4502af6cb16b76e3bbc2"/>
      <Part Type="poskyris" Title="Numatomo teisinio reguliavimo poveikio vertinimo rezultatai." DocPartId="8bd2688edd4848ac98332a88f8111b9d" PartId="3eb4f780668b4ff7b6fd178d2b2660a4"/>
    </Part>
    <Part Type="signatura" DocPartId="2b09c3fea14d4be7bbdcd26dc558e40d" PartId="8b375f8112734ea69b501ab1c949c585"/>
  </Part>
</Parts>
</file>

<file path=customXml/itemProps1.xml><?xml version="1.0" encoding="utf-8"?>
<ds:datastoreItem xmlns:ds="http://schemas.openxmlformats.org/officeDocument/2006/customXml" ds:itemID="{6804FBB1-6F0E-49E6-A510-7B8BB5C29710}">
  <ds:schemaRefs>
    <ds:schemaRef ds:uri="http://schemas.openxmlformats.org/officeDocument/2006/bibliography"/>
  </ds:schemaRefs>
</ds:datastoreItem>
</file>

<file path=customXml/itemProps2.xml><?xml version="1.0" encoding="utf-8"?>
<ds:datastoreItem xmlns:ds="http://schemas.openxmlformats.org/officeDocument/2006/customXml" ds:itemID="{F8FC51B0-01F2-4E3D-A4D8-424C18CD61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829</Words>
  <Characters>5840</Characters>
  <Application>Microsoft Office Word</Application>
  <DocSecurity>4</DocSecurity>
  <Lines>146</Lines>
  <Paragraphs>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6621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2025-04-04T14:16:00Z</dcterms:created>
  <dc:creator>Angelė Poplevicienė</dc:creator>
  <lastModifiedBy>adlibuser</lastModifiedBy>
  <lastPrinted>2023-04-21T11:48:00Z</lastPrinted>
  <dcterms:modified xsi:type="dcterms:W3CDTF">2025-04-04T14:16:00Z</dcterms:modified>
  <revision>2</revision>
</coreProperties>
</file>