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862af7c8dc94f01b20a3397fdfa050e"/>
        <w:lock w:val="sdtLocked"/>
        <w:richText/>
      </w:sdtPr>
      <w:sdtContent>
        <w:tbl>
          <w:tblPr>
            <w:tblW w:w="0" w:type="auto"/>
            <w:tblInd w:w="7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0"/>
          </w:tblGrid>
          <w:tr>
            <w:tc>
              <w:tcPr>
                <w:tcW w:w="6440" w:type="dxa"/>
                <w:tcBorders>
                  <w:top w:val="nil"/>
                  <w:left w:val="nil"/>
                  <w:bottom w:val="nil"/>
                  <w:right w:val="nil"/>
                </w:tcBorders>
              </w:tcPr>
              <w:p>
                <w:pPr>
                  <w:tabs>
                    <w:tab w:val="center" w:pos="4819"/>
                    <w:tab w:val="right" w:pos="9638"/>
                  </w:tabs>
                  <w:rPr>
                    <w:kern w:val="2"/>
                    <w:szCs w:val="24"/>
                  </w:rPr>
                </w:pPr>
              </w:p>
              <w:p>
                <w:pPr>
                  <w:rPr>
                    <w:kern w:val="2"/>
                    <w:szCs w:val="24"/>
                  </w:rPr>
                </w:pPr>
                <w:r>
                  <w:rPr>
                    <w:kern w:val="2"/>
                    <w:szCs w:val="24"/>
                  </w:rPr>
                  <w:t xml:space="preserve">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reikalavimų </w:t>
                </w:r>
              </w:p>
              <w:p>
                <w:pPr>
                  <w:rPr>
                    <w:kern w:val="2"/>
                    <w:szCs w:val="24"/>
                  </w:rPr>
                </w:pPr>
                <w:r>
                  <w:rPr>
                    <w:kern w:val="2"/>
                    <w:szCs w:val="24"/>
                  </w:rPr>
                  <w:t>3 priedas</w:t>
                </w:r>
              </w:p>
            </w:tc>
          </w:tr>
        </w:tbl>
        <w:p>
          <w:pPr>
            <w:spacing w:line="278" w:lineRule="auto"/>
            <w:jc w:val="center"/>
            <w:rPr>
              <w:b/>
              <w:bCs/>
              <w:kern w:val="2"/>
              <w:szCs w:val="24"/>
            </w:rPr>
          </w:pPr>
        </w:p>
        <w:p>
          <w:pPr>
            <w:rPr>
              <w:sz w:val="14"/>
              <w:szCs w:val="14"/>
            </w:rPr>
          </w:pPr>
        </w:p>
        <w:sdt>
          <w:sdtPr>
            <w:alias w:val="skirsnis"/>
            <w:tag w:val="part_e0635bae19de4782841841936dc3f615"/>
            <w:lock w:val="sdtLocked"/>
            <w:richText/>
          </w:sdtPr>
          <w:sdtContent>
            <w:p>
              <w:pPr>
                <w:spacing w:line="278" w:lineRule="auto"/>
                <w:jc w:val="center"/>
                <w:rPr>
                  <w:b/>
                  <w:bCs/>
                  <w:kern w:val="2"/>
                  <w:szCs w:val="24"/>
                </w:rPr>
              </w:pPr>
              <w:sdt>
                <w:sdtPr>
                  <w:alias w:val="Pavadinimas"/>
                  <w:tag w:val="title_e0635bae19de4782841841936dc3f615"/>
                  <w:lock w:val="sdtLocked"/>
                  <w:richText/>
                </w:sdtPr>
                <w:sdtContent>
                  <w:r>
                    <w:rPr>
                      <w:b/>
                      <w:bCs/>
                      <w:kern w:val="2"/>
                      <w:szCs w:val="24"/>
                    </w:rPr>
                    <w:t>(Saugumo užtikrinimo ir reagavimo priemonių pavyzdinė forma)</w:t>
                  </w:r>
                </w:sdtContent>
              </w:sdt>
            </w:p>
            <w:p>
              <w:pPr>
                <w:rPr>
                  <w:sz w:val="14"/>
                  <w:szCs w:val="14"/>
                </w:rPr>
              </w:pPr>
            </w:p>
          </w:sdtContent>
        </w:sdt>
      </w:sdtContent>
    </w:sdt>
    <w:sdt>
      <w:sdtPr>
        <w:alias w:val="lentele"/>
        <w:tag w:val="part_be0d6a6f7c9a448587584d9344c03739"/>
        <w:lock w:val="sdtLocked"/>
        <w:richText/>
      </w:sdtPr>
      <w:sdtContent>
        <w:p>
          <w:pPr>
            <w:spacing w:line="278" w:lineRule="auto"/>
            <w:jc w:val="center"/>
            <w:rPr>
              <w:b/>
              <w:bCs/>
              <w:kern w:val="2"/>
              <w:szCs w:val="24"/>
            </w:rPr>
          </w:pPr>
          <w:sdt>
            <w:sdtPr>
              <w:alias w:val="Pavadinimas"/>
              <w:tag w:val="title_be0d6a6f7c9a448587584d9344c03739"/>
              <w:lock w:val="sdtLocked"/>
              <w:richText/>
            </w:sdtPr>
            <w:sdtContent>
              <w:r>
                <w:rPr>
                  <w:b/>
                  <w:bCs/>
                  <w:kern w:val="2"/>
                  <w:szCs w:val="24"/>
                </w:rPr>
                <w:t>SAUGUMO UŽTIKRINIMO IR REAGAVIMO PRIEMONĖS</w:t>
              </w:r>
            </w:sdtContent>
          </w:sdt>
        </w:p>
        <w:p>
          <w:pPr>
            <w:rPr>
              <w:sz w:val="14"/>
              <w:szCs w:val="14"/>
            </w:rPr>
          </w:pPr>
        </w:p>
        <w:tbl>
          <w:tblPr>
            <w:tblW w:w="14449" w:type="dxa"/>
            <w:tblLook w:val="04A0" w:firstRow="1" w:lastRow="0" w:firstColumn="1" w:lastColumn="0" w:noHBand="0" w:noVBand="1"/>
          </w:tblPr>
          <w:tblGrid>
            <w:gridCol w:w="2518"/>
            <w:gridCol w:w="1517"/>
            <w:gridCol w:w="1949"/>
            <w:gridCol w:w="5295"/>
            <w:gridCol w:w="3170"/>
          </w:tblGrid>
          <w:tr>
            <w:trPr>
              <w:trHeight w:val="601"/>
            </w:trPr>
            <w:tc>
              <w:tcPr>
                <w:tcW w:w="2518" w:type="dxa"/>
                <w:tcBorders>
                  <w:top w:val="single" w:sz="8" w:space="0" w:color="auto"/>
                  <w:left w:val="single" w:sz="8" w:space="0" w:color="auto"/>
                  <w:bottom w:val="single" w:sz="8"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Grėsmė</w:t>
                </w:r>
              </w:p>
            </w:tc>
            <w:tc>
              <w:tcPr>
                <w:tcW w:w="1517" w:type="dxa"/>
                <w:tcBorders>
                  <w:top w:val="single" w:sz="8" w:space="0" w:color="auto"/>
                  <w:left w:val="nil"/>
                  <w:bottom w:val="single" w:sz="8"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Grėsmės lygis</w:t>
                </w:r>
              </w:p>
            </w:tc>
            <w:tc>
              <w:tcPr>
                <w:tcW w:w="1949" w:type="dxa"/>
                <w:tcBorders>
                  <w:top w:val="single" w:sz="8" w:space="0" w:color="auto"/>
                  <w:left w:val="nil"/>
                  <w:bottom w:val="single" w:sz="8"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Pasirengimo reaguoti lygis</w:t>
                </w:r>
              </w:p>
            </w:tc>
            <w:tc>
              <w:tcPr>
                <w:tcW w:w="5295" w:type="dxa"/>
                <w:tcBorders>
                  <w:top w:val="single" w:sz="8" w:space="0" w:color="auto"/>
                  <w:left w:val="nil"/>
                  <w:bottom w:val="single" w:sz="8" w:space="0" w:color="auto"/>
                  <w:right w:val="single" w:sz="4" w:space="0" w:color="auto"/>
                </w:tcBorders>
                <w:shd w:val="clear" w:color="auto" w:fill="auto"/>
                <w:vAlign w:val="center"/>
                <w:hideMark/>
              </w:tcPr>
              <w:p>
                <w:pPr>
                  <w:jc w:val="center"/>
                  <w:rPr>
                    <w:b/>
                    <w:bCs/>
                    <w:color w:val="000000"/>
                    <w:szCs w:val="24"/>
                    <w:lang w:eastAsia="lt-LT"/>
                  </w:rPr>
                </w:pPr>
                <w:r>
                  <w:rPr>
                    <w:b/>
                    <w:bCs/>
                    <w:color w:val="000000"/>
                    <w:szCs w:val="24"/>
                    <w:lang w:eastAsia="lt-LT"/>
                  </w:rPr>
                  <w:t>Saugumo užtikrinimo ir reagavimo priemonės</w:t>
                </w:r>
              </w:p>
            </w:tc>
            <w:tc>
              <w:tcPr>
                <w:tcW w:w="3170" w:type="dxa"/>
                <w:tcBorders>
                  <w:top w:val="single" w:sz="8" w:space="0" w:color="auto"/>
                  <w:left w:val="nil"/>
                  <w:bottom w:val="single" w:sz="8" w:space="0" w:color="auto"/>
                  <w:right w:val="single" w:sz="8" w:space="0" w:color="auto"/>
                </w:tcBorders>
                <w:shd w:val="clear" w:color="auto" w:fill="auto"/>
                <w:vAlign w:val="center"/>
                <w:hideMark/>
              </w:tcPr>
              <w:p>
                <w:pPr>
                  <w:ind w:right="267"/>
                  <w:jc w:val="center"/>
                  <w:rPr>
                    <w:b/>
                    <w:bCs/>
                    <w:color w:val="000000"/>
                    <w:szCs w:val="24"/>
                    <w:lang w:eastAsia="lt-LT"/>
                  </w:rPr>
                </w:pPr>
                <w:r>
                  <w:rPr>
                    <w:b/>
                    <w:bCs/>
                    <w:color w:val="000000"/>
                    <w:szCs w:val="24"/>
                    <w:lang w:eastAsia="lt-LT"/>
                  </w:rPr>
                  <w:t>Priemonės įgyvendinimo aprašymas</w:t>
                </w:r>
              </w:p>
            </w:tc>
          </w:tr>
          <w:tr>
            <w:trPr>
              <w:trHeight w:val="1223"/>
            </w:trPr>
            <w:tc>
              <w:tcPr>
                <w:tcW w:w="2518" w:type="dxa"/>
                <w:vMerge w:val="restart"/>
                <w:tcBorders>
                  <w:top w:val="nil"/>
                  <w:left w:val="single" w:sz="8" w:space="0" w:color="auto"/>
                  <w:bottom w:val="single" w:sz="8" w:space="0" w:color="000000"/>
                  <w:right w:val="single" w:sz="4" w:space="0" w:color="auto"/>
                </w:tcBorders>
                <w:shd w:val="clear" w:color="auto" w:fill="auto"/>
                <w:vAlign w:val="center"/>
                <w:hideMark/>
              </w:tcPr>
              <w:p>
                <w:pPr>
                  <w:rPr>
                    <w:color w:val="000000"/>
                    <w:szCs w:val="24"/>
                    <w:lang w:eastAsia="lt-LT"/>
                  </w:rPr>
                </w:pPr>
                <w:r>
                  <w:rPr>
                    <w:color w:val="000000"/>
                    <w:szCs w:val="24"/>
                    <w:lang w:eastAsia="lt-LT"/>
                  </w:rPr>
                  <w:t>Teroro aktas, diversija, nesankcionuotas asmenų patekimas į objektą, (įskaitant ir ginkluotą įsiveržimą), masiniai neramumai, neteisėtas fizinis poveikis (tyčinis objekto saugai turinčių reikšmės konstrukcijų, sistemų ir komponentų pažeidimas), sabotažas</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Žemas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ALFA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Kasdienių užduočių ir standartinių veiklos procedūrų objekte vykdymas vadovaujantis saugumo planu. Apsaugos pamainos darbuotojų standartinis amunicijos komplektas.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Apsaugos pamainos darbuotojų informavimas apie galimą grėsmę.</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83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Operatyvus pasikeitimas informacija su Policijos departamentu (toliau – PD), Viešojo saugumo tarnyba (toliau – VST), taip pat Valstybės sienos apsaugos tarnyba (toliau – VSAT) (jeigu objektas yra pasienio ruože ar pasienio kontrolės punkte), apsaugos tarnyba (jeigu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Papildomų pajėgų iškvietimo ir veiksmų sinchronizavimo schemos patikrinimas.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214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Sąveikos algoritmo (mechanizmo) tarp PD, VST, taip pat VSAT (jeigu objektas yra pasienio ruože ar pasienio kontrolės punkte), apsaugos tarnybos (jeigu objekto fizinę apsaugą vykdo privati apsaugos tarnyba) ir objekto valdytojo veikimo patikrinimas.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Vidutinis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BRAVO</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žemam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Techninių fizinės ir elektroninės saugos užtikrinimo priemonių, įrengtų objekte, būklės patikra, intensyvesnė nuolatinė stebėsena.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Ginkluotės, specialiųjų, asmens apsaugos priemonių ir amunicijos patikra bei apsaugos pamainos darbuotojų aprūpinimas papildoma amunicija.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Apsaugos pamainos darbuotojų operatyvus instruktavimas atsižvelgiant į atnaujintą informaciją.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508"/>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Operatyvus pasikeitimas atnaujinta informacija su PD, VST, taip pat VSAT (jeigu objektas yra pasienio ruože ar pasienio kontrolės punkte), apsaugos tarnyba (jeigu objekto fizinę apsaugą vykdo privati apsaugos tarnyba) ir svarbaus valstybės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Sustiprinamas objekto teritorijos ir prieigų stebėjimas siekiant nustatyti įtartinus asmenis, daiktus bei užkardyti galimas grėsmes. </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7.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Aukštas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CHARLIE</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vidutiniam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83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PD, VST, taip pat VSAT (jeigu objektas yra pasienio ruože ar pasienio kontrolės punkte) pareigūnų operatyvaus reagavimo rezervo formavimas (budėjimų namuose ir (ar) įstaigoje organizavimas).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Apsaugos pamainos budinčių patrulių veiklos organizavimas.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Objekto apsauga sustiprinama papildomai pasitelkiant Lietuvos šalių sąjungos (toliau – LŠS) narius.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Apsaugos pamainos darbuotojų operatyvus instruktavimas atsižvelgiant į atnaujintą informaciją.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214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Operatyvus pasikeitimas atnaujinta informacija su PD, VST, taip pat VSAT (jeigu objektas yra pasienio ruože ar pasienio kontrolės punkte), Nacionalinis krizių valdymo centras (toliau – NKVC), Vidaus reikalų ministerija (toliau – VRM), apsaugos tarnyba (jeigu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7. Sustiprinama asmenų ir transporto priemonių patekimo į objektą ir (ar) jo teritoriją kontrolė (nuodugnus 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30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8. Aktyvuojama bepiločių orlaivių neutralizavimo įranga.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9.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Aukščiausias</w:t>
                </w:r>
              </w:p>
            </w:tc>
            <w:tc>
              <w:tcPr>
                <w:tcW w:w="1949"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DELTA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aukštam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223"/>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Taikomos kompleksinės-organizacinės priemonės (fortifikacijų įrengimas, pagalba svarbaus valstybės objekto valdytojui dėl personalo evakuacijos ir kt.), mažinančios objekto pažeidžiamumą.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Objekto apsauga sustiprinama papildomai skiriant vidaus reikalų ministro valdymo srities statutinių įstaigų pareigūnus.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529"/>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Objekto prieigose ir išorinio perimetro erdvėje praplečiamos draudžiamo patekimo zonos policijai laikinai apribojant asmenų ar transporto priemonių patekimą į tam tikrą teritoriją ar patalpą dėl galimo pavojaus viešajai tvarkai, asmens ar valstybės saugumui.</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2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8"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Pasitvirtinus grėsmei vykdomos neteisėtos veiklos užkardymo ir pasekmių likvidavimo priemonės.</w:t>
                </w:r>
              </w:p>
            </w:tc>
            <w:tc>
              <w:tcPr>
                <w:tcW w:w="3170" w:type="dxa"/>
                <w:tcBorders>
                  <w:top w:val="nil"/>
                  <w:left w:val="nil"/>
                  <w:bottom w:val="single" w:sz="8"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223"/>
            </w:trPr>
            <w:tc>
              <w:tcPr>
                <w:tcW w:w="2518" w:type="dxa"/>
                <w:vMerge w:val="restart"/>
                <w:tcBorders>
                  <w:top w:val="nil"/>
                  <w:left w:val="single" w:sz="8" w:space="0" w:color="auto"/>
                  <w:bottom w:val="single" w:sz="8" w:space="0" w:color="000000"/>
                  <w:right w:val="single" w:sz="4" w:space="0" w:color="auto"/>
                </w:tcBorders>
                <w:shd w:val="clear" w:color="auto" w:fill="auto"/>
                <w:vAlign w:val="center"/>
                <w:hideMark/>
              </w:tcPr>
              <w:p>
                <w:pPr>
                  <w:rPr>
                    <w:color w:val="000000"/>
                    <w:szCs w:val="24"/>
                    <w:lang w:eastAsia="lt-LT"/>
                  </w:rPr>
                </w:pPr>
                <w:r>
                  <w:rPr>
                    <w:color w:val="000000"/>
                    <w:szCs w:val="24"/>
                    <w:lang w:eastAsia="lt-LT"/>
                  </w:rPr>
                  <w:t>Šnipinėjimas, išorinis objekto stebėjimas (žvalgyba)</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Žemas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ALFA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Kasdienių užduočių ir standartinių veiklos procedūrų objekte vykdymas vadovaujantis saugumo planu. Apsaugos pamainos darbuotojų standartinis amunicijos komplektas.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Apsaugos pamainos darbuotojų informavimas apie galimą grėsmę.</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30"/>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Operatyvus pasikeitimas informacija su PD, VST, taip pat VSAT (jeigu objektas yra pasienio ruože ar pasienio kontrolės punkte), apsaugos tarnyba (jeigu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Vidutinis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BRAVO</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žemam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74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Apsaugos pamainos darbuotojų operatyvus instruktavimas atsižvelgiant į atnaujintą informaciją.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214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Operatyvus pasikeitimas atnaujinta informacija su PD, VST, taip pat VSAT (jeigu objektas yra pasienio ruože ar pasienio kontrolės punkte), apsaugos tarnyba (jeigu objekto fizinę apsaugą vykdo privati apsaugos tarnyba), VSD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Sustiprinamas objekto teritorijos ir prieigų stebėjimas siekiant nustatyti įtartinus asmenis, daiktus bei užkardyti galimas grėsmes.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Aukštas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CHARLIE</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vidutiniam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Apsaugos pamainos budinčių patrulių veiklos organizavimas.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Apsaugos pamainos darbuotojų operatyvus instruktavimas atsižvelgiant į atnaujintą informaciją.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586"/>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Operatyvus pasikeitimas atnaujinta informacija su PD, VST, taip pat VSAT (jeigu objektas yra pasienio ruože ar pasienio kontrolės punkte), VSD, NKVC, VRM, apsaugos tarnyba (jeigu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Sustiprinama asmenų ir transporto priemonių patekimo į objektą ir (ar) jo teritoriją kontrolė (nuodugnus 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30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Aktyvuojama bepiločių orlaivių neutralizavimo įranga.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7.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Aukščiausias</w:t>
                </w:r>
              </w:p>
            </w:tc>
            <w:tc>
              <w:tcPr>
                <w:tcW w:w="1949"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DELTA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aukštam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529"/>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Objekto prieigose ir išorinio perimetro erdvėje praplečiamos draudžiamo patekimo zonos policijai laikinai apribojant asmenų ar transporto priemonių patekimą į tam tikrą teritoriją ar patalpą dėl galimo pavojaus viešajai tvarkai, asmens ar valstybės saugumui.</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2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8"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Pasitvirtinus grėsmei vykdomos neteisėtos veiklos užkardymo ir pasekmių likvidavimo priemonės.</w:t>
                </w:r>
              </w:p>
            </w:tc>
            <w:tc>
              <w:tcPr>
                <w:tcW w:w="3170" w:type="dxa"/>
                <w:tcBorders>
                  <w:top w:val="nil"/>
                  <w:left w:val="nil"/>
                  <w:bottom w:val="single" w:sz="8"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val="restart"/>
                <w:tcBorders>
                  <w:top w:val="nil"/>
                  <w:left w:val="single" w:sz="8" w:space="0" w:color="auto"/>
                  <w:bottom w:val="single" w:sz="8" w:space="0" w:color="000000"/>
                  <w:right w:val="single" w:sz="4" w:space="0" w:color="auto"/>
                </w:tcBorders>
                <w:shd w:val="clear" w:color="auto" w:fill="auto"/>
                <w:vAlign w:val="center"/>
                <w:hideMark/>
              </w:tcPr>
              <w:p>
                <w:pPr>
                  <w:rPr>
                    <w:color w:val="000000"/>
                    <w:szCs w:val="24"/>
                    <w:lang w:eastAsia="lt-LT"/>
                  </w:rPr>
                </w:pPr>
                <w:r>
                  <w:rPr>
                    <w:color w:val="000000"/>
                    <w:szCs w:val="24"/>
                    <w:lang w:eastAsia="lt-LT"/>
                  </w:rPr>
                  <w:t>Kibernetinis incidentas</w:t>
                </w:r>
              </w:p>
            </w:tc>
            <w:tc>
              <w:tcPr>
                <w:tcW w:w="1517" w:type="dxa"/>
                <w:tcBorders>
                  <w:top w:val="nil"/>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Žemas</w:t>
                </w:r>
              </w:p>
            </w:tc>
            <w:tc>
              <w:tcPr>
                <w:tcW w:w="1949" w:type="dxa"/>
                <w:tcBorders>
                  <w:top w:val="nil"/>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ALFA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Kasdienių užduočių ir standartinių veiklos procedūrų objekte vykdymas vadovaujantis saugumo planu.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Vidutinis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BRAVO</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žemam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Operatyvus pasikeitimas informacija su ypatingos svarbos informacinės infrastruktūros valdytoju (NKSC teikia rekomendacijas valdytojui dėl būtinų priemonių taikymo).</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Aukštas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CHARLIE</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vidutiniam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Ypatingos svarbos informacinės infrastruktūros valdytojo ir NKSC suderintų priemonių vykdymas.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Aukščiausias</w:t>
                </w:r>
              </w:p>
            </w:tc>
            <w:tc>
              <w:tcPr>
                <w:tcW w:w="1949"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DELTA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aukštam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2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8"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Ypatingos svarbos informacinės infrastruktūros valdytojo ir NKSC suderintų priemonių vykdymas.</w:t>
                </w:r>
              </w:p>
            </w:tc>
            <w:tc>
              <w:tcPr>
                <w:tcW w:w="3170" w:type="dxa"/>
                <w:tcBorders>
                  <w:top w:val="nil"/>
                  <w:left w:val="nil"/>
                  <w:bottom w:val="single" w:sz="8"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223"/>
            </w:trPr>
            <w:tc>
              <w:tcPr>
                <w:tcW w:w="2518" w:type="dxa"/>
                <w:vMerge w:val="restart"/>
                <w:tcBorders>
                  <w:top w:val="nil"/>
                  <w:left w:val="single" w:sz="8" w:space="0" w:color="auto"/>
                  <w:bottom w:val="single" w:sz="8" w:space="0" w:color="000000"/>
                  <w:right w:val="single" w:sz="4" w:space="0" w:color="auto"/>
                </w:tcBorders>
                <w:shd w:val="clear" w:color="auto" w:fill="auto"/>
                <w:vAlign w:val="center"/>
                <w:hideMark/>
              </w:tcPr>
              <w:p>
                <w:pPr>
                  <w:rPr>
                    <w:color w:val="000000"/>
                    <w:szCs w:val="24"/>
                    <w:lang w:eastAsia="lt-LT"/>
                  </w:rPr>
                </w:pPr>
                <w:r>
                  <w:rPr>
                    <w:color w:val="000000"/>
                    <w:szCs w:val="24"/>
                    <w:lang w:eastAsia="lt-LT"/>
                  </w:rPr>
                  <w:t>Hibridinės grėsmės</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Žemas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ALFA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Kasdienių užduočių ir standartinių veiklos procedūrų objekte vykdymas vadovaujantis saugumo planu. Apsaugos pamainos darbuotojų standartinis amunicijos komplektas.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Apsaugos pamainos darbuotojų informavimas apie galimą grėsmę.</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83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Operatyvus pasikeitimas informacija su PD, VST, taip pat VSAT (jeigu objektas yra pasienio ruože ar pasienio kontrolės punkte), apsaugos tarnyba (jeigu svarbaus valstybės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Papildomų pajėgų iškvietimo ir veiksmų sinchronizavimo schemos patikrinimas.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214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Sąveikos algoritmo (mechanizmo) tarp PD, VST, taip pat VSAT (jeigu objektas yra pasienio ruože ar pasienio kontrolės punkte), apsaugos tarnybos (jeigu svarbaus valstybės objekto fizinę apsaugą vykdo privati apsaugos tarnyba) ir objekto valdytojo veikimo patikrinimas.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Vidutinis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BRAVO</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žemam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Techninių fizinės ir elektroninės saugos užtikrinimo priemonių, įrengtų objekte, būklės patikra, intensyvesnė nuolatinė stebėsena.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Ginkluotės, specialiųjų, asmens apsaugos priemonių ir amunicijos patikra bei apsaugos pamainos darbuotojų aprūpinimas papildoma amunicija.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Apsaugos pamainos darbuotojų operatyvus instruktavimas atsižvelgiant į atnaujintą informaciją.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214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Operatyvus pasikeitimas atnaujinta informacija su PD, VST, taip pat VSAT (jeigu objektas yra pasienio ruože ar pasienio kontrolės punkte, teritorinėje jūroje bei Klaipėdos valstybinio jūrų uosto akvatorijoje), apsaugos tarnyba (jeigu svarbaus valstybės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Sustiprinamas objekto teritorijos ir prieigų stebėjimas siekiant nustatyti įtartinus asmenis, daiktus bei užkardyti galimas grėsmes. </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7.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Aukštas</w:t>
                </w:r>
              </w:p>
            </w:tc>
            <w:tc>
              <w:tcPr>
                <w:tcW w:w="1949" w:type="dxa"/>
                <w:vMerge w:val="restart"/>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CHARLIE</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vidutiniam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83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PD, VST, taip pat VSAT (jeigu objektas yra pasienio ruože ar pasienio kontrolės punkte) pareigūnų operatyvaus reagavimo rezervo formavimas (budėjimų namuose ir (ar) įstaigoje organizavimas).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Apsaugos pamainos budinčių patrulių veiklos organizavimas.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223"/>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Objekto apsauga sustiprinama papildomai skiriant vidaus reikalų ministro valdymo srities statutinių įstaigų pareigūnus, esant poreikiui – papildomai pasitelkiant LŠS narius.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5. Apsaugos pamainos darbuotojų operatyvus instruktavimas, atsižvelgiant į atnaujintą informaciją.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623"/>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6. Operatyvus pasikeitimas atnaujinta informacija su PD, VST, taip pat VSAT (jeigu objektas yra pasienio ruože ar pasienio kontrolės punkte), NKVC, VRM, apsaugos tarnyba (jeigu objekto fizinę apsaugą vykdo privati apsaugos tarnyba) ir objekto valdytoju.</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7. Sustiprinama asmenų ir transporto priemonių patekimo į objektą ir (ar) jo teritoriją kontrolė (nuodugnus tikrinimas).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305"/>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8. Aktyvuojama bepiločių orlaivių neutralizavimo įranga.</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917"/>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9. Inicijuojamos konsultacijos su Krašto apsaugos ministerijos dėl LK vienetų pasitelkimo siekiant sustiprinti objektų apsaugą.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10. Pasirengimas vykdyti aukštesnio grėsmės lygio saugumo priemones.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1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Aukščiausias</w:t>
                </w:r>
              </w:p>
            </w:tc>
            <w:tc>
              <w:tcPr>
                <w:tcW w:w="1949" w:type="dxa"/>
                <w:vMerge w:val="restart"/>
                <w:tcBorders>
                  <w:top w:val="nil"/>
                  <w:left w:val="single" w:sz="4" w:space="0" w:color="auto"/>
                  <w:bottom w:val="single" w:sz="8" w:space="0" w:color="000000"/>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DELTA</w:t>
                </w: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1. Vykdomos aukštam grėsmės lygiui nustatytos saugumo priemonės.</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223"/>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2. Taikomos kompleksinės-organizacinės priemonės (fortifikacijų įrengimas, pagalba objekto valdytojui dėl personalo evakuacijos ir kt.), mažinančios svarbaus valstybės objekto pažeidžiamumą.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1086"/>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4"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3. Lietuvos Respublikos krašto apsaugos sistemos organizavimo ir karo tarnybos įstatyme nustatytais pagrindais pasitelkiami LK vienetai siekiant sustiprinti objekto apsaugą ir (ar) ginti objektą.</w:t>
                </w:r>
              </w:p>
            </w:tc>
            <w:tc>
              <w:tcPr>
                <w:tcW w:w="3170" w:type="dxa"/>
                <w:tcBorders>
                  <w:top w:val="nil"/>
                  <w:left w:val="nil"/>
                  <w:bottom w:val="single" w:sz="4"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r>
            <w:trPr>
              <w:trHeight w:val="621"/>
            </w:trPr>
            <w:tc>
              <w:tcPr>
                <w:tcW w:w="2518" w:type="dxa"/>
                <w:vMerge/>
                <w:tcBorders>
                  <w:top w:val="nil"/>
                  <w:left w:val="single" w:sz="8" w:space="0" w:color="auto"/>
                  <w:bottom w:val="single" w:sz="8" w:space="0" w:color="000000"/>
                  <w:right w:val="single" w:sz="4" w:space="0" w:color="auto"/>
                </w:tcBorders>
                <w:vAlign w:val="center"/>
                <w:hideMark/>
              </w:tcPr>
              <w:p>
                <w:pPr>
                  <w:rPr>
                    <w:color w:val="000000"/>
                    <w:szCs w:val="24"/>
                    <w:lang w:eastAsia="lt-LT"/>
                  </w:rPr>
                </w:pPr>
              </w:p>
            </w:tc>
            <w:tc>
              <w:tcPr>
                <w:tcW w:w="1517"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1949" w:type="dxa"/>
                <w:vMerge/>
                <w:tcBorders>
                  <w:top w:val="nil"/>
                  <w:left w:val="single" w:sz="4" w:space="0" w:color="auto"/>
                  <w:bottom w:val="single" w:sz="8" w:space="0" w:color="000000"/>
                  <w:right w:val="single" w:sz="4" w:space="0" w:color="auto"/>
                </w:tcBorders>
                <w:vAlign w:val="center"/>
                <w:hideMark/>
              </w:tcPr>
              <w:p>
                <w:pPr>
                  <w:rPr>
                    <w:color w:val="000000"/>
                    <w:szCs w:val="24"/>
                    <w:lang w:eastAsia="lt-LT"/>
                  </w:rPr>
                </w:pPr>
              </w:p>
            </w:tc>
            <w:tc>
              <w:tcPr>
                <w:tcW w:w="5295" w:type="dxa"/>
                <w:tcBorders>
                  <w:top w:val="nil"/>
                  <w:left w:val="nil"/>
                  <w:bottom w:val="single" w:sz="8" w:space="0" w:color="auto"/>
                  <w:right w:val="single" w:sz="4" w:space="0" w:color="auto"/>
                </w:tcBorders>
                <w:shd w:val="clear" w:color="auto" w:fill="auto"/>
                <w:vAlign w:val="center"/>
                <w:hideMark/>
              </w:tcPr>
              <w:p>
                <w:pPr>
                  <w:jc w:val="both"/>
                  <w:rPr>
                    <w:color w:val="000000"/>
                    <w:szCs w:val="24"/>
                    <w:lang w:eastAsia="lt-LT"/>
                  </w:rPr>
                </w:pPr>
                <w:r>
                  <w:rPr>
                    <w:color w:val="000000"/>
                    <w:szCs w:val="24"/>
                    <w:lang w:eastAsia="lt-LT"/>
                  </w:rPr>
                  <w:t>4. Pasitvirtinus grėsmei vykdomos neteisėtos veiklos užkardymo ir pasekmių likvidavimo priemonės.</w:t>
                </w:r>
              </w:p>
            </w:tc>
            <w:tc>
              <w:tcPr>
                <w:tcW w:w="3170" w:type="dxa"/>
                <w:tcBorders>
                  <w:top w:val="nil"/>
                  <w:left w:val="nil"/>
                  <w:bottom w:val="single" w:sz="8" w:space="0" w:color="auto"/>
                  <w:right w:val="single" w:sz="8" w:space="0" w:color="auto"/>
                </w:tcBorders>
                <w:shd w:val="clear" w:color="auto" w:fill="auto"/>
                <w:noWrap/>
                <w:vAlign w:val="bottom"/>
                <w:hideMark/>
              </w:tcPr>
              <w:p>
                <w:pPr>
                  <w:ind w:firstLine="62"/>
                  <w:rPr>
                    <w:rFonts w:ascii="Aptos Narrow" w:hAnsi="Aptos Narrow"/>
                    <w:color w:val="000000"/>
                    <w:sz w:val="22"/>
                    <w:szCs w:val="22"/>
                    <w:lang w:eastAsia="lt-LT"/>
                  </w:rPr>
                </w:pPr>
              </w:p>
            </w:tc>
          </w:tr>
        </w:tbl>
        <w:sdt>
          <w:sdtPr>
            <w:alias w:val="signatura"/>
            <w:tag w:val="part_693ab096e9d248ba878dd80d6e47ff73"/>
            <w:lock w:val="sdtLocked"/>
            <w:richText/>
          </w:sdtPr>
          <w:sdtContent>
            <w:p>
              <w:pPr>
                <w:spacing w:line="278" w:lineRule="auto"/>
                <w:jc w:val="center"/>
                <w:rPr>
                  <w:kern w:val="2"/>
                  <w:szCs w:val="24"/>
                  <w:lang w:val="en-US"/>
                </w:rPr>
              </w:pPr>
              <w:r>
                <w:rPr>
                  <w:kern w:val="2"/>
                  <w:szCs w:val="24"/>
                </w:rPr>
                <w:t>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080" w:right="1440" w:bottom="108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Narrow">
    <w:altName w:val="Arial"/>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6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CA4DD0-D1D0-4F70-8473-E7D7E3D31D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2049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9563bef2871a44d7838c8dadfbb7b183" PartId="e862af7c8dc94f01b20a3397fdfa050e">
    <Part Type="skirsnis" Title="(Saugumo užtikrinimo ir reagavimo priemonių pavyzdinė forma)" DocPartId="c014e6b953954c62b084b75e5beb5c1f" PartId="e0635bae19de4782841841936dc3f615"/>
  </Part>
  <Part Type="lentele" Title="SAUGUMO UŽTIKRINIMO IR REAGAVIMO PRIEMONĖS" DocPartId="fdb41b345e6c4f13b6ae552c3c937c38" PartId="be0d6a6f7c9a448587584d9344c03739">
    <Part Type="signatura" DocPartId="64e2e1c6ce0f4df59a6cd7de1f917f99" PartId="693ab096e9d248ba878dd80d6e47ff73"/>
  </Part>
</Parts>
</file>

<file path=customXml/itemProps1.xml><?xml version="1.0" encoding="utf-8"?>
<ds:datastoreItem xmlns:ds="http://schemas.openxmlformats.org/officeDocument/2006/customXml" ds:itemID="{27CA8231-AC46-439A-984E-89E6B0B09AA4}">
  <ds:schemaRefs>
    <ds:schemaRef ds:uri="http://schemas.openxmlformats.org/officeDocument/2006/bibliography"/>
  </ds:schemaRefs>
</ds:datastoreItem>
</file>

<file path=customXml/itemProps2.xml><?xml version="1.0" encoding="utf-8"?>
<ds:datastoreItem xmlns:ds="http://schemas.openxmlformats.org/officeDocument/2006/customXml" ds:itemID="{0509F469-7531-4467-8D24-09D105C13E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1436</Words>
  <Characters>10445</Characters>
  <Application>Microsoft Office Word</Application>
  <DocSecurity>4</DocSecurity>
  <Lines>652</Lines>
  <Paragraphs>146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11735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2024-10-24T12:56:00Z</dcterms:created>
  <dc:creator>Laura Masiliauskaitė</dc:creator>
  <lastModifiedBy>adlibuser</lastModifiedBy>
  <dcterms:modified xsi:type="dcterms:W3CDTF">2024-10-24T12:56:00Z</dcterms:modified>
  <revision>2</revision>
</coreProperties>
</file>