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lentele"/>
        <w:tag w:val="part_887ad0c8d4704ff7bf81e17bfc00860c"/>
        <w:lock w:val="sdtLocked"/>
        <w:richText/>
      </w:sdtPr>
      <w:sdtContent>
        <w:tbl>
          <w:tblPr>
            <w:tblW w:w="9638" w:type="dxa"/>
            <w:tblInd w:w="55" w:type="dxa"/>
            <w:tblLayout w:type="fixed"/>
            <w:tblCellMar>
              <w:top w:w="55" w:type="dxa"/>
              <w:left w:w="55" w:type="dxa"/>
              <w:bottom w:w="55" w:type="dxa"/>
              <w:right w:w="55" w:type="dxa"/>
            </w:tblCellMar>
            <w:tblLook w:val="0000" w:firstRow="0" w:lastRow="0" w:firstColumn="0" w:lastColumn="0" w:noHBand="0" w:noVBand="0"/>
          </w:tblPr>
          <w:tblGrid>
            <w:gridCol w:w="4817"/>
            <w:gridCol w:w="282"/>
            <w:gridCol w:w="1841"/>
            <w:gridCol w:w="565"/>
            <w:gridCol w:w="2133"/>
          </w:tblGrid>
          <w:tr>
            <w:tc>
              <w:tcPr>
                <w:tcW w:w="9638" w:type="dxa"/>
                <w:gridSpan w:val="5"/>
                <w:tcBorders>
                  <w:bottom w:val="single" w:sz="4" w:space="0" w:color="000000"/>
                </w:tcBorders>
              </w:tcPr>
              <w:p>
                <w:pPr>
                  <w:suppressLineNumbers/>
                  <w:tabs>
                    <w:tab w:val="center" w:pos="4800"/>
                    <w:tab w:val="right" w:pos="9601"/>
                  </w:tabs>
                  <w:jc w:val="both"/>
                  <w:rPr>
                    <w:rFonts w:eastAsia="Andale Sans UI" w:cs="Tahoma"/>
                    <w:szCs w:val="24"/>
                    <w:lang w:bidi="en-US"/>
                  </w:rPr>
                </w:pPr>
              </w:p>
              <w:p>
                <w:pPr>
                  <w:suppressLineNumbers/>
                  <w:jc w:val="center"/>
                  <w:rPr>
                    <w:rFonts w:eastAsia="Andale Sans UI" w:cs="Tahoma"/>
                    <w:b/>
                    <w:bCs/>
                    <w:spacing w:val="20"/>
                    <w:szCs w:val="24"/>
                    <w:lang w:bidi="en-US"/>
                  </w:rPr>
                </w:pPr>
                <w:r>
                  <w:rPr>
                    <w:rFonts w:eastAsia="Andale Sans UI" w:cs="Tahoma"/>
                    <w:b/>
                    <w:spacing w:val="20"/>
                    <w:sz w:val="26"/>
                    <w:szCs w:val="26"/>
                    <w:lang w:val="en-US"/>
                  </w:rPr>
                  <w:drawing>
                    <wp:inline distT="0" distB="0" distL="0" distR="0" wp14:anchorId="47B4FF70" wp14:editId="05B85950">
                      <wp:extent cx="523875" cy="619125"/>
                      <wp:effectExtent l="0" t="0" r="0" b="0"/>
                      <wp:docPr id="1"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23875" cy="619125"/>
                              </a:xfrm>
                              <a:prstGeom prst="rect">
                                <a:avLst/>
                              </a:prstGeom>
                              <a:solidFill>
                                <a:srgbClr val="FFFFFF">
                                  <a:alpha val="0"/>
                                </a:srgbClr>
                              </a:solidFill>
                              <a:ln>
                                <a:noFill/>
                              </a:ln>
                            </pic:spPr>
                          </pic:pic>
                        </a:graphicData>
                      </a:graphic>
                    </wp:inline>
                  </w:drawing>
                </w:r>
              </w:p>
              <w:p>
                <w:pPr>
                  <w:rPr>
                    <w:sz w:val="10"/>
                    <w:szCs w:val="10"/>
                  </w:rPr>
                </w:pPr>
              </w:p>
              <w:p>
                <w:pPr>
                  <w:suppressLineNumbers/>
                  <w:jc w:val="center"/>
                  <w:rPr>
                    <w:rFonts w:eastAsia="Andale Sans UI" w:cs="Tahoma"/>
                    <w:b/>
                    <w:bCs/>
                    <w:spacing w:val="20"/>
                    <w:szCs w:val="24"/>
                    <w:lang w:bidi="en-US"/>
                  </w:rPr>
                </w:pPr>
                <w:r>
                  <w:rPr>
                    <w:rFonts w:eastAsia="Andale Sans UI" w:cs="Tahoma"/>
                    <w:b/>
                    <w:bCs/>
                    <w:spacing w:val="20"/>
                    <w:szCs w:val="24"/>
                    <w:lang w:bidi="en-US"/>
                  </w:rPr>
                  <w:t>LIETUVOS RESPUBLIKOS APLINKOS MINISTERIJA</w:t>
                </w:r>
              </w:p>
              <w:p>
                <w:pPr>
                  <w:rPr>
                    <w:sz w:val="10"/>
                    <w:szCs w:val="10"/>
                  </w:rPr>
                </w:pPr>
              </w:p>
              <w:p>
                <w:pPr>
                  <w:suppressLineNumbers/>
                  <w:jc w:val="center"/>
                  <w:rPr>
                    <w:rFonts w:eastAsia="Andale Sans UI"/>
                    <w:spacing w:val="12"/>
                    <w:sz w:val="16"/>
                    <w:szCs w:val="16"/>
                    <w:lang w:bidi="en-US"/>
                  </w:rPr>
                </w:pPr>
                <w:r>
                  <w:rPr>
                    <w:rFonts w:eastAsia="Andale Sans UI"/>
                    <w:spacing w:val="12"/>
                    <w:sz w:val="16"/>
                    <w:szCs w:val="16"/>
                    <w:lang w:bidi="en-US"/>
                  </w:rPr>
                  <w:t>Biudžetinė įstaiga, A. Jakšto g. 4, LT-01105 Vilnius,</w:t>
                </w:r>
              </w:p>
              <w:p>
                <w:pPr>
                  <w:suppressLineNumbers/>
                  <w:jc w:val="center"/>
                  <w:rPr>
                    <w:rFonts w:eastAsia="Andale Sans UI"/>
                    <w:spacing w:val="12"/>
                    <w:sz w:val="16"/>
                    <w:szCs w:val="16"/>
                    <w:lang w:bidi="en-US"/>
                  </w:rPr>
                </w:pPr>
                <w:r>
                  <w:rPr>
                    <w:rFonts w:eastAsia="Andale Sans UI"/>
                    <w:spacing w:val="12"/>
                    <w:sz w:val="16"/>
                    <w:szCs w:val="16"/>
                    <w:lang w:bidi="en-US"/>
                  </w:rPr>
                  <w:t>tel. +370 626 22 252, el. p. info@am.lt, https://am.lrv.lt.</w:t>
                </w:r>
              </w:p>
              <w:p>
                <w:pPr>
                  <w:suppressLineNumbers/>
                  <w:jc w:val="center"/>
                  <w:rPr>
                    <w:rFonts w:ascii="Arial" w:eastAsia="Andale Sans UI" w:hAnsi="Arial" w:cs="Tahoma"/>
                    <w:b/>
                    <w:bCs/>
                    <w:spacing w:val="12"/>
                    <w:sz w:val="14"/>
                    <w:szCs w:val="14"/>
                    <w:lang w:bidi="en-US"/>
                  </w:rPr>
                </w:pPr>
                <w:r>
                  <w:rPr>
                    <w:rFonts w:eastAsia="Andale Sans UI"/>
                    <w:spacing w:val="12"/>
                    <w:sz w:val="16"/>
                    <w:szCs w:val="16"/>
                    <w:lang w:bidi="en-US"/>
                  </w:rPr>
                  <w:t>Duomenys kaupiami ir saugomi Juridinių asmenų registre, kodas 188602370</w:t>
                </w:r>
              </w:p>
            </w:tc>
          </w:tr>
          <w:tr>
            <w:tc>
              <w:tcPr>
                <w:tcW w:w="9638" w:type="dxa"/>
                <w:gridSpan w:val="5"/>
                <w:tcMar>
                  <w:top w:w="0" w:type="dxa"/>
                  <w:left w:w="0" w:type="dxa"/>
                  <w:bottom w:w="0" w:type="dxa"/>
                  <w:right w:w="0" w:type="dxa"/>
                </w:tcMar>
              </w:tcPr>
              <w:p>
                <w:pPr>
                  <w:suppressLineNumbers/>
                  <w:jc w:val="both"/>
                  <w:rPr>
                    <w:rFonts w:eastAsia="Andale Sans UI" w:cs="Tahoma"/>
                    <w:szCs w:val="24"/>
                    <w:lang w:bidi="en-US"/>
                  </w:rPr>
                </w:pPr>
              </w:p>
            </w:tc>
          </w:tr>
          <w:tr>
            <w:trPr>
              <w:cantSplit/>
              <w:trHeight w:val="340"/>
            </w:trPr>
            <w:tc>
              <w:tcPr>
                <w:tcW w:w="4817" w:type="dxa"/>
                <w:vMerge w:val="restart"/>
                <w:tcMar>
                  <w:top w:w="0" w:type="dxa"/>
                  <w:left w:w="0" w:type="dxa"/>
                  <w:bottom w:w="0" w:type="dxa"/>
                  <w:right w:w="0" w:type="dxa"/>
                </w:tcMar>
              </w:tcPr>
              <w:p>
                <w:pPr>
                  <w:suppressLineNumbers/>
                  <w:jc w:val="both"/>
                  <w:rPr>
                    <w:rFonts w:eastAsia="Andale Sans UI" w:cs="Tahoma"/>
                    <w:szCs w:val="24"/>
                    <w:lang w:bidi="en-US"/>
                  </w:rPr>
                </w:pPr>
                <w:r>
                  <w:rPr>
                    <w:rFonts w:eastAsia="Andale Sans UI" w:cs="Tahoma"/>
                    <w:szCs w:val="24"/>
                    <w:lang w:bidi="en-US"/>
                  </w:rPr>
                  <w:t>Pagal adresatų sąrašą</w:t>
                </w:r>
              </w:p>
              <w:p>
                <w:pPr>
                  <w:suppressLineNumbers/>
                  <w:jc w:val="both"/>
                  <w:rPr>
                    <w:rFonts w:eastAsia="Andale Sans UI" w:cs="Tahoma"/>
                    <w:szCs w:val="24"/>
                    <w:lang w:bidi="en-US"/>
                  </w:rPr>
                </w:pPr>
              </w:p>
              <w:p>
                <w:pPr>
                  <w:suppressLineNumbers/>
                  <w:jc w:val="both"/>
                  <w:rPr>
                    <w:rFonts w:eastAsia="Andale Sans UI" w:cs="Tahoma"/>
                    <w:spacing w:val="10"/>
                    <w:szCs w:val="24"/>
                    <w:lang w:bidi="en-US"/>
                  </w:rPr>
                </w:pPr>
              </w:p>
              <w:p>
                <w:pPr>
                  <w:suppressLineNumbers/>
                  <w:jc w:val="both"/>
                  <w:rPr>
                    <w:rFonts w:eastAsia="Andale Sans UI" w:cs="Tahoma"/>
                    <w:spacing w:val="10"/>
                    <w:szCs w:val="24"/>
                    <w:lang w:bidi="en-US"/>
                  </w:rPr>
                </w:pPr>
              </w:p>
            </w:tc>
            <w:tc>
              <w:tcPr>
                <w:tcW w:w="282" w:type="dxa"/>
                <w:tcMar>
                  <w:top w:w="0" w:type="dxa"/>
                  <w:left w:w="0" w:type="dxa"/>
                  <w:bottom w:w="0" w:type="dxa"/>
                  <w:right w:w="0" w:type="dxa"/>
                </w:tcMar>
              </w:tcPr>
              <w:p>
                <w:pPr>
                  <w:ind w:right="67"/>
                  <w:jc w:val="right"/>
                  <w:rPr>
                    <w:rFonts w:eastAsia="Andale Sans UI" w:cs="Tahoma"/>
                    <w:spacing w:val="10"/>
                    <w:szCs w:val="24"/>
                    <w:lang w:bidi="en-US"/>
                  </w:rPr>
                </w:pPr>
              </w:p>
            </w:tc>
            <w:tc>
              <w:tcPr>
                <w:tcW w:w="1841" w:type="dxa"/>
                <w:tcMar>
                  <w:top w:w="0" w:type="dxa"/>
                  <w:left w:w="0" w:type="dxa"/>
                  <w:bottom w:w="0" w:type="dxa"/>
                  <w:right w:w="0" w:type="dxa"/>
                </w:tcMar>
              </w:tcPr>
              <w:p>
                <w:pPr>
                  <w:suppressLineNumbers/>
                  <w:ind w:right="67"/>
                  <w:jc w:val="both"/>
                  <w:rPr>
                    <w:rFonts w:eastAsia="Andale Sans UI" w:cs="Tahoma"/>
                    <w:szCs w:val="24"/>
                    <w:lang w:bidi="en-US"/>
                  </w:rPr>
                </w:pPr>
              </w:p>
            </w:tc>
            <w:tc>
              <w:tcPr>
                <w:tcW w:w="565" w:type="dxa"/>
              </w:tcPr>
              <w:p>
                <w:pPr>
                  <w:ind w:right="67"/>
                  <w:jc w:val="right"/>
                  <w:rPr>
                    <w:rFonts w:eastAsia="Andale Sans UI" w:cs="Tahoma"/>
                    <w:spacing w:val="10"/>
                    <w:szCs w:val="24"/>
                    <w:lang w:bidi="en-US"/>
                  </w:rPr>
                </w:pPr>
                <w:r>
                  <w:rPr>
                    <w:rFonts w:eastAsia="Andale Sans UI" w:cs="Tahoma"/>
                    <w:spacing w:val="10"/>
                    <w:szCs w:val="24"/>
                    <w:lang w:bidi="en-US"/>
                  </w:rPr>
                  <w:t>Nr.</w:t>
                </w:r>
              </w:p>
            </w:tc>
            <w:tc>
              <w:tcPr>
                <w:tcW w:w="2133" w:type="dxa"/>
              </w:tcPr>
              <w:p>
                <w:pPr>
                  <w:suppressLineNumbers/>
                  <w:ind w:right="67"/>
                  <w:jc w:val="both"/>
                  <w:rPr>
                    <w:rFonts w:eastAsia="Andale Sans UI" w:cs="Tahoma"/>
                    <w:szCs w:val="24"/>
                    <w:lang w:bidi="en-US"/>
                  </w:rPr>
                </w:pPr>
              </w:p>
            </w:tc>
          </w:tr>
          <w:tr>
            <w:trPr>
              <w:cantSplit/>
              <w:trHeight w:val="340"/>
            </w:trPr>
            <w:tc>
              <w:tcPr>
                <w:tcW w:w="4817" w:type="dxa"/>
                <w:vMerge/>
                <w:tcMar>
                  <w:top w:w="0" w:type="dxa"/>
                  <w:left w:w="0" w:type="dxa"/>
                  <w:bottom w:w="0" w:type="dxa"/>
                  <w:right w:w="0" w:type="dxa"/>
                </w:tcMar>
              </w:tcPr>
              <w:p/>
            </w:tc>
            <w:tc>
              <w:tcPr>
                <w:tcW w:w="282" w:type="dxa"/>
                <w:tcMar>
                  <w:top w:w="0" w:type="dxa"/>
                  <w:left w:w="0" w:type="dxa"/>
                  <w:bottom w:w="0" w:type="dxa"/>
                  <w:right w:w="0" w:type="dxa"/>
                </w:tcMar>
              </w:tcPr>
              <w:p>
                <w:pPr>
                  <w:tabs>
                    <w:tab w:val="left" w:pos="2869"/>
                  </w:tabs>
                  <w:ind w:right="67"/>
                  <w:jc w:val="right"/>
                  <w:rPr>
                    <w:rFonts w:eastAsia="Andale Sans UI" w:cs="Tahoma"/>
                    <w:spacing w:val="10"/>
                    <w:szCs w:val="24"/>
                    <w:lang w:bidi="en-US"/>
                  </w:rPr>
                </w:pPr>
                <w:r>
                  <w:rPr>
                    <w:rFonts w:eastAsia="Andale Sans UI" w:cs="Tahoma"/>
                    <w:spacing w:val="10"/>
                    <w:szCs w:val="24"/>
                    <w:lang w:bidi="en-US"/>
                  </w:rPr>
                  <w:t>Į</w:t>
                </w:r>
              </w:p>
            </w:tc>
            <w:tc>
              <w:tcPr>
                <w:tcW w:w="1841" w:type="dxa"/>
                <w:tcMar>
                  <w:top w:w="0" w:type="dxa"/>
                  <w:left w:w="0" w:type="dxa"/>
                  <w:bottom w:w="0" w:type="dxa"/>
                  <w:right w:w="0" w:type="dxa"/>
                </w:tcMar>
              </w:tcPr>
              <w:p>
                <w:pPr>
                  <w:suppressLineNumbers/>
                  <w:ind w:right="67"/>
                  <w:jc w:val="both"/>
                  <w:rPr>
                    <w:rFonts w:eastAsia="Andale Sans UI" w:cs="Tahoma"/>
                    <w:szCs w:val="24"/>
                    <w:lang w:bidi="en-US"/>
                  </w:rPr>
                </w:pPr>
              </w:p>
            </w:tc>
            <w:tc>
              <w:tcPr>
                <w:tcW w:w="565" w:type="dxa"/>
              </w:tcPr>
              <w:p>
                <w:pPr>
                  <w:tabs>
                    <w:tab w:val="left" w:pos="2869"/>
                  </w:tabs>
                  <w:ind w:right="67"/>
                  <w:jc w:val="right"/>
                  <w:rPr>
                    <w:rFonts w:eastAsia="Andale Sans UI" w:cs="Tahoma"/>
                    <w:spacing w:val="10"/>
                    <w:szCs w:val="24"/>
                    <w:lang w:bidi="en-US"/>
                  </w:rPr>
                </w:pPr>
                <w:r>
                  <w:rPr>
                    <w:rFonts w:eastAsia="Andale Sans UI" w:cs="Tahoma"/>
                    <w:spacing w:val="10"/>
                    <w:szCs w:val="24"/>
                    <w:lang w:bidi="en-US"/>
                  </w:rPr>
                  <w:t>Nr.</w:t>
                </w:r>
              </w:p>
            </w:tc>
            <w:tc>
              <w:tcPr>
                <w:tcW w:w="2133" w:type="dxa"/>
              </w:tcPr>
              <w:p>
                <w:pPr>
                  <w:suppressLineNumbers/>
                  <w:ind w:right="67"/>
                  <w:jc w:val="both"/>
                  <w:rPr>
                    <w:rFonts w:eastAsia="Andale Sans UI" w:cs="Tahoma"/>
                    <w:szCs w:val="24"/>
                    <w:lang w:bidi="en-US"/>
                  </w:rPr>
                </w:pPr>
              </w:p>
            </w:tc>
          </w:tr>
          <w:tr>
            <w:trPr>
              <w:cantSplit/>
            </w:trPr>
            <w:tc>
              <w:tcPr>
                <w:tcW w:w="4817" w:type="dxa"/>
                <w:vMerge/>
                <w:tcMar>
                  <w:top w:w="0" w:type="dxa"/>
                  <w:left w:w="0" w:type="dxa"/>
                  <w:bottom w:w="0" w:type="dxa"/>
                  <w:right w:w="0" w:type="dxa"/>
                </w:tcMar>
              </w:tcPr>
              <w:p/>
            </w:tc>
            <w:tc>
              <w:tcPr>
                <w:tcW w:w="4821" w:type="dxa"/>
                <w:gridSpan w:val="4"/>
                <w:tcMar>
                  <w:top w:w="0" w:type="dxa"/>
                  <w:left w:w="0" w:type="dxa"/>
                  <w:bottom w:w="0" w:type="dxa"/>
                  <w:right w:w="0" w:type="dxa"/>
                </w:tcMar>
              </w:tcPr>
              <w:p>
                <w:pPr>
                  <w:tabs>
                    <w:tab w:val="left" w:pos="2869"/>
                  </w:tabs>
                  <w:ind w:right="67"/>
                  <w:jc w:val="both"/>
                  <w:rPr>
                    <w:rFonts w:eastAsia="Andale Sans UI" w:cs="Tahoma"/>
                    <w:spacing w:val="10"/>
                    <w:szCs w:val="24"/>
                    <w:lang w:bidi="en-US"/>
                  </w:rPr>
                </w:pPr>
              </w:p>
            </w:tc>
          </w:tr>
          <w:tr>
            <w:trPr>
              <w:trHeight w:val="340"/>
            </w:trPr>
            <w:tc>
              <w:tcPr>
                <w:tcW w:w="9638" w:type="dxa"/>
                <w:gridSpan w:val="5"/>
                <w:tcMar>
                  <w:top w:w="0" w:type="dxa"/>
                  <w:left w:w="0" w:type="dxa"/>
                  <w:bottom w:w="0" w:type="dxa"/>
                  <w:right w:w="0" w:type="dxa"/>
                </w:tcMar>
              </w:tcPr>
              <w:p>
                <w:pPr>
                  <w:suppressLineNumbers/>
                  <w:spacing w:line="276" w:lineRule="auto"/>
                  <w:jc w:val="both"/>
                  <w:rPr>
                    <w:rFonts w:eastAsia="Andale Sans UI" w:cs="Tahoma"/>
                    <w:b/>
                    <w:szCs w:val="24"/>
                    <w:lang w:eastAsia="lt-LT" w:bidi="en-US"/>
                  </w:rPr>
                </w:pPr>
                <w:r>
                  <w:rPr>
                    <w:rFonts w:eastAsia="Andale Sans UI" w:cs="Tahoma"/>
                    <w:b/>
                    <w:caps/>
                    <w:szCs w:val="24"/>
                    <w:lang w:bidi="en-US"/>
                  </w:rPr>
                  <w:t xml:space="preserve">DĖL </w:t>
                </w:r>
                <w:r>
                  <w:rPr>
                    <w:rFonts w:eastAsia="Andale Sans UI" w:cs="Tahoma"/>
                    <w:b/>
                    <w:szCs w:val="24"/>
                    <w:lang w:eastAsia="lt-LT" w:bidi="en-US"/>
                  </w:rPr>
                  <w:t>APLINKOS MINISTRO ĮSAKYMO PROJEKTO DERINIMO</w:t>
                </w:r>
              </w:p>
              <w:p>
                <w:pPr>
                  <w:suppressLineNumbers/>
                  <w:spacing w:line="276" w:lineRule="auto"/>
                  <w:jc w:val="both"/>
                  <w:rPr>
                    <w:rFonts w:eastAsia="Andale Sans UI" w:cs="Tahoma"/>
                    <w:b/>
                    <w:bCs/>
                    <w:szCs w:val="24"/>
                    <w:lang w:bidi="en-US"/>
                  </w:rPr>
                </w:pPr>
              </w:p>
            </w:tc>
          </w:tr>
        </w:tbl>
        <w:p/>
      </w:sdtContent>
    </w:sdt>
    <w:sdt>
      <w:sdtPr>
        <w:alias w:val="pastraipa"/>
        <w:tag w:val="part_90b8e1008c064fbda07821db36bf5834"/>
        <w:lock w:val="sdtLocked"/>
        <w:richText/>
      </w:sdtPr>
      <w:sdtContent>
        <w:p>
          <w:pPr>
            <w:shd w:val="clear" w:color="auto" w:fill="FFFFFF"/>
            <w:ind w:firstLine="567"/>
            <w:jc w:val="both"/>
            <w:textAlignment w:val="center"/>
            <w:rPr>
              <w:rFonts w:eastAsia="Andale Sans UI"/>
              <w:szCs w:val="24"/>
              <w:lang w:bidi="en-US"/>
            </w:rPr>
          </w:pPr>
          <w:r>
            <w:rPr>
              <w:rFonts w:eastAsia="Andale Sans UI"/>
              <w:szCs w:val="24"/>
              <w:lang w:bidi="en-US"/>
            </w:rPr>
            <w:t>Aplinkos ministerija teikia derinti Lietuvos Respublikos aplinkos ministro įsakymo „Dėl</w:t>
          </w:r>
          <w:r>
            <w:rPr>
              <w:rFonts w:eastAsia="Andale Sans UI" w:cs="Tahoma"/>
              <w:szCs w:val="24"/>
              <w:lang w:bidi="en-US"/>
            </w:rPr>
            <w:t xml:space="preserve"> Lietuvos Respublikos aplinkos ministro 2004 m. spalio 19 d įsakymo Nr. D1-543 „Dėl </w:t>
          </w:r>
          <w:r>
            <w:rPr>
              <w:rFonts w:eastAsia="Andale Sans UI"/>
              <w:szCs w:val="24"/>
              <w:lang w:bidi="en-US"/>
            </w:rPr>
            <w:t>Nacionaliniam saugumui užtikrinti svarbių viešųjų geriamojo vandens tiekėjų ir nuotekų tvarkytojų ir jiems nuosavybes teise priklausančios ar kitaip valdomos ir (arba) naudojamos geriamojo vandens tiekimo ir (arba) nuotekų tvarkymo infrastruktūros fizinės ir veiklos apsaugos reikalavimų patvirtinimo“ pakeitimo“ projektą (toliau – Projektas).</w:t>
          </w:r>
        </w:p>
        <w:sdt>
          <w:sdtPr>
            <w:alias w:val="1 p."/>
            <w:tag w:val="part_6e57d7e55714417fba9f26d66254562b"/>
            <w:lock w:val="sdtLocked"/>
            <w:richText/>
          </w:sdtPr>
          <w:sdtContent>
            <w:p>
              <w:pPr>
                <w:ind w:firstLine="567"/>
                <w:jc w:val="both"/>
                <w:rPr>
                  <w:rFonts w:eastAsia="Andale Sans UI"/>
                  <w:szCs w:val="24"/>
                  <w:lang w:bidi="en-US"/>
                </w:rPr>
              </w:pPr>
              <w:sdt>
                <w:sdtPr>
                  <w:alias w:val="Numeris"/>
                  <w:tag w:val="nr_6e57d7e55714417fba9f26d66254562b"/>
                  <w:lock w:val="sdtLocked"/>
                  <w:richText/>
                </w:sdtPr>
                <w:sdtContent>
                  <w:r>
                    <w:rPr>
                      <w:rFonts w:eastAsia="Andale Sans UI"/>
                      <w:b/>
                      <w:bCs/>
                      <w:szCs w:val="24"/>
                      <w:lang w:bidi="en-US"/>
                    </w:rPr>
                    <w:t>1</w:t>
                  </w:r>
                </w:sdtContent>
              </w:sdt>
              <w:r>
                <w:rPr>
                  <w:rFonts w:eastAsia="Andale Sans UI"/>
                  <w:b/>
                  <w:bCs/>
                  <w:szCs w:val="24"/>
                  <w:lang w:bidi="en-US"/>
                </w:rPr>
                <w:t>. Projektu sprendžiama problema ir Projektą rengti paskatinusios priežastys</w:t>
              </w:r>
            </w:p>
            <w:p>
              <w:pPr>
                <w:ind w:firstLine="567"/>
                <w:jc w:val="both"/>
                <w:rPr>
                  <w:rFonts w:eastAsia="Andale Sans UI"/>
                  <w:szCs w:val="24"/>
                  <w:lang w:bidi="en-US"/>
                </w:rPr>
              </w:pPr>
              <w:r>
                <w:rPr>
                  <w:rFonts w:eastAsia="Andale Sans UI"/>
                  <w:szCs w:val="24"/>
                  <w:lang w:bidi="en-US"/>
                </w:rPr>
                <w:t>Pažymėtina, kad Lietuvos Respublikos aplinkos ministro įsakymo „Dėl Lietuvos Respublikos aplinkos ministro 2004 m. spalio 19 d įsakymo Nr. D1-543 „Dėl Nacionaliniam saugumui užtikrinti svarbių viešųjų geriamojo vandens tiekėjų ir nuotekų tvarkytojų ir jiems nuosavybes teise priklausančios ar kitaip valdomos ir (arba) naudojamos geriamojo vandens tiekimo ir (arba) nuotekų tvarkymo infrastruktūros fizinės ir veiklos apsaugos reikalavimų patvirtinimo“ (toliau – įsakymas) nuostatos taikomos rengiant saugumo planus</w:t>
              </w:r>
              <w:r>
                <w:rPr>
                  <w:rFonts w:eastAsia="Andale Sans UI"/>
                  <w:szCs w:val="24"/>
                  <w:vertAlign w:val="superscript"/>
                  <w:lang w:bidi="en-US"/>
                </w:rPr>
                <w:footnoteReference w:id="2"/>
              </w:r>
              <w:r>
                <w:rPr>
                  <w:rFonts w:eastAsia="Andale Sans UI"/>
                  <w:szCs w:val="24"/>
                  <w:lang w:bidi="en-US"/>
                </w:rPr>
                <w:t xml:space="preserve">, todėl š. m. birželio 1 d. įsigaliojus Lietuvos Respublikos Vyriausybės 2024 m. gegužės 22 d. nutarimui Nr. 389 „Dėl Lietuvos Respublikos Vyriausybės 2018 m. liepos 4 d. nutarimo Nr. 638 „Dėl Nacionaliniam saugumui užtikrinti svarbios įmonės saugumo plano reikalavimų ir rengimo tvarkos aprašo patvirtinimo“ pakeitimo“, reikia peržiūrėti įsakymo nuostatas, siekiant aiškiai reglamentuoti  fizinės apsaugos reikalavimus, įskaitant saugumo užtikrinimo ir reagavimo priemones, atsižvelgus į grėsmės lygius.</w:t>
              </w:r>
            </w:p>
            <w:p>
              <w:pPr>
                <w:ind w:firstLine="567"/>
                <w:jc w:val="both"/>
                <w:rPr>
                  <w:rFonts w:eastAsia="Andale Sans UI"/>
                  <w:szCs w:val="24"/>
                  <w:lang w:bidi="en-US"/>
                </w:rPr>
              </w:pPr>
              <w:r>
                <w:rPr>
                  <w:rFonts w:eastAsia="Andale Sans UI"/>
                  <w:szCs w:val="24"/>
                  <w:lang w:bidi="en-US"/>
                </w:rPr>
                <w:t xml:space="preserve">Šių metų vasarą, vizito vienoje svarbiausių vandentvarkos įmonių metu nustačius fizinės saugos ir veiklos tęstinumo užtikrinimo priemonių trūkumų,  inicijuota atlikti analizę. Ją atliekant  aplankyti penki strateginiai viešieji vandens tiekėjai ir nuotekų tvarkytojai (toliau – vandens tiekėjai), kurių tiekiamas vanduo sudaro apie pusę suvartojamo viso šalies geriamojo vandens, susipažinta su konkrečiuose kritiniuose objektuose (ne)taikomomis fizinės saugos priemonėmis ir jų būkle, įvertintas pasirengimas užtikrinti nepertraukiamą vandens tiekimą, susipažinta su šių įmonių saugumui ir atsparumui grėsmėms svarbiais dokumentais. Stebint, kaip teoriškai geri saugumo planai neatitinka realios situacijos, paaiškėjo sisteminė visos šalies problema – (1) abstrakčiomis frazėmis formuluojami saugumo reikalavimai trukdo atliekant vertinimą pasakyti, kad įmonė neįgyvendina saugumo reikalavimų; (2) jokiai institucijai nepavesta funkcija vykdyti fizinės saugos reikalavimų įgyvendinimo priežiūrą. Profesionaliai įvertinti vandentvarkos sektoriuje nustatytą problemą paprašyta Viešojo saugumo tarnybos prie Lietuvos Respublikos vidaus reikalų ministerijos (toliau – VST), kuri yra kritinės infrastruktūros objektų apsaugos kompetencijų centras. VST, išanalizavusi vertinimo metu nustatytus trūkumus, parengė rekomendacijas vandentvarkos sektoriui, kurios ir panaudotos rengiant Projektą.</w:t>
              </w:r>
            </w:p>
          </w:sdtContent>
        </w:sdt>
        <w:sdt>
          <w:sdtPr>
            <w:alias w:val="2 p."/>
            <w:tag w:val="part_41543896fc4c44c89248a34b101e3151"/>
            <w:lock w:val="sdtLocked"/>
            <w:richText/>
          </w:sdtPr>
          <w:sdtContent>
            <w:p>
              <w:pPr>
                <w:ind w:firstLine="629"/>
                <w:jc w:val="both"/>
                <w:rPr>
                  <w:rFonts w:eastAsia="Andale Sans UI"/>
                  <w:szCs w:val="24"/>
                  <w:lang w:bidi="en-US"/>
                </w:rPr>
              </w:pPr>
              <w:sdt>
                <w:sdtPr>
                  <w:alias w:val="Numeris"/>
                  <w:tag w:val="nr_41543896fc4c44c89248a34b101e3151"/>
                  <w:lock w:val="sdtLocked"/>
                  <w:richText/>
                </w:sdtPr>
                <w:sdtContent>
                  <w:r>
                    <w:rPr>
                      <w:rFonts w:eastAsia="Andale Sans UI"/>
                      <w:b/>
                      <w:bCs/>
                      <w:szCs w:val="24"/>
                      <w:lang w:bidi="en-US"/>
                    </w:rPr>
                    <w:t>2</w:t>
                  </w:r>
                </w:sdtContent>
              </w:sdt>
              <w:r>
                <w:rPr>
                  <w:rFonts w:eastAsia="Andale Sans UI"/>
                  <w:b/>
                  <w:bCs/>
                  <w:szCs w:val="24"/>
                  <w:lang w:bidi="en-US"/>
                </w:rPr>
                <w:t>. Projektu siūlomo teisinio reguliavimo esmė – problemos sprendimas</w:t>
              </w:r>
            </w:p>
            <w:p>
              <w:pPr>
                <w:ind w:firstLine="567"/>
                <w:jc w:val="both"/>
                <w:rPr>
                  <w:rFonts w:eastAsia="Andale Sans UI"/>
                  <w:szCs w:val="24"/>
                  <w:lang w:bidi="en-US"/>
                </w:rPr>
              </w:pPr>
              <w:r>
                <w:rPr>
                  <w:rFonts w:eastAsia="Andale Sans UI"/>
                  <w:szCs w:val="24"/>
                  <w:lang w:bidi="en-US"/>
                </w:rPr>
                <w:t>Projekte nuo abstrakčių formuluočių, kurios įtvirtintos ir kitų sektorių atitinkamuose įsakymuose, pereinama prie konkrečių reikalavimų, kurie viešiesiems vandens tiekėjams</w:t>
              </w:r>
              <w:r>
                <w:rPr>
                  <w:rFonts w:eastAsia="Andale Sans UI"/>
                  <w:szCs w:val="24"/>
                  <w:vertAlign w:val="superscript"/>
                  <w:lang w:bidi="en-US"/>
                </w:rPr>
                <w:footnoteReference w:id="3"/>
              </w:r>
              <w:r>
                <w:rPr>
                  <w:rFonts w:eastAsia="Andale Sans UI"/>
                  <w:szCs w:val="24"/>
                  <w:lang w:bidi="en-US"/>
                </w:rPr>
                <w:t xml:space="preserve"> dėl jų specifikos (62 įmonės, palyginti su vienu ESO</w:t>
              </w:r>
              <w:r>
                <w:rPr>
                  <w:rFonts w:eastAsia="Andale Sans UI"/>
                  <w:szCs w:val="24"/>
                  <w:vertAlign w:val="superscript"/>
                  <w:lang w:bidi="en-US"/>
                </w:rPr>
                <w:footnoteReference w:id="4"/>
              </w:r>
              <w:r>
                <w:rPr>
                  <w:rFonts w:eastAsia="Andale Sans UI"/>
                  <w:szCs w:val="24"/>
                  <w:lang w:bidi="en-US"/>
                </w:rPr>
                <w:t xml:space="preserve">) bus naudingesni nei didelė saugumo sprendimų įgyvendinimo laisvė, kuri gali veikti kituose sektoriuose. </w:t>
              </w:r>
            </w:p>
            <w:p>
              <w:pPr>
                <w:ind w:firstLine="567"/>
                <w:jc w:val="both"/>
                <w:rPr>
                  <w:rFonts w:eastAsia="Andale Sans UI"/>
                  <w:szCs w:val="24"/>
                  <w:lang w:bidi="en-US"/>
                </w:rPr>
              </w:pPr>
              <w:r>
                <w:rPr>
                  <w:rFonts w:eastAsia="Andale Sans UI"/>
                  <w:szCs w:val="24"/>
                  <w:lang w:bidi="en-US"/>
                </w:rPr>
                <w:t xml:space="preserve">Projektu atsisakoma nuostatų dėl detalaus objektų skirstymo pagal rizikas, fizinės apsaugos lygių nustatymo ir kas būtina konkrečiam lygiui, vietoj to numatomi konkretūs reikalavimai objektų (vandens tiekimo objektai; gręžiniai, vandens gerinimo įrenginiai, vandens rezervuarai, vandens siurblinės, nuotekų tvarkymo objektai: nuotekų valyklos ir nuotekų siurblinės) saugumą užtikrinančioms priemonėms (perimetro sauga, įeigos kontrolė, apsaugos priemonės, apšvietimas, pastatų apsauga  ir t. t.).</w:t>
              </w:r>
            </w:p>
            <w:p>
              <w:pPr>
                <w:ind w:firstLine="567"/>
                <w:jc w:val="both"/>
                <w:rPr>
                  <w:rFonts w:eastAsia="Andale Sans UI"/>
                  <w:szCs w:val="24"/>
                  <w:lang w:bidi="en-US"/>
                </w:rPr>
              </w:pPr>
              <w:r>
                <w:rPr>
                  <w:rFonts w:eastAsia="Andale Sans UI"/>
                  <w:szCs w:val="24"/>
                  <w:lang w:bidi="en-US"/>
                </w:rPr>
                <w:t>Projektu siūloma išsamiau reglamentuoti darbuotojų mokymų reikalavimus fizinės apsaugos saugumo srityje, viešųjų vandens tiekėjų veiksmus sutrikus elektros tiekimui ir pan. Siūloma numatyti, kad viešasis vandens tiekėjas, valdantis bent vieną didelės rizikos objektą, privalo ne rečiau kaip kartą per metus organizuoti įmonės lygio (prieš 20 darbo dienų informuoti Aplinkos ministeriją, kuri dalyvaus stebėtojų teisėmis, ir pagal poreikį reikiamas institucijas) funkcines pratybas.</w:t>
              </w:r>
            </w:p>
            <w:p>
              <w:pPr>
                <w:ind w:firstLine="567"/>
                <w:jc w:val="both"/>
                <w:rPr>
                  <w:rFonts w:eastAsia="Andale Sans UI"/>
                  <w:szCs w:val="24"/>
                  <w:lang w:bidi="en-US"/>
                </w:rPr>
              </w:pPr>
              <w:r>
                <w:rPr>
                  <w:rFonts w:eastAsia="Andale Sans UI"/>
                  <w:szCs w:val="24"/>
                  <w:lang w:bidi="en-US"/>
                </w:rPr>
                <w:t>Kartu su konkrečiais reikalavimais Projektu įtvirtinami trys nauji priedai (saugumo užtikrinimo ir reagavimo priemonės, Ypatingos svarbos objekto apsaugos ir Apsaugos priemonių inventorizacijos kortelių formos). Įmonės organizavimas padidėjus grėsmės lygiui organizuojamas vadovaujantis Nacionaliniam saugumui užtikrinti svarbios įmonės saugumo plano reikalavimų ir rengimo tvarkos aprašo</w:t>
              </w:r>
              <w:r>
                <w:rPr>
                  <w:rFonts w:eastAsia="Andale Sans UI"/>
                  <w:szCs w:val="24"/>
                  <w:vertAlign w:val="superscript"/>
                  <w:lang w:bidi="en-US"/>
                </w:rPr>
                <w:footnoteReference w:id="5"/>
              </w:r>
              <w:r>
                <w:rPr>
                  <w:rFonts w:eastAsia="Andale Sans UI"/>
                  <w:szCs w:val="24"/>
                  <w:lang w:bidi="en-US"/>
                </w:rPr>
                <w:t xml:space="preserve"> nuostatomis. Vandentvarkos įmonės, teikdamos derinti saugumo planus, privalės pateikti centrinės dispečerinės ir vandens gerinimo įrenginių Ypatingos svarbos objektų apsaugos kortelę, o kitiems įmonių objektams (vandenvietėms, pakėlimo siurblinėms, vandens rezervuarams, nuotekų valykloms) pildoma Apsaugos priemonių inventorizacijos kortelė. Jose bus aiškiai aprašyti  pagrindiniai reikalavimai esant žemiausiam grėsmės lygiui, pateikta informacija apie fizinius barjerus, patekimo kontrolės, signalizacijos, ryšio priemones ir kitas su apsauga susijusias sistemas bei įrangą, nustatyti konkretūs trūkumų pašalinimo terminai, ir pateiktos priemonės, kurios turi būti įgyvendintos pagal atitinkamo lygio, kuris konkrečiam objektui nustatytas, reikalavimus, ir patikrinimų metu identifikuotos papildomos priemonės, būtinos objekto saugumui užtikrinti. Taip pat, siekiant  įmonių saugumo užtikrinimo, Projektu siūloma nustatyti, kad vandentvarkos įmonės kiekvienais metais, iki lapkričio 1 d. turės pateikti saugumo planus derinančioms institucijoms (Aplinkos ministerijai, Krašto apsaugos ministerijai, Viešojo saugumo tarnybai, Policijos departamentui, jei objektas yra pasienio ruože ar pasienio kontrolės punkte) ir įmonę valdančioms savivaldybėms ataskaitą apie saugumo plane numatytų priemonių įgyvendinimą ir patikslintas Ypatingos svarbos objektų apsaugos ir Apsaugos priemonių inventorizacijos korteles.</w:t>
              </w:r>
            </w:p>
          </w:sdtContent>
        </w:sdt>
        <w:sdt>
          <w:sdtPr>
            <w:alias w:val="3 p."/>
            <w:tag w:val="part_e6aa851b357c4bcab9b96a0746f02257"/>
            <w:lock w:val="sdtLocked"/>
            <w:richText/>
          </w:sdtPr>
          <w:sdtContent>
            <w:p>
              <w:pPr>
                <w:ind w:firstLine="567"/>
                <w:jc w:val="both"/>
                <w:rPr>
                  <w:rFonts w:eastAsia="Andale Sans UI"/>
                  <w:b/>
                  <w:bCs/>
                  <w:szCs w:val="24"/>
                  <w:lang w:bidi="en-US"/>
                </w:rPr>
              </w:pPr>
              <w:sdt>
                <w:sdtPr>
                  <w:alias w:val="Numeris"/>
                  <w:tag w:val="nr_e6aa851b357c4bcab9b96a0746f02257"/>
                  <w:lock w:val="sdtLocked"/>
                  <w:richText/>
                </w:sdtPr>
                <w:sdtContent>
                  <w:r>
                    <w:rPr>
                      <w:rFonts w:eastAsia="Andale Sans UI"/>
                      <w:b/>
                      <w:bCs/>
                      <w:szCs w:val="24"/>
                      <w:lang w:bidi="en-US"/>
                    </w:rPr>
                    <w:t>3</w:t>
                  </w:r>
                </w:sdtContent>
              </w:sdt>
              <w:r>
                <w:rPr>
                  <w:rFonts w:eastAsia="Andale Sans UI"/>
                  <w:b/>
                  <w:bCs/>
                  <w:szCs w:val="24"/>
                  <w:lang w:bidi="en-US"/>
                </w:rPr>
                <w:t>. Pasiūlymų įgyvendinimo mechanizmas, kaštai ir nauda</w:t>
              </w:r>
            </w:p>
            <w:p>
              <w:pPr>
                <w:ind w:firstLine="567"/>
                <w:jc w:val="both"/>
                <w:rPr>
                  <w:rFonts w:eastAsia="Andale Sans UI" w:cs="Tahoma"/>
                  <w:szCs w:val="24"/>
                  <w:lang w:bidi="en-US"/>
                </w:rPr>
              </w:pPr>
              <w:r>
                <w:rPr>
                  <w:rFonts w:eastAsia="Andale Sans UI"/>
                  <w:szCs w:val="24"/>
                  <w:lang w:bidi="en-US"/>
                </w:rPr>
                <w:t xml:space="preserve">Lyginant vandens tiekimo infrastruktūros objektų atsparumo būklę su įsakyme numatytais saugumo užtikrinimo principais, išryškėjo aiškūs skirtumai. Įsakyme numatyti reikalavimai anksčiau taikyti energetikos objektams, todėl formuojant reikalavimus vandentvarkos sektoriui atsižvelgta į kolegų įdirbį. Sektorių specifikai išryškėti ir suprasti prireikė kelerių metų – bendri fizinės saugos įgyvendinimo principai tinka saugumą stiprinti siekiančioms, daug investuoti savanoriškai galinčioms įmonėms, kurios dažnai valdo visą vieno tipo kritinę infrastruktūrą šalyje. Pažymėtina, kad šalies vandentvarkos sektoriuje esančią geriamojo vandens išgavimo, ruošimo ir tiekimo bei nuotekų surinkimo ir tvarkymo infrastruktūrą valdo ir paslaugas teikia net 62 įmonės, tai lemia, kad, pvz., principai turėti tvoras suprantami laisvai ir tvoros su plyšiais vis tiek yra vadinamos tvoromis. Šis palyginimas padeda suprasti, kad energetikos sektoriaus įmonėms yra paprasčiau suformuoti fizinės saugos ir veiklos atsparumo kompetencijų centrus, kurie gali, remdamiesi bendrais principais, pasinaudodami suteikta sprendimo laisve, pasirinkti tinkamiausią sprendimą konkrečiam saugumo iššūkiui, o vandentvarkos sektoriuje, kaip ne kartą girdėta lankantis objektuose, reikia konkrečių instrukcijų, kurias būtų galima iškart įgyvendinti. Šiuo Projektu būtent tai ir daroma – pereinama nuo bendrų principų prie konkrečių reikalavimų. Tai ne tik leis įmonėms užtikrinti reikiamą fizinės saugos ir veiklos atsparumo priemonių įgyvendinimą, bet ir sudarys galimybę vėliau pradėti vykdyti ir reikalavimų įgyvendinimo kontrolę. </w:t>
              </w:r>
            </w:p>
            <w:p>
              <w:pPr>
                <w:ind w:firstLine="567"/>
                <w:jc w:val="both"/>
                <w:rPr>
                  <w:rFonts w:eastAsia="Andale Sans UI" w:cs="Tahoma"/>
                  <w:szCs w:val="24"/>
                  <w:lang w:bidi="en-US"/>
                </w:rPr>
              </w:pPr>
              <w:r>
                <w:rPr>
                  <w:rFonts w:eastAsia="Andale Sans UI" w:cs="Tahoma"/>
                  <w:szCs w:val="24"/>
                  <w:lang w:bidi="en-US"/>
                </w:rPr>
                <w:t xml:space="preserve">Projektu </w:t>
              </w:r>
              <w:r>
                <w:rPr>
                  <w:rFonts w:eastAsia="Andale Sans UI"/>
                  <w:szCs w:val="24"/>
                  <w:lang w:bidi="en-US"/>
                </w:rPr>
                <w:t>atnaujinami priemonių reikalavimai bus įgyvendinami viešųjų vandens tiekėjų. Atnaujintus saugumo planus derins Aplinkos ministerija, VST, Krašto apsaugos ministerija ir Policijos departamentas prie Lietuvos Respublikos vidaus reikalų ministerijos.</w:t>
              </w:r>
            </w:p>
            <w:p>
              <w:pPr>
                <w:ind w:firstLine="567"/>
                <w:jc w:val="both"/>
                <w:rPr>
                  <w:rFonts w:eastAsia="Andale Sans UI"/>
                  <w:szCs w:val="24"/>
                  <w:lang w:bidi="en-US"/>
                </w:rPr>
              </w:pPr>
              <w:r>
                <w:rPr>
                  <w:rFonts w:eastAsia="Andale Sans UI"/>
                  <w:szCs w:val="24"/>
                  <w:lang w:bidi="en-US"/>
                </w:rPr>
                <w:t>Tiksliai suskaičiuoti priemonių įgyvendinimo kaštus sudėtinga dėl subjektų gausos. Vertinimo metu apvažiuoti ne visi viešieji vandens tiekėjai, todėl skaičiavimai atlikti remiantis prielaidomis, ką tikėtina rasti likusiuose objektuose. Tikėtinas lėšų poreikis – apie 9,6 mln. Eur, tačiau tikslesnė suma paaiškės, kai viešieji vandens tiekėjai atliks skaičiavimus konkretiems objektams.</w:t>
              </w:r>
            </w:p>
            <w:p>
              <w:pPr>
                <w:ind w:firstLine="567"/>
                <w:jc w:val="both"/>
                <w:rPr>
                  <w:rFonts w:eastAsia="Andale Sans UI"/>
                  <w:szCs w:val="24"/>
                  <w:lang w:bidi="en-US"/>
                </w:rPr>
              </w:pPr>
              <w:r>
                <w:rPr>
                  <w:rFonts w:eastAsia="Andale Sans UI"/>
                  <w:szCs w:val="24"/>
                  <w:lang w:bidi="en-US"/>
                </w:rPr>
                <w:t>Šios investicijos yra būtinos, kad būtų užtikrintas saugus vandens tiekimas, ir galės būti įtrauktos į paslaugos tarifą.</w:t>
              </w:r>
              <w:r>
                <w:rPr>
                  <w:rFonts w:eastAsia="Andale Sans UI" w:cs="Tahoma"/>
                  <w:szCs w:val="24"/>
                  <w:lang w:bidi="en-US"/>
                </w:rPr>
                <w:t xml:space="preserve"> </w:t>
              </w:r>
              <w:r>
                <w:rPr>
                  <w:rFonts w:eastAsia="Andale Sans UI"/>
                  <w:szCs w:val="24"/>
                  <w:lang w:bidi="en-US"/>
                </w:rPr>
                <w:t>Siekiant užtikrinti geriamojo vandens tiekėjams finansinę pagalbą vykdant geriamojo vandens tiekimo ir nuotekų tvarkymo veiklą, Lietuvos Respublikos geriamojo vandens tiekimo ir nuotekų tvarkymo įstatymo 32 straipsnio 1 dalyje nustatyta: „Jeigu geriamojo vandens tiekėjams, užtikrinantiems saugos ir kokybės reikalavimus atitinkantį geriamojo vandens tiekimo ir nuotekų tvarkymo paslaugų teikimą, trūksta lėšų investicijoms, kurios būtinos kokybės reikalavimus atitinkančioms geriamojo vandens tiekimo ir nuotekų tvarkymo paslaugoms teikti, gali būti nustatoma papildoma geriamojo vandens tiekimo ir nuotekų tvarkymo paslaugų kainos dedamoji. Geriamojo vandens tiekėjai, garantiniai vandens tiekėjai turi pagrįsti lėšų trūkumą šioms investicijoms vykdyti ir Valstybinės energetikos reguliavimo tarybos patvirtintame investicijų vertinimo ir derinimo tvarkos apraše numatyta tvarka jas suderinti su Valstybine energetikos reguliavimo taryba.“</w:t>
              </w:r>
            </w:p>
            <w:p>
              <w:pPr>
                <w:ind w:firstLine="567"/>
                <w:jc w:val="both"/>
                <w:rPr>
                  <w:rFonts w:eastAsia="Andale Sans UI"/>
                  <w:szCs w:val="24"/>
                  <w:lang w:bidi="en-US"/>
                </w:rPr>
              </w:pPr>
              <w:r>
                <w:rPr>
                  <w:rFonts w:eastAsia="Andale Sans UI"/>
                  <w:szCs w:val="24"/>
                  <w:lang w:bidi="en-US"/>
                </w:rPr>
                <w:t>Įgyvendinus priemones, kurios bus numatytos saugumo planuose remiantis siūlomo Projekto nuostatomis, gerokai sustiprės vandentvarkos sektoriaus atsparumas galimoms grėsmėms.</w:t>
              </w:r>
            </w:p>
          </w:sdtContent>
        </w:sdt>
        <w:sdt>
          <w:sdtPr>
            <w:alias w:val="4 p."/>
            <w:tag w:val="part_5cca3415bf4a451a9b6e35832f96270e"/>
            <w:lock w:val="sdtLocked"/>
            <w:richText/>
          </w:sdtPr>
          <w:sdtContent>
            <w:p>
              <w:pPr>
                <w:ind w:firstLine="567"/>
                <w:jc w:val="both"/>
                <w:rPr>
                  <w:b/>
                  <w:bCs/>
                  <w:szCs w:val="24"/>
                  <w:lang w:eastAsia="lt-LT" w:bidi="en-US"/>
                </w:rPr>
              </w:pPr>
              <w:sdt>
                <w:sdtPr>
                  <w:alias w:val="Numeris"/>
                  <w:tag w:val="nr_5cca3415bf4a451a9b6e35832f96270e"/>
                  <w:lock w:val="sdtLocked"/>
                  <w:richText/>
                </w:sdtPr>
                <w:sdtContent>
                  <w:r>
                    <w:rPr>
                      <w:b/>
                      <w:bCs/>
                      <w:szCs w:val="24"/>
                      <w:lang w:eastAsia="lt-LT" w:bidi="en-US"/>
                    </w:rPr>
                    <w:t>4</w:t>
                  </w:r>
                </w:sdtContent>
              </w:sdt>
              <w:r>
                <w:rPr>
                  <w:b/>
                  <w:bCs/>
                  <w:szCs w:val="24"/>
                  <w:lang w:eastAsia="lt-LT" w:bidi="en-US"/>
                </w:rPr>
                <w:t>. Lietuvos Respublikos Vyriausybės programos</w:t>
              </w:r>
              <w:r>
                <w:rPr>
                  <w:b/>
                  <w:bCs/>
                  <w:szCs w:val="24"/>
                  <w:vertAlign w:val="superscript"/>
                  <w:lang w:eastAsia="lt-LT" w:bidi="en-US"/>
                </w:rPr>
                <w:footnoteReference w:id="6"/>
              </w:r>
              <w:r>
                <w:rPr>
                  <w:b/>
                  <w:bCs/>
                  <w:szCs w:val="24"/>
                  <w:lang w:eastAsia="lt-LT" w:bidi="en-US"/>
                </w:rPr>
                <w:t xml:space="preserve"> nuostatų įgyvendinimas </w:t>
              </w:r>
              <w:r>
                <w:rPr>
                  <w:szCs w:val="24"/>
                  <w:lang w:eastAsia="lt-LT" w:bidi="en-US"/>
                </w:rPr>
                <w:t>(pažymimas tinkamas variantas)</w:t>
              </w:r>
            </w:p>
            <w:p>
              <w:pPr>
                <w:ind w:firstLine="567"/>
                <w:jc w:val="both"/>
                <w:rPr>
                  <w:rFonts w:eastAsia="Andale Sans UI"/>
                  <w:szCs w:val="24"/>
                  <w:lang w:bidi="en-US"/>
                </w:rPr>
              </w:pPr>
              <w:r>
                <w:rPr>
                  <w:rFonts w:ascii="MS Gothic" w:eastAsia="MS Gothic" w:hAnsi="MS Gothic"/>
                  <w:szCs w:val="24"/>
                  <w:lang w:bidi="en-US"/>
                </w:rPr>
                <w:t>☐</w:t>
              </w:r>
              <w:r>
                <w:rPr>
                  <w:rFonts w:eastAsia="Andale Sans UI"/>
                  <w:szCs w:val="24"/>
                  <w:lang w:bidi="en-US"/>
                </w:rPr>
                <w:t xml:space="preserve"> Projektu įgyvendinamos šios Lietuvos Respublikos Vyriausybės programos nuostatos: (</w:t>
              </w:r>
              <w:r>
                <w:rPr>
                  <w:rFonts w:eastAsia="Andale Sans UI"/>
                  <w:i/>
                  <w:iCs/>
                  <w:szCs w:val="24"/>
                  <w:lang w:bidi="en-US"/>
                </w:rPr>
                <w:t>nurodomos programos nuostatos ir punktas ar papunktis, kuriame jos nurodytos</w:t>
              </w:r>
              <w:r>
                <w:rPr>
                  <w:rFonts w:eastAsia="Andale Sans UI"/>
                  <w:szCs w:val="24"/>
                  <w:lang w:bidi="en-US"/>
                </w:rPr>
                <w:t>).</w:t>
              </w:r>
            </w:p>
            <w:p>
              <w:pPr>
                <w:ind w:firstLine="567"/>
                <w:jc w:val="both"/>
                <w:rPr>
                  <w:rFonts w:eastAsia="Andale Sans UI"/>
                  <w:szCs w:val="24"/>
                  <w:lang w:bidi="en-US"/>
                </w:rPr>
              </w:pPr>
              <w:r>
                <w:rPr>
                  <w:rFonts w:ascii="MS Gothic" w:eastAsia="MS Gothic" w:hAnsi="MS Gothic"/>
                  <w:szCs w:val="24"/>
                  <w:lang w:bidi="en-US"/>
                </w:rPr>
                <w:t>☒</w:t>
              </w:r>
              <w:r>
                <w:rPr>
                  <w:rFonts w:eastAsia="Andale Sans UI"/>
                  <w:szCs w:val="24"/>
                  <w:lang w:bidi="en-US"/>
                </w:rPr>
                <w:t xml:space="preserve"> Projektas neprieštarauja Aštuonioliktosios Lietuvos Respublikos Vyriausybės programai.</w:t>
              </w:r>
            </w:p>
          </w:sdtContent>
        </w:sdt>
        <w:sdt>
          <w:sdtPr>
            <w:alias w:val="5 p."/>
            <w:tag w:val="part_fd0ece9b11dc4fbfa3fb9cc4f2901033"/>
            <w:lock w:val="sdtLocked"/>
            <w:richText/>
          </w:sdtPr>
          <w:sdtContent>
            <w:p>
              <w:pPr>
                <w:ind w:firstLine="567"/>
                <w:jc w:val="both"/>
                <w:rPr>
                  <w:rFonts w:eastAsia="Andale Sans UI" w:cs="Tahoma"/>
                  <w:szCs w:val="24"/>
                  <w:lang w:bidi="en-US"/>
                </w:rPr>
              </w:pPr>
              <w:sdt>
                <w:sdtPr>
                  <w:alias w:val="Numeris"/>
                  <w:tag w:val="nr_fd0ece9b11dc4fbfa3fb9cc4f2901033"/>
                  <w:lock w:val="sdtLocked"/>
                  <w:richText/>
                </w:sdtPr>
                <w:sdtContent>
                  <w:r>
                    <w:rPr>
                      <w:rFonts w:eastAsia="Andale Sans UI"/>
                      <w:b/>
                      <w:bCs/>
                      <w:szCs w:val="24"/>
                      <w:lang w:bidi="en-US"/>
                    </w:rPr>
                    <w:t>5</w:t>
                  </w:r>
                </w:sdtContent>
              </w:sdt>
              <w:r>
                <w:rPr>
                  <w:rFonts w:eastAsia="Andale Sans UI"/>
                  <w:b/>
                  <w:bCs/>
                  <w:szCs w:val="24"/>
                  <w:lang w:bidi="en-US"/>
                </w:rPr>
                <w:t>.</w:t>
              </w:r>
              <w:r>
                <w:rPr>
                  <w:rFonts w:eastAsia="Andale Sans UI"/>
                  <w:szCs w:val="24"/>
                  <w:lang w:bidi="en-US"/>
                </w:rPr>
                <w:t xml:space="preserve"> </w:t>
              </w:r>
              <w:r>
                <w:rPr>
                  <w:rFonts w:eastAsia="Andale Sans UI"/>
                  <w:b/>
                  <w:bCs/>
                  <w:szCs w:val="24"/>
                  <w:lang w:bidi="en-US"/>
                </w:rPr>
                <w:t>Numatomo teisinio reguliavimo poveikio vertinimas</w:t>
              </w:r>
              <w:r>
                <w:rPr>
                  <w:rFonts w:eastAsia="Andale Sans UI"/>
                  <w:b/>
                  <w:bCs/>
                  <w:szCs w:val="24"/>
                  <w:vertAlign w:val="superscript"/>
                  <w:lang w:bidi="en-US"/>
                </w:rPr>
                <w:footnoteReference w:id="7"/>
              </w:r>
              <w:r>
                <w:rPr>
                  <w:rFonts w:eastAsia="Andale Sans UI"/>
                  <w:b/>
                  <w:bCs/>
                  <w:szCs w:val="24"/>
                  <w:lang w:bidi="en-US"/>
                </w:rPr>
                <w:t xml:space="preserve"> </w:t>
              </w:r>
              <w:r>
                <w:rPr>
                  <w:szCs w:val="24"/>
                  <w:lang w:eastAsia="lt-LT" w:bidi="en-US"/>
                </w:rPr>
                <w:t>(pažymimas tinkamas variantas)</w:t>
              </w:r>
            </w:p>
            <w:p>
              <w:pPr>
                <w:widowControl w:val="0"/>
                <w:ind w:firstLine="567"/>
                <w:jc w:val="both"/>
                <w:rPr>
                  <w:b/>
                  <w:bCs/>
                  <w:i/>
                  <w:iCs/>
                  <w:szCs w:val="24"/>
                  <w:lang w:eastAsia="lt-LT"/>
                </w:rPr>
              </w:pPr>
              <w:r>
                <w:rPr>
                  <w:rFonts w:ascii="Segoe UI Symbol" w:eastAsia="MS Gothic" w:hAnsi="Segoe UI Symbol" w:cs="Segoe UI Symbol"/>
                  <w:szCs w:val="24"/>
                  <w:lang w:bidi="en-US"/>
                </w:rPr>
                <w:t>☐</w:t>
              </w:r>
              <w:r>
                <w:rPr>
                  <w:rFonts w:eastAsia="Andale Sans UI"/>
                  <w:szCs w:val="24"/>
                  <w:lang w:bidi="en-US"/>
                </w:rPr>
                <w:t xml:space="preserve"> Atliktas Projekto numatomo teisinio reguliavimo poveikio vertinimas (</w:t>
              </w:r>
              <w:r>
                <w:rPr>
                  <w:rFonts w:eastAsia="Andale Sans UI"/>
                  <w:i/>
                  <w:iCs/>
                  <w:color w:val="000000"/>
                  <w:szCs w:val="24"/>
                  <w:lang w:bidi="en-US"/>
                </w:rPr>
                <w:t>pateikiamos Projekto poveikio vertinimo rezultatų išvados – apibendrinta informacija, kurioje nurodomas numatomo teisinio reguliavimo tikslas, galimas teigiamas ir (ar) neigiamas Projekto poveikis kiekvienu vertinimo aspektu, kur įmanoma, pagrįstas atliktais skaičiavimais; jeigu atliekamas Projekto poveikio aplinkai ir klimato kaitai vertinimas</w:t>
              </w:r>
              <w:r>
                <w:rPr>
                  <w:rFonts w:eastAsia="Andale Sans UI"/>
                  <w:i/>
                  <w:iCs/>
                  <w:color w:val="000000"/>
                  <w:szCs w:val="24"/>
                  <w:vertAlign w:val="superscript"/>
                  <w:lang w:bidi="en-US"/>
                </w:rPr>
                <w:footnoteReference w:id="8"/>
              </w:r>
              <w:r>
                <w:rPr>
                  <w:rFonts w:eastAsia="Andale Sans UI"/>
                  <w:i/>
                  <w:iCs/>
                  <w:color w:val="000000"/>
                  <w:szCs w:val="24"/>
                  <w:lang w:bidi="en-US"/>
                </w:rPr>
                <w:t>, kokybiškai ir (ar) kiekybiškai įvertinamas ir aprašomas galimas poveikis aplinkai ir klimato kaitai</w:t>
              </w:r>
              <w:r>
                <w:rPr>
                  <w:rFonts w:eastAsia="Andale Sans UI"/>
                  <w:i/>
                  <w:iCs/>
                  <w:color w:val="000000"/>
                  <w:szCs w:val="24"/>
                  <w:vertAlign w:val="superscript"/>
                  <w:lang w:bidi="en-US"/>
                </w:rPr>
                <w:footnoteReference w:id="9"/>
              </w:r>
              <w:r>
                <w:rPr>
                  <w:rFonts w:eastAsia="Andale Sans UI"/>
                  <w:i/>
                  <w:iCs/>
                  <w:color w:val="000000"/>
                  <w:szCs w:val="24"/>
                  <w:lang w:bidi="en-US"/>
                </w:rPr>
                <w:t>; d</w:t>
              </w:r>
              <w:r>
                <w:rPr>
                  <w:rFonts w:eastAsia="Andale Sans UI"/>
                  <w:i/>
                  <w:iCs/>
                  <w:szCs w:val="24"/>
                  <w:lang w:bidi="en-US"/>
                </w:rPr>
                <w:t>ėl poveikio aplinkai ir klimato kaitai vertinimo konsultuoja Aplinkos apsaugos agentūra</w:t>
              </w:r>
              <w:r>
                <w:rPr>
                  <w:rFonts w:eastAsia="Andale Sans UI"/>
                  <w:i/>
                  <w:iCs/>
                  <w:szCs w:val="24"/>
                  <w:vertAlign w:val="superscript"/>
                  <w:lang w:bidi="en-US"/>
                </w:rPr>
                <w:footnoteReference w:id="10"/>
              </w:r>
              <w:r>
                <w:rPr>
                  <w:rFonts w:eastAsia="Andale Sans UI"/>
                  <w:color w:val="000000"/>
                  <w:szCs w:val="24"/>
                  <w:lang w:bidi="en-US"/>
                </w:rPr>
                <w:t>)</w:t>
              </w:r>
              <w:r>
                <w:rPr>
                  <w:rFonts w:eastAsia="Andale Sans UI"/>
                  <w:i/>
                  <w:iCs/>
                  <w:color w:val="000000"/>
                  <w:szCs w:val="24"/>
                  <w:lang w:bidi="en-US"/>
                </w:rPr>
                <w:t xml:space="preserve">. </w:t>
              </w:r>
            </w:p>
            <w:p>
              <w:pPr>
                <w:ind w:firstLine="567"/>
                <w:jc w:val="both"/>
                <w:rPr>
                  <w:rFonts w:eastAsia="Andale Sans UI"/>
                  <w:szCs w:val="24"/>
                  <w:lang w:bidi="en-US"/>
                </w:rPr>
              </w:pPr>
              <w:r>
                <w:rPr>
                  <w:rFonts w:ascii="MS Gothic" w:eastAsia="MS Gothic" w:hAnsi="MS Gothic"/>
                  <w:szCs w:val="24"/>
                  <w:lang w:bidi="en-US"/>
                </w:rPr>
                <w:t>☒</w:t>
              </w:r>
              <w:r>
                <w:rPr>
                  <w:rFonts w:eastAsia="Andale Sans UI"/>
                  <w:szCs w:val="24"/>
                  <w:lang w:bidi="en-US"/>
                </w:rPr>
                <w:t xml:space="preserve"> Projekto numatomo teisinio reguliavimo poveikio vertinimas neatliekamas.</w:t>
              </w:r>
            </w:p>
          </w:sdtContent>
        </w:sdt>
        <w:sdt>
          <w:sdtPr>
            <w:alias w:val="6 p."/>
            <w:tag w:val="part_521911905ec341dc8e0d907da349c1b5"/>
            <w:lock w:val="sdtLocked"/>
            <w:richText/>
          </w:sdtPr>
          <w:sdtContent>
            <w:p>
              <w:pPr>
                <w:ind w:firstLine="567"/>
                <w:jc w:val="both"/>
                <w:rPr>
                  <w:rFonts w:eastAsia="Andale Sans UI" w:cs="Tahoma"/>
                  <w:szCs w:val="24"/>
                  <w:lang w:bidi="en-US"/>
                </w:rPr>
              </w:pPr>
              <w:sdt>
                <w:sdtPr>
                  <w:alias w:val="Numeris"/>
                  <w:tag w:val="nr_521911905ec341dc8e0d907da349c1b5"/>
                  <w:lock w:val="sdtLocked"/>
                  <w:richText/>
                </w:sdtPr>
                <w:sdtContent>
                  <w:r>
                    <w:rPr>
                      <w:b/>
                      <w:bCs/>
                      <w:szCs w:val="24"/>
                      <w:lang w:eastAsia="lt-LT" w:bidi="en-US"/>
                    </w:rPr>
                    <w:t>6</w:t>
                  </w:r>
                </w:sdtContent>
              </w:sdt>
              <w:r>
                <w:rPr>
                  <w:b/>
                  <w:bCs/>
                  <w:szCs w:val="24"/>
                  <w:lang w:eastAsia="lt-LT" w:bidi="en-US"/>
                </w:rPr>
                <w:t xml:space="preserve">. Europos Sąjungos teisės aktų perkėlimas ir (ar) įgyvendinimas </w:t>
              </w:r>
              <w:r>
                <w:rPr>
                  <w:szCs w:val="24"/>
                  <w:lang w:eastAsia="lt-LT" w:bidi="en-US"/>
                </w:rPr>
                <w:t>(pažymimas tinkamas variantas)</w:t>
              </w:r>
            </w:p>
            <w:p>
              <w:pPr>
                <w:ind w:firstLine="567"/>
                <w:jc w:val="both"/>
                <w:rPr>
                  <w:b/>
                  <w:bCs/>
                  <w:szCs w:val="24"/>
                  <w:lang w:eastAsia="lt-LT" w:bidi="en-US"/>
                </w:rPr>
              </w:pPr>
              <w:r>
                <w:rPr>
                  <w:rFonts w:ascii="MS Gothic" w:eastAsia="MS Gothic" w:hAnsi="MS Gothic"/>
                  <w:szCs w:val="24"/>
                  <w:lang w:bidi="en-US"/>
                </w:rPr>
                <w:t>☒</w:t>
              </w:r>
              <w:r>
                <w:rPr>
                  <w:rFonts w:eastAsia="Andale Sans UI"/>
                  <w:szCs w:val="24"/>
                  <w:lang w:bidi="en-US"/>
                </w:rPr>
                <w:t xml:space="preserve"> Projektu neperkeliamos ir neįgyvendinamos Europos Sąjungos teisės aktų nuostatos.</w:t>
              </w:r>
            </w:p>
            <w:p>
              <w:pPr>
                <w:ind w:firstLine="567"/>
                <w:jc w:val="both"/>
                <w:rPr>
                  <w:color w:val="000000"/>
                  <w:szCs w:val="24"/>
                  <w:lang w:eastAsia="lt-LT" w:bidi="en-US"/>
                </w:rPr>
              </w:pPr>
              <w:r>
                <w:rPr>
                  <w:rFonts w:ascii="Segoe UI Symbol" w:eastAsia="MS Gothic" w:hAnsi="Segoe UI Symbol" w:cs="Segoe UI Symbol"/>
                  <w:szCs w:val="24"/>
                  <w:lang w:bidi="en-US"/>
                </w:rPr>
                <w:t>☐</w:t>
              </w:r>
              <w:r>
                <w:rPr>
                  <w:rFonts w:eastAsia="Andale Sans UI"/>
                  <w:szCs w:val="24"/>
                  <w:lang w:bidi="en-US"/>
                </w:rPr>
                <w:t xml:space="preserve"> Projektu perkeliamos (</w:t>
              </w:r>
              <w:r>
                <w:rPr>
                  <w:rFonts w:eastAsia="Andale Sans UI"/>
                  <w:i/>
                  <w:iCs/>
                  <w:szCs w:val="24"/>
                  <w:lang w:bidi="en-US"/>
                </w:rPr>
                <w:t>dėl Direktyvų</w:t>
              </w:r>
              <w:r>
                <w:rPr>
                  <w:rFonts w:eastAsia="Andale Sans UI"/>
                  <w:szCs w:val="24"/>
                  <w:lang w:bidi="en-US"/>
                </w:rPr>
                <w:t>) ir (ar) įgyvendinamos (</w:t>
              </w:r>
              <w:r>
                <w:rPr>
                  <w:rFonts w:eastAsia="Andale Sans UI"/>
                  <w:i/>
                  <w:iCs/>
                  <w:szCs w:val="24"/>
                  <w:lang w:bidi="en-US"/>
                </w:rPr>
                <w:t>dėl Reglamentų ir Sprendimų</w:t>
              </w:r>
              <w:r>
                <w:rPr>
                  <w:rFonts w:eastAsia="Andale Sans UI"/>
                  <w:szCs w:val="24"/>
                  <w:lang w:bidi="en-US"/>
                </w:rPr>
                <w:t>) šios Europos Sąjungos teisės aktų nuostatos: (</w:t>
              </w:r>
              <w:r>
                <w:rPr>
                  <w:rFonts w:eastAsia="Andale Sans UI"/>
                  <w:i/>
                  <w:iCs/>
                  <w:szCs w:val="24"/>
                  <w:lang w:bidi="en-US"/>
                </w:rPr>
                <w:t>išvardijama</w:t>
              </w:r>
              <w:r>
                <w:rPr>
                  <w:rFonts w:eastAsia="Andale Sans UI"/>
                  <w:szCs w:val="24"/>
                  <w:lang w:bidi="en-US"/>
                </w:rPr>
                <w:t>).</w:t>
              </w:r>
              <w:r>
                <w:rPr>
                  <w:rFonts w:eastAsia="Andale Sans UI"/>
                  <w:i/>
                  <w:iCs/>
                  <w:szCs w:val="24"/>
                  <w:lang w:bidi="en-US"/>
                </w:rPr>
                <w:t xml:space="preserve"> </w:t>
              </w:r>
              <w:r>
                <w:rPr>
                  <w:rFonts w:eastAsia="Andale Sans UI"/>
                  <w:szCs w:val="24"/>
                  <w:lang w:eastAsia="lt-LT" w:bidi="en-US"/>
                </w:rPr>
                <w:t>(</w:t>
              </w:r>
              <w:r>
                <w:rPr>
                  <w:rFonts w:eastAsia="Andale Sans UI"/>
                  <w:i/>
                  <w:iCs/>
                  <w:szCs w:val="24"/>
                  <w:lang w:eastAsia="lt-LT" w:bidi="en-US"/>
                </w:rPr>
                <w:t>Taip pat nurodomi kiti su Projektu susiję tiesiogiai taikomi Europos Sąjungos teisės aktai, kai jie nėra įgyvendinami.</w:t>
              </w:r>
              <w:r>
                <w:rPr>
                  <w:rFonts w:eastAsia="Andale Sans UI"/>
                  <w:szCs w:val="24"/>
                  <w:lang w:eastAsia="lt-LT" w:bidi="en-US"/>
                </w:rPr>
                <w:t xml:space="preserve">) Projektas yra įtrauktas į perkeliamo ir (ar) įgyvendinamo Europos Sąjungos teisės akto perkėlimo ir įgyvendinimo planą Lietuvos narystės Europos Sąjungoje informacinėje sistemoje (LINESIS), į kurią įkelta  atitikties lentelė</w:t>
              </w:r>
              <w:r>
                <w:rPr>
                  <w:rFonts w:eastAsia="Andale Sans UI"/>
                  <w:szCs w:val="24"/>
                  <w:vertAlign w:val="superscript"/>
                  <w:lang w:eastAsia="lt-LT" w:bidi="en-US"/>
                </w:rPr>
                <w:footnoteReference w:id="11"/>
              </w:r>
              <w:r>
                <w:rPr>
                  <w:rFonts w:eastAsia="Andale Sans UI"/>
                  <w:i/>
                  <w:iCs/>
                  <w:szCs w:val="24"/>
                  <w:lang w:eastAsia="lt-LT" w:bidi="en-US"/>
                </w:rPr>
                <w:t xml:space="preserve">. </w:t>
              </w:r>
              <w:r>
                <w:rPr>
                  <w:rFonts w:eastAsia="Andale Sans UI"/>
                  <w:szCs w:val="24"/>
                  <w:lang w:bidi="en-US"/>
                </w:rPr>
                <w:t xml:space="preserve">Siekiant užtikrinti visišką </w:t>
              </w:r>
              <w:r>
                <w:rPr>
                  <w:color w:val="000000"/>
                  <w:szCs w:val="24"/>
                  <w:lang w:eastAsia="lt-LT" w:bidi="en-US"/>
                </w:rPr>
                <w:t>susijusių Europos Sąjungos teisės aktų perkėlimą ir (ar) įgyvendinimą, reikės priimti </w:t>
              </w:r>
              <w:r>
                <w:rPr>
                  <w:i/>
                  <w:iCs/>
                  <w:color w:val="000000"/>
                  <w:szCs w:val="24"/>
                  <w:lang w:eastAsia="lt-LT" w:bidi="en-US"/>
                </w:rPr>
                <w:t>...</w:t>
              </w:r>
              <w:r>
                <w:rPr>
                  <w:color w:val="000000"/>
                  <w:szCs w:val="24"/>
                  <w:lang w:eastAsia="lt-LT" w:bidi="en-US"/>
                </w:rPr>
                <w:t>(</w:t>
              </w:r>
              <w:r>
                <w:rPr>
                  <w:i/>
                  <w:iCs/>
                  <w:color w:val="000000"/>
                  <w:szCs w:val="24"/>
                  <w:lang w:eastAsia="lt-LT" w:bidi="en-US"/>
                </w:rPr>
                <w:t>išvardijami Lietuvos Respublikos teisės aktai, kuriuos reikės priimti</w:t>
              </w:r>
              <w:r>
                <w:rPr>
                  <w:color w:val="000000"/>
                  <w:szCs w:val="24"/>
                  <w:lang w:eastAsia="lt-LT" w:bidi="en-US"/>
                </w:rPr>
                <w:t>) (</w:t>
              </w:r>
              <w:r>
                <w:rPr>
                  <w:b/>
                  <w:bCs/>
                  <w:color w:val="000000"/>
                  <w:szCs w:val="24"/>
                  <w:lang w:eastAsia="lt-LT" w:bidi="en-US"/>
                </w:rPr>
                <w:t>arba</w:t>
              </w:r>
              <w:r>
                <w:rPr>
                  <w:color w:val="000000"/>
                  <w:szCs w:val="24"/>
                  <w:lang w:eastAsia="lt-LT" w:bidi="en-US"/>
                </w:rPr>
                <w:t xml:space="preserve"> </w:t>
              </w:r>
              <w:r>
                <w:rPr>
                  <w:rFonts w:eastAsia="Andale Sans UI"/>
                  <w:szCs w:val="24"/>
                  <w:lang w:bidi="en-US"/>
                </w:rPr>
                <w:t xml:space="preserve">Siekiant užtikrinti visišką </w:t>
              </w:r>
              <w:r>
                <w:rPr>
                  <w:color w:val="000000"/>
                  <w:szCs w:val="24"/>
                  <w:lang w:eastAsia="lt-LT" w:bidi="en-US"/>
                </w:rPr>
                <w:t>susijusių Europos Sąjungos teisės aktų perkėlimą ir (ar) įgyvendinimą, kitų teisės aktų priimti nereikės).</w:t>
              </w:r>
            </w:p>
          </w:sdtContent>
        </w:sdt>
        <w:sdt>
          <w:sdtPr>
            <w:alias w:val="7 p."/>
            <w:tag w:val="part_4b0d52d346b44fc1aebf728063ac5a1b"/>
            <w:lock w:val="sdtLocked"/>
            <w:richText/>
          </w:sdtPr>
          <w:sdtContent>
            <w:p>
              <w:pPr>
                <w:ind w:firstLine="567"/>
                <w:jc w:val="both"/>
                <w:rPr>
                  <w:rFonts w:eastAsia="Andale Sans UI" w:cs="Tahoma"/>
                  <w:szCs w:val="24"/>
                  <w:lang w:bidi="en-US"/>
                </w:rPr>
              </w:pPr>
              <w:sdt>
                <w:sdtPr>
                  <w:alias w:val="Numeris"/>
                  <w:tag w:val="nr_4b0d52d346b44fc1aebf728063ac5a1b"/>
                  <w:lock w:val="sdtLocked"/>
                  <w:richText/>
                </w:sdtPr>
                <w:sdtContent>
                  <w:r>
                    <w:rPr>
                      <w:rFonts w:eastAsia="Andale Sans UI"/>
                      <w:b/>
                      <w:bCs/>
                      <w:szCs w:val="24"/>
                      <w:lang w:bidi="en-US"/>
                    </w:rPr>
                    <w:t>7</w:t>
                  </w:r>
                </w:sdtContent>
              </w:sdt>
              <w:r>
                <w:rPr>
                  <w:rFonts w:eastAsia="Andale Sans UI"/>
                  <w:b/>
                  <w:bCs/>
                  <w:szCs w:val="24"/>
                  <w:lang w:bidi="en-US"/>
                </w:rPr>
                <w:t>. Notifikavimas</w:t>
              </w:r>
              <w:r>
                <w:rPr>
                  <w:rFonts w:eastAsia="Andale Sans UI"/>
                  <w:b/>
                  <w:bCs/>
                  <w:szCs w:val="24"/>
                  <w:vertAlign w:val="superscript"/>
                  <w:lang w:bidi="en-US"/>
                </w:rPr>
                <w:footnoteReference w:id="12"/>
              </w:r>
              <w:r>
                <w:rPr>
                  <w:rFonts w:eastAsia="Andale Sans UI"/>
                  <w:b/>
                  <w:bCs/>
                  <w:szCs w:val="24"/>
                  <w:lang w:bidi="en-US"/>
                </w:rPr>
                <w:t xml:space="preserve"> Europos Komisijai </w:t>
              </w:r>
              <w:r>
                <w:rPr>
                  <w:szCs w:val="24"/>
                  <w:lang w:eastAsia="lt-LT" w:bidi="en-US"/>
                </w:rPr>
                <w:t>(pažymimas tinkamas variantas)</w:t>
              </w:r>
            </w:p>
            <w:p>
              <w:pPr>
                <w:ind w:firstLine="567"/>
                <w:jc w:val="both"/>
                <w:rPr>
                  <w:rFonts w:eastAsia="Andale Sans UI"/>
                  <w:szCs w:val="24"/>
                  <w:lang w:bidi="en-US"/>
                </w:rPr>
              </w:pPr>
              <w:r>
                <w:rPr>
                  <w:rFonts w:ascii="Segoe UI Symbol" w:eastAsia="MS Gothic" w:hAnsi="Segoe UI Symbol" w:cs="Segoe UI Symbol"/>
                  <w:szCs w:val="24"/>
                  <w:lang w:bidi="en-US"/>
                </w:rPr>
                <w:t>☐</w:t>
              </w:r>
              <w:r>
                <w:rPr>
                  <w:rFonts w:eastAsia="Andale Sans UI"/>
                  <w:szCs w:val="24"/>
                  <w:lang w:bidi="en-US"/>
                </w:rPr>
                <w:t xml:space="preserve"> Projektas nenotifikuotinas Europos Komisijai.</w:t>
              </w:r>
            </w:p>
            <w:p>
              <w:pPr>
                <w:ind w:firstLine="567"/>
                <w:jc w:val="both"/>
                <w:rPr>
                  <w:rFonts w:eastAsia="Andale Sans UI"/>
                  <w:szCs w:val="24"/>
                  <w:lang w:bidi="en-US"/>
                </w:rPr>
              </w:pPr>
              <w:r>
                <w:rPr>
                  <w:rFonts w:ascii="MS Gothic" w:eastAsia="MS Gothic" w:hAnsi="MS Gothic"/>
                  <w:szCs w:val="24"/>
                  <w:lang w:bidi="en-US"/>
                </w:rPr>
                <w:t>☒</w:t>
              </w:r>
              <w:r>
                <w:rPr>
                  <w:rFonts w:eastAsia="Andale Sans UI"/>
                  <w:szCs w:val="24"/>
                  <w:lang w:bidi="en-US"/>
                </w:rPr>
                <w:t xml:space="preserve"> Projektas notifikuotinas Europos Komisijai (</w:t>
              </w:r>
              <w:r>
                <w:rPr>
                  <w:rFonts w:eastAsia="Andale Sans UI"/>
                  <w:i/>
                  <w:iCs/>
                  <w:szCs w:val="24"/>
                  <w:lang w:bidi="en-US"/>
                </w:rPr>
                <w:t>nurodoma data</w:t>
              </w:r>
              <w:r>
                <w:rPr>
                  <w:rFonts w:eastAsia="Andale Sans UI"/>
                  <w:szCs w:val="24"/>
                  <w:lang w:bidi="en-US"/>
                </w:rPr>
                <w:t>).</w:t>
              </w:r>
            </w:p>
          </w:sdtContent>
        </w:sdt>
        <w:sdt>
          <w:sdtPr>
            <w:alias w:val="8 p."/>
            <w:tag w:val="part_f7765064b44846bb8d71405891562ab4"/>
            <w:lock w:val="sdtLocked"/>
            <w:richText/>
          </w:sdtPr>
          <w:sdtContent>
            <w:p>
              <w:pPr>
                <w:ind w:firstLine="567"/>
                <w:jc w:val="both"/>
                <w:rPr>
                  <w:rFonts w:eastAsia="Andale Sans UI" w:cs="Tahoma"/>
                  <w:color w:val="000000"/>
                  <w:szCs w:val="24"/>
                  <w:lang w:bidi="en-US"/>
                </w:rPr>
              </w:pPr>
              <w:sdt>
                <w:sdtPr>
                  <w:alias w:val="Numeris"/>
                  <w:tag w:val="nr_f7765064b44846bb8d71405891562ab4"/>
                  <w:lock w:val="sdtLocked"/>
                  <w:richText/>
                </w:sdtPr>
                <w:sdtContent>
                  <w:r>
                    <w:rPr>
                      <w:rFonts w:eastAsia="Andale Sans UI"/>
                      <w:b/>
                      <w:bCs/>
                      <w:szCs w:val="24"/>
                      <w:lang w:bidi="en-US"/>
                    </w:rPr>
                    <w:t>8</w:t>
                  </w:r>
                </w:sdtContent>
              </w:sdt>
              <w:r>
                <w:rPr>
                  <w:rFonts w:eastAsia="Andale Sans UI"/>
                  <w:b/>
                  <w:bCs/>
                  <w:szCs w:val="24"/>
                  <w:lang w:bidi="en-US"/>
                </w:rPr>
                <w:t>.</w:t>
              </w:r>
              <w:r>
                <w:rPr>
                  <w:rFonts w:eastAsia="Andale Sans UI"/>
                  <w:szCs w:val="24"/>
                  <w:lang w:bidi="en-US"/>
                </w:rPr>
                <w:t xml:space="preserve"> </w:t>
              </w:r>
              <w:r>
                <w:rPr>
                  <w:b/>
                  <w:bCs/>
                  <w:color w:val="000000"/>
                  <w:szCs w:val="24"/>
                  <w:lang w:eastAsia="lt-LT" w:bidi="en-US"/>
                </w:rPr>
                <w:t>Pranešimo Europos Komisijai teikimas</w:t>
              </w:r>
              <w:r>
                <w:rPr>
                  <w:b/>
                  <w:bCs/>
                  <w:color w:val="000000"/>
                  <w:szCs w:val="24"/>
                  <w:vertAlign w:val="superscript"/>
                  <w:lang w:eastAsia="lt-LT" w:bidi="en-US"/>
                </w:rPr>
                <w:footnoteReference w:id="13"/>
              </w:r>
              <w:r>
                <w:rPr>
                  <w:color w:val="000000"/>
                  <w:szCs w:val="24"/>
                  <w:lang w:eastAsia="lt-LT" w:bidi="en-US"/>
                </w:rPr>
                <w:t xml:space="preserve"> (</w:t>
              </w:r>
              <w:r>
                <w:rPr>
                  <w:szCs w:val="24"/>
                  <w:lang w:eastAsia="lt-LT" w:bidi="en-US"/>
                </w:rPr>
                <w:t>pažymimas tinkamas variantas)</w:t>
              </w:r>
            </w:p>
            <w:p>
              <w:pPr>
                <w:ind w:firstLine="567"/>
                <w:jc w:val="both"/>
                <w:rPr>
                  <w:color w:val="000000"/>
                  <w:szCs w:val="24"/>
                  <w:lang w:eastAsia="lt-LT" w:bidi="en-US"/>
                </w:rPr>
              </w:pPr>
              <w:r>
                <w:rPr>
                  <w:rFonts w:ascii="MS Gothic" w:eastAsia="MS Gothic" w:hAnsi="MS Gothic"/>
                  <w:szCs w:val="24"/>
                  <w:lang w:bidi="en-US"/>
                </w:rPr>
                <w:t>☐</w:t>
              </w:r>
              <w:r>
                <w:rPr>
                  <w:rFonts w:eastAsia="Andale Sans UI"/>
                  <w:szCs w:val="24"/>
                  <w:lang w:bidi="en-US"/>
                </w:rPr>
                <w:t xml:space="preserve"> P</w:t>
              </w:r>
              <w:r>
                <w:rPr>
                  <w:color w:val="000000"/>
                  <w:szCs w:val="24"/>
                  <w:lang w:eastAsia="lt-LT" w:bidi="en-US"/>
                </w:rPr>
                <w:t>ranešimas Europos Komisijai teiktinas.</w:t>
              </w:r>
            </w:p>
            <w:p>
              <w:pPr>
                <w:ind w:firstLine="567"/>
                <w:jc w:val="both"/>
                <w:rPr>
                  <w:rFonts w:eastAsia="Andale Sans UI" w:cs="Tahoma"/>
                  <w:szCs w:val="24"/>
                  <w:lang w:bidi="en-US"/>
                </w:rPr>
              </w:pPr>
              <w:r>
                <w:rPr>
                  <w:rFonts w:ascii="MS Gothic" w:eastAsia="MS Gothic" w:hAnsi="MS Gothic"/>
                  <w:szCs w:val="24"/>
                  <w:lang w:bidi="en-US"/>
                </w:rPr>
                <w:t>☒</w:t>
              </w:r>
              <w:r>
                <w:rPr>
                  <w:rFonts w:eastAsia="Andale Sans UI"/>
                  <w:szCs w:val="24"/>
                  <w:lang w:bidi="en-US"/>
                </w:rPr>
                <w:t xml:space="preserve"> P</w:t>
              </w:r>
              <w:r>
                <w:rPr>
                  <w:color w:val="000000"/>
                  <w:szCs w:val="24"/>
                  <w:lang w:eastAsia="lt-LT" w:bidi="en-US"/>
                </w:rPr>
                <w:t>ranešimas Europos Komisijai neteiktinas.</w:t>
              </w:r>
            </w:p>
          </w:sdtContent>
        </w:sdt>
        <w:sdt>
          <w:sdtPr>
            <w:alias w:val="9 p."/>
            <w:tag w:val="part_750ef7a10e8c470db8efdaccb613d732"/>
            <w:lock w:val="sdtLocked"/>
            <w:richText/>
          </w:sdtPr>
          <w:sdtContent>
            <w:p>
              <w:pPr>
                <w:ind w:firstLine="567"/>
                <w:jc w:val="both"/>
                <w:rPr>
                  <w:rFonts w:eastAsia="Andale Sans UI"/>
                  <w:b/>
                  <w:bCs/>
                  <w:szCs w:val="24"/>
                  <w:lang w:bidi="en-US"/>
                </w:rPr>
              </w:pPr>
              <w:sdt>
                <w:sdtPr>
                  <w:alias w:val="Numeris"/>
                  <w:tag w:val="nr_750ef7a10e8c470db8efdaccb613d732"/>
                  <w:lock w:val="sdtLocked"/>
                  <w:richText/>
                </w:sdtPr>
                <w:sdtContent>
                  <w:r>
                    <w:rPr>
                      <w:rFonts w:eastAsia="Andale Sans UI"/>
                      <w:b/>
                      <w:bCs/>
                      <w:szCs w:val="24"/>
                      <w:lang w:bidi="en-US"/>
                    </w:rPr>
                    <w:t>9</w:t>
                  </w:r>
                </w:sdtContent>
              </w:sdt>
              <w:r>
                <w:rPr>
                  <w:rFonts w:eastAsia="Andale Sans UI"/>
                  <w:b/>
                  <w:bCs/>
                  <w:szCs w:val="24"/>
                  <w:lang w:bidi="en-US"/>
                </w:rPr>
                <w:t xml:space="preserve">. Teisės aktai, kuriuos reikės priimti, pakeisti arba pripažinti netekusiais galios </w:t>
              </w:r>
              <w:r>
                <w:rPr>
                  <w:color w:val="000000"/>
                  <w:szCs w:val="24"/>
                  <w:lang w:eastAsia="lt-LT" w:bidi="en-US"/>
                </w:rPr>
                <w:t>(</w:t>
              </w:r>
              <w:r>
                <w:rPr>
                  <w:szCs w:val="24"/>
                  <w:lang w:eastAsia="lt-LT" w:bidi="en-US"/>
                </w:rPr>
                <w:t>pažymimas tinkamas variantas)</w:t>
              </w:r>
            </w:p>
            <w:p>
              <w:pPr>
                <w:ind w:firstLine="567"/>
                <w:jc w:val="both"/>
                <w:rPr>
                  <w:rFonts w:eastAsia="Andale Sans UI"/>
                  <w:szCs w:val="24"/>
                  <w:lang w:bidi="en-US"/>
                </w:rPr>
              </w:pPr>
              <w:r>
                <w:rPr>
                  <w:rFonts w:ascii="MS Gothic" w:eastAsia="MS Gothic" w:hAnsi="MS Gothic"/>
                  <w:szCs w:val="24"/>
                  <w:lang w:bidi="en-US"/>
                </w:rPr>
                <w:t>☒</w:t>
              </w:r>
              <w:r>
                <w:rPr>
                  <w:rFonts w:eastAsia="Andale Sans UI"/>
                  <w:szCs w:val="24"/>
                  <w:lang w:bidi="en-US"/>
                </w:rPr>
                <w:t xml:space="preserve"> Projektui įtraukti į teisės sistemą kitų teisės aktų priimti nereikės.</w:t>
              </w:r>
            </w:p>
            <w:p>
              <w:pPr>
                <w:ind w:firstLine="567"/>
                <w:jc w:val="both"/>
                <w:rPr>
                  <w:rFonts w:eastAsia="Andale Sans UI"/>
                  <w:szCs w:val="24"/>
                  <w:lang w:bidi="en-US"/>
                </w:rPr>
              </w:pPr>
              <w:r>
                <w:rPr>
                  <w:rFonts w:ascii="Segoe UI Symbol" w:eastAsia="MS Gothic" w:hAnsi="Segoe UI Symbol" w:cs="Segoe UI Symbol"/>
                  <w:szCs w:val="24"/>
                  <w:lang w:bidi="en-US"/>
                </w:rPr>
                <w:t>☐</w:t>
              </w:r>
              <w:r>
                <w:rPr>
                  <w:rFonts w:eastAsia="Andale Sans UI"/>
                  <w:szCs w:val="24"/>
                  <w:lang w:bidi="en-US"/>
                </w:rPr>
                <w:t xml:space="preserve"> Projektui įtraukti į teisės sistemą reikės priimti šiuos teisės aktus: (</w:t>
              </w:r>
              <w:r>
                <w:rPr>
                  <w:rFonts w:eastAsia="Andale Sans UI"/>
                  <w:i/>
                  <w:szCs w:val="24"/>
                  <w:lang w:bidi="en-US"/>
                </w:rPr>
                <w:t>išvardijama</w:t>
              </w:r>
              <w:r>
                <w:rPr>
                  <w:rFonts w:eastAsia="Andale Sans UI"/>
                  <w:szCs w:val="24"/>
                  <w:lang w:bidi="en-US"/>
                </w:rPr>
                <w:t>)</w:t>
              </w:r>
              <w:r>
                <w:rPr>
                  <w:rFonts w:eastAsia="Andale Sans UI"/>
                  <w:i/>
                  <w:szCs w:val="24"/>
                  <w:lang w:bidi="en-US"/>
                </w:rPr>
                <w:t>.</w:t>
              </w:r>
            </w:p>
          </w:sdtContent>
        </w:sdt>
        <w:sdt>
          <w:sdtPr>
            <w:alias w:val="10 p."/>
            <w:tag w:val="part_27534ac2b6974f229df2fd3547b8bf23"/>
            <w:lock w:val="sdtLocked"/>
            <w:richText/>
          </w:sdtPr>
          <w:sdtContent>
            <w:p>
              <w:pPr>
                <w:ind w:firstLine="567"/>
                <w:jc w:val="both"/>
                <w:rPr>
                  <w:rFonts w:eastAsia="Andale Sans UI"/>
                  <w:b/>
                  <w:bCs/>
                  <w:szCs w:val="24"/>
                  <w:lang w:bidi="en-US"/>
                </w:rPr>
              </w:pPr>
              <w:sdt>
                <w:sdtPr>
                  <w:alias w:val="Numeris"/>
                  <w:tag w:val="nr_27534ac2b6974f229df2fd3547b8bf23"/>
                  <w:lock w:val="sdtLocked"/>
                  <w:richText/>
                </w:sdtPr>
                <w:sdtContent>
                  <w:r>
                    <w:rPr>
                      <w:rFonts w:eastAsia="Andale Sans UI"/>
                      <w:b/>
                      <w:bCs/>
                      <w:szCs w:val="24"/>
                      <w:lang w:bidi="en-US"/>
                    </w:rPr>
                    <w:t>10</w:t>
                  </w:r>
                </w:sdtContent>
              </w:sdt>
              <w:r>
                <w:rPr>
                  <w:rFonts w:eastAsia="Andale Sans UI"/>
                  <w:b/>
                  <w:bCs/>
                  <w:szCs w:val="24"/>
                  <w:lang w:bidi="en-US"/>
                </w:rPr>
                <w:t xml:space="preserve">. Informacija apie sąvokų įvertinimą Lietuvos Respublikos terminų banko įstatymo ir jo įgyvendinamųjų teisės aktų nustatyta tvarka </w:t>
              </w:r>
              <w:r>
                <w:rPr>
                  <w:color w:val="000000"/>
                  <w:szCs w:val="24"/>
                  <w:lang w:eastAsia="lt-LT" w:bidi="en-US"/>
                </w:rPr>
                <w:t>(</w:t>
              </w:r>
              <w:r>
                <w:rPr>
                  <w:szCs w:val="24"/>
                  <w:lang w:eastAsia="lt-LT" w:bidi="en-US"/>
                </w:rPr>
                <w:t>pažymimas tinkamas variantas)</w:t>
              </w:r>
            </w:p>
            <w:p>
              <w:pPr>
                <w:ind w:firstLine="567"/>
                <w:jc w:val="both"/>
                <w:rPr>
                  <w:rFonts w:eastAsia="Andale Sans UI"/>
                  <w:szCs w:val="24"/>
                  <w:lang w:bidi="en-US"/>
                </w:rPr>
              </w:pPr>
              <w:r>
                <w:rPr>
                  <w:rFonts w:ascii="Segoe UI Symbol" w:eastAsia="MS Gothic" w:hAnsi="Segoe UI Symbol" w:cs="Segoe UI Symbol"/>
                  <w:szCs w:val="24"/>
                  <w:lang w:bidi="en-US"/>
                </w:rPr>
                <w:t>☐</w:t>
              </w:r>
              <w:r>
                <w:rPr>
                  <w:rFonts w:eastAsia="Andale Sans UI"/>
                  <w:szCs w:val="24"/>
                  <w:lang w:bidi="en-US"/>
                </w:rPr>
                <w:t xml:space="preserve"> Projekte naujų sąvokų nėra.</w:t>
              </w:r>
            </w:p>
            <w:p>
              <w:pPr>
                <w:ind w:firstLine="567"/>
                <w:jc w:val="both"/>
                <w:rPr>
                  <w:rFonts w:eastAsia="Andale Sans UI"/>
                  <w:color w:val="000000"/>
                  <w:szCs w:val="24"/>
                  <w:lang w:bidi="en-US"/>
                </w:rPr>
              </w:pPr>
              <w:r>
                <w:rPr>
                  <w:rFonts w:ascii="MS Gothic" w:eastAsia="MS Gothic" w:hAnsi="MS Gothic"/>
                  <w:szCs w:val="24"/>
                  <w:lang w:bidi="en-US"/>
                </w:rPr>
                <w:t>☒</w:t>
              </w:r>
              <w:r>
                <w:rPr>
                  <w:rFonts w:eastAsia="Andale Sans UI"/>
                  <w:szCs w:val="24"/>
                  <w:lang w:bidi="en-US"/>
                </w:rPr>
                <w:t xml:space="preserve"> P</w:t>
              </w:r>
              <w:r>
                <w:rPr>
                  <w:rFonts w:eastAsia="Andale Sans UI"/>
                  <w:color w:val="000000"/>
                  <w:szCs w:val="24"/>
                  <w:lang w:bidi="en-US"/>
                </w:rPr>
                <w:t>rojekte vartojamos sąvokos aprobuotos Lietuvos Respublikos terminų banko įstatymo ir jo įgyvendinamųjų teisės aktų nustatyta tvarka.</w:t>
              </w:r>
            </w:p>
          </w:sdtContent>
        </w:sdt>
        <w:sdt>
          <w:sdtPr>
            <w:alias w:val="11 p."/>
            <w:tag w:val="part_d13672cc69354b3e90b3558dde9fb2a2"/>
            <w:lock w:val="sdtLocked"/>
            <w:richText/>
          </w:sdtPr>
          <w:sdtContent>
            <w:p>
              <w:pPr>
                <w:ind w:firstLine="567"/>
                <w:jc w:val="both"/>
                <w:rPr>
                  <w:rFonts w:eastAsia="Andale Sans UI"/>
                  <w:b/>
                  <w:bCs/>
                  <w:szCs w:val="24"/>
                  <w:lang w:bidi="en-US"/>
                </w:rPr>
              </w:pPr>
              <w:sdt>
                <w:sdtPr>
                  <w:alias w:val="Numeris"/>
                  <w:tag w:val="nr_d13672cc69354b3e90b3558dde9fb2a2"/>
                  <w:lock w:val="sdtLocked"/>
                  <w:richText/>
                </w:sdtPr>
                <w:sdtContent>
                  <w:r>
                    <w:rPr>
                      <w:rFonts w:eastAsia="Andale Sans UI"/>
                      <w:b/>
                      <w:bCs/>
                      <w:szCs w:val="24"/>
                      <w:lang w:bidi="en-US"/>
                    </w:rPr>
                    <w:t>11</w:t>
                  </w:r>
                </w:sdtContent>
              </w:sdt>
              <w:r>
                <w:rPr>
                  <w:rFonts w:eastAsia="Andale Sans UI"/>
                  <w:b/>
                  <w:bCs/>
                  <w:szCs w:val="24"/>
                  <w:lang w:bidi="en-US"/>
                </w:rPr>
                <w:t>. Kita reikalinga informacija</w:t>
              </w:r>
            </w:p>
            <w:p>
              <w:pPr>
                <w:shd w:val="clear" w:color="auto" w:fill="FFFFFF"/>
                <w:ind w:firstLine="567"/>
                <w:jc w:val="both"/>
                <w:textAlignment w:val="center"/>
                <w:rPr>
                  <w:rFonts w:eastAsia="Andale Sans UI"/>
                  <w:b/>
                  <w:bCs/>
                  <w:szCs w:val="24"/>
                  <w:lang w:bidi="en-US"/>
                </w:rPr>
              </w:pPr>
              <w:r>
                <w:rPr>
                  <w:rFonts w:eastAsia="Andale Sans UI"/>
                  <w:szCs w:val="24"/>
                  <w:lang w:bidi="en-US"/>
                </w:rPr>
                <w:t>P</w:t>
              </w:r>
              <w:r>
                <w:rPr>
                  <w:rFonts w:eastAsia="Andale Sans UI"/>
                  <w:color w:val="000000"/>
                  <w:szCs w:val="24"/>
                  <w:lang w:bidi="en-US"/>
                </w:rPr>
                <w:t>rojekte nereglamentuojamas asmens duomenų naudojimas.</w:t>
              </w:r>
            </w:p>
          </w:sdtContent>
        </w:sdt>
        <w:sdt>
          <w:sdtPr>
            <w:alias w:val="12 p."/>
            <w:tag w:val="part_016d9a74698e4d15b69c281711861b45"/>
            <w:lock w:val="sdtLocked"/>
            <w:richText/>
          </w:sdtPr>
          <w:sdtContent>
            <w:p>
              <w:pPr>
                <w:ind w:firstLine="567"/>
                <w:jc w:val="both"/>
                <w:rPr>
                  <w:rFonts w:eastAsia="Andale Sans UI"/>
                  <w:b/>
                  <w:bCs/>
                  <w:i/>
                  <w:color w:val="000000"/>
                  <w:szCs w:val="24"/>
                  <w:lang w:bidi="en-US"/>
                </w:rPr>
              </w:pPr>
              <w:sdt>
                <w:sdtPr>
                  <w:alias w:val="Numeris"/>
                  <w:tag w:val="nr_016d9a74698e4d15b69c281711861b45"/>
                  <w:lock w:val="sdtLocked"/>
                  <w:richText/>
                </w:sdtPr>
                <w:sdtContent>
                  <w:r>
                    <w:rPr>
                      <w:rFonts w:eastAsia="Andale Sans UI"/>
                      <w:b/>
                      <w:bCs/>
                      <w:szCs w:val="24"/>
                      <w:lang w:bidi="en-US"/>
                    </w:rPr>
                    <w:t>12</w:t>
                  </w:r>
                </w:sdtContent>
              </w:sdt>
              <w:r>
                <w:rPr>
                  <w:rFonts w:eastAsia="Andale Sans UI"/>
                  <w:b/>
                  <w:bCs/>
                  <w:szCs w:val="24"/>
                  <w:lang w:bidi="en-US"/>
                </w:rPr>
                <w:t>. Konsultavimasis su visuomene</w:t>
              </w:r>
              <w:r>
                <w:rPr>
                  <w:rFonts w:eastAsia="Andale Sans UI"/>
                  <w:b/>
                  <w:bCs/>
                  <w:szCs w:val="24"/>
                  <w:vertAlign w:val="superscript"/>
                  <w:lang w:bidi="en-US"/>
                </w:rPr>
                <w:footnoteReference w:id="14"/>
              </w:r>
              <w:r>
                <w:rPr>
                  <w:rFonts w:eastAsia="Andale Sans UI"/>
                  <w:b/>
                  <w:bCs/>
                  <w:szCs w:val="24"/>
                  <w:lang w:bidi="en-US"/>
                </w:rPr>
                <w:t xml:space="preserve"> </w:t>
              </w:r>
              <w:r>
                <w:rPr>
                  <w:rFonts w:eastAsia="Andale Sans UI"/>
                  <w:b/>
                  <w:bCs/>
                  <w:color w:val="000000"/>
                  <w:szCs w:val="24"/>
                  <w:lang w:bidi="en-US"/>
                </w:rPr>
                <w:t>interneto svetainėje epilietis.lrv.lt</w:t>
              </w:r>
              <w:r>
                <w:rPr>
                  <w:rFonts w:eastAsia="Andale Sans UI"/>
                  <w:color w:val="000000"/>
                  <w:szCs w:val="24"/>
                  <w:lang w:bidi="en-US"/>
                </w:rPr>
                <w:t xml:space="preserve"> </w:t>
              </w:r>
              <w:r>
                <w:rPr>
                  <w:rFonts w:eastAsia="Andale Sans UI"/>
                  <w:b/>
                  <w:bCs/>
                  <w:i/>
                  <w:color w:val="000000"/>
                  <w:szCs w:val="24"/>
                  <w:lang w:bidi="en-US"/>
                </w:rPr>
                <w:t xml:space="preserve"> </w:t>
              </w:r>
              <w:r>
                <w:rPr>
                  <w:color w:val="000000"/>
                  <w:szCs w:val="24"/>
                  <w:lang w:eastAsia="lt-LT" w:bidi="en-US"/>
                </w:rPr>
                <w:t>(</w:t>
              </w:r>
              <w:r>
                <w:rPr>
                  <w:szCs w:val="24"/>
                  <w:lang w:eastAsia="lt-LT" w:bidi="en-US"/>
                </w:rPr>
                <w:t>pažymimas tinkamas variantas)</w:t>
              </w:r>
            </w:p>
            <w:p>
              <w:pPr>
                <w:ind w:firstLine="567"/>
                <w:jc w:val="both"/>
                <w:rPr>
                  <w:i/>
                  <w:iCs/>
                  <w:color w:val="000000"/>
                  <w:szCs w:val="24"/>
                  <w:lang w:eastAsia="lt-LT" w:bidi="en-US"/>
                </w:rPr>
              </w:pPr>
              <w:r>
                <w:rPr>
                  <w:rFonts w:ascii="Segoe UI Symbol" w:eastAsia="MS Gothic" w:hAnsi="Segoe UI Symbol" w:cs="Segoe UI Symbol"/>
                  <w:szCs w:val="24"/>
                  <w:lang w:bidi="en-US"/>
                </w:rPr>
                <w:t>☐</w:t>
              </w:r>
              <w:r>
                <w:rPr>
                  <w:rFonts w:eastAsia="Andale Sans UI"/>
                  <w:szCs w:val="24"/>
                  <w:lang w:bidi="en-US"/>
                </w:rPr>
                <w:t xml:space="preserve"> P</w:t>
              </w:r>
              <w:r>
                <w:rPr>
                  <w:rFonts w:eastAsia="Andale Sans UI"/>
                  <w:color w:val="000000"/>
                  <w:szCs w:val="24"/>
                  <w:lang w:bidi="en-US"/>
                </w:rPr>
                <w:t>rojektas viešosioms konsultacijoms skelbtas interneto svetainėje epilietis.lrv.lt, kur pastabas ir pasiūlymus nuo 202.. m. ... ... d. iki 202.. m. ... ... d. galėjo teikti visi suinteresuoti asmenys (</w:t>
              </w:r>
              <w:r>
                <w:rPr>
                  <w:rFonts w:eastAsia="Andale Sans UI"/>
                  <w:i/>
                  <w:color w:val="000000"/>
                  <w:szCs w:val="24"/>
                  <w:lang w:bidi="en-US"/>
                </w:rPr>
                <w:t xml:space="preserve">nurodomas </w:t>
              </w:r>
              <w:r>
                <w:rPr>
                  <w:rFonts w:eastAsia="Andale Sans UI"/>
                  <w:i/>
                  <w:szCs w:val="24"/>
                  <w:lang w:bidi="en-US"/>
                </w:rPr>
                <w:t xml:space="preserve">konsultavimosi tikslas (tikslai), būdas (būdai), </w:t>
              </w:r>
              <w:r>
                <w:rPr>
                  <w:i/>
                  <w:iCs/>
                  <w:color w:val="000000"/>
                  <w:szCs w:val="24"/>
                  <w:lang w:eastAsia="lt-LT" w:bidi="en-US"/>
                </w:rPr>
                <w:t>suinteresuoti asmenys, su kuriais konsultuotasi, konsultavimosi trukmė</w:t>
              </w:r>
              <w:r>
                <w:rPr>
                  <w:rFonts w:eastAsia="Andale Sans UI"/>
                  <w:i/>
                  <w:szCs w:val="24"/>
                  <w:lang w:bidi="en-US"/>
                </w:rPr>
                <w:t xml:space="preserve"> ir apibendrinti konsultavimosi rezultatai </w:t>
              </w:r>
              <w:r>
                <w:rPr>
                  <w:rFonts w:eastAsia="Andale Sans UI"/>
                  <w:i/>
                  <w:color w:val="000000"/>
                  <w:szCs w:val="24"/>
                  <w:lang w:bidi="en-US"/>
                </w:rPr>
                <w:t xml:space="preserve">– </w:t>
              </w:r>
              <w:r>
                <w:rPr>
                  <w:rFonts w:eastAsia="Andale Sans UI"/>
                  <w:i/>
                  <w:szCs w:val="24"/>
                  <w:lang w:bidi="en-US"/>
                </w:rPr>
                <w:t>pateikiamos bendros (agreguotos) viešųjų konsultacijų dalyvių nuomonių tendencijos, nurodoma, kaip į konsultavimosi su visuomene rezultatus atsižvelgta Projekte</w:t>
              </w:r>
              <w:r>
                <w:rPr>
                  <w:rFonts w:eastAsia="Andale Sans UI"/>
                  <w:szCs w:val="24"/>
                  <w:lang w:bidi="en-US"/>
                </w:rPr>
                <w:t>)</w:t>
              </w:r>
              <w:r>
                <w:rPr>
                  <w:rFonts w:eastAsia="Andale Sans UI"/>
                  <w:i/>
                  <w:szCs w:val="24"/>
                  <w:lang w:bidi="en-US"/>
                </w:rPr>
                <w:t xml:space="preserve"> </w:t>
              </w:r>
              <w:r>
                <w:rPr>
                  <w:rFonts w:eastAsia="Andale Sans UI"/>
                  <w:szCs w:val="24"/>
                  <w:lang w:bidi="en-US"/>
                </w:rPr>
                <w:t>(</w:t>
              </w:r>
              <w:r>
                <w:rPr>
                  <w:rFonts w:eastAsia="Andale Sans UI"/>
                  <w:b/>
                  <w:bCs/>
                  <w:iCs/>
                  <w:szCs w:val="24"/>
                  <w:lang w:bidi="en-US"/>
                </w:rPr>
                <w:t>arba</w:t>
              </w:r>
              <w:r>
                <w:rPr>
                  <w:rFonts w:eastAsia="Andale Sans UI"/>
                  <w:iCs/>
                  <w:szCs w:val="24"/>
                  <w:lang w:bidi="en-US"/>
                </w:rPr>
                <w:t xml:space="preserve"> </w:t>
              </w:r>
              <w:r>
                <w:rPr>
                  <w:rFonts w:eastAsia="Andale Sans UI"/>
                  <w:szCs w:val="24"/>
                  <w:lang w:bidi="en-US"/>
                </w:rPr>
                <w:t>P</w:t>
              </w:r>
              <w:r>
                <w:rPr>
                  <w:rFonts w:eastAsia="Andale Sans UI"/>
                  <w:color w:val="000000"/>
                  <w:szCs w:val="24"/>
                  <w:lang w:bidi="en-US"/>
                </w:rPr>
                <w:t>rojektas viešosioms konsultacijoms paskelbtas (</w:t>
              </w:r>
              <w:r>
                <w:rPr>
                  <w:rFonts w:eastAsia="Andale Sans UI"/>
                  <w:b/>
                  <w:bCs/>
                  <w:iCs/>
                  <w:color w:val="000000"/>
                  <w:szCs w:val="24"/>
                  <w:lang w:bidi="en-US"/>
                </w:rPr>
                <w:t>arba</w:t>
              </w:r>
              <w:r>
                <w:rPr>
                  <w:rFonts w:eastAsia="Andale Sans UI"/>
                  <w:color w:val="000000"/>
                  <w:szCs w:val="24"/>
                  <w:lang w:bidi="en-US"/>
                </w:rPr>
                <w:t xml:space="preserve"> bus skelbiamas) interneto svetainėje epilietis.lrv.lt, kur pastabas ir pasiūlymus gali teikti (</w:t>
              </w:r>
              <w:r>
                <w:rPr>
                  <w:rFonts w:eastAsia="Andale Sans UI"/>
                  <w:b/>
                  <w:bCs/>
                  <w:iCs/>
                  <w:color w:val="000000"/>
                  <w:szCs w:val="24"/>
                  <w:lang w:bidi="en-US"/>
                </w:rPr>
                <w:t>arba</w:t>
              </w:r>
              <w:r>
                <w:rPr>
                  <w:rFonts w:eastAsia="Andale Sans UI"/>
                  <w:color w:val="000000"/>
                  <w:szCs w:val="24"/>
                  <w:lang w:bidi="en-US"/>
                </w:rPr>
                <w:t xml:space="preserve"> galės teikti) visi suinteresuoti asmenys (</w:t>
              </w:r>
              <w:r>
                <w:rPr>
                  <w:i/>
                  <w:iCs/>
                  <w:color w:val="000000"/>
                  <w:szCs w:val="24"/>
                  <w:lang w:eastAsia="lt-LT" w:bidi="en-US"/>
                </w:rPr>
                <w:t>nurodomas konsultavimosi tikslas (tikslai), būdas (būdai), suinteresuoti asmenys ir konsultavimosi trukmė</w:t>
              </w:r>
              <w:r>
                <w:rPr>
                  <w:iCs/>
                  <w:color w:val="000000"/>
                  <w:szCs w:val="24"/>
                  <w:lang w:eastAsia="lt-LT" w:bidi="en-US"/>
                </w:rPr>
                <w:t>)</w:t>
              </w:r>
              <w:r>
                <w:rPr>
                  <w:i/>
                  <w:iCs/>
                  <w:color w:val="000000"/>
                  <w:szCs w:val="24"/>
                  <w:lang w:eastAsia="lt-LT" w:bidi="en-US"/>
                </w:rPr>
                <w:t xml:space="preserve">. </w:t>
              </w:r>
            </w:p>
            <w:p>
              <w:pPr>
                <w:ind w:firstLine="567"/>
                <w:jc w:val="both"/>
                <w:rPr>
                  <w:color w:val="000000"/>
                  <w:szCs w:val="24"/>
                  <w:lang w:eastAsia="lt-LT" w:bidi="en-US"/>
                </w:rPr>
              </w:pPr>
              <w:r>
                <w:rPr>
                  <w:rFonts w:ascii="MS Gothic" w:eastAsia="MS Gothic" w:hAnsi="MS Gothic"/>
                  <w:szCs w:val="24"/>
                  <w:lang w:bidi="en-US"/>
                </w:rPr>
                <w:t>☒</w:t>
              </w:r>
              <w:r>
                <w:rPr>
                  <w:rFonts w:eastAsia="Andale Sans UI"/>
                  <w:szCs w:val="24"/>
                  <w:lang w:bidi="en-US"/>
                </w:rPr>
                <w:t xml:space="preserve"> P</w:t>
              </w:r>
              <w:r>
                <w:rPr>
                  <w:rFonts w:eastAsia="Andale Sans UI"/>
                  <w:color w:val="000000"/>
                  <w:szCs w:val="24"/>
                  <w:lang w:bidi="en-US"/>
                </w:rPr>
                <w:t xml:space="preserve">rojekto skelbti viešosioms konsultacijoms interneto svetainėje epilietis.lrv.lt </w:t>
              </w:r>
              <w:r>
                <w:rPr>
                  <w:color w:val="000000"/>
                  <w:szCs w:val="24"/>
                  <w:lang w:eastAsia="lt-LT" w:bidi="en-US"/>
                </w:rPr>
                <w:t>neplanuojama.</w:t>
              </w:r>
            </w:p>
          </w:sdtContent>
        </w:sdt>
        <w:sdt>
          <w:sdtPr>
            <w:alias w:val="13 p."/>
            <w:tag w:val="part_40d49d234d4c439383d2aad3299f4068"/>
            <w:lock w:val="sdtLocked"/>
            <w:richText/>
          </w:sdtPr>
          <w:sdtContent>
            <w:p>
              <w:pPr>
                <w:ind w:firstLine="567"/>
                <w:jc w:val="both"/>
                <w:rPr>
                  <w:rFonts w:eastAsia="Andale Sans UI"/>
                  <w:b/>
                  <w:bCs/>
                  <w:szCs w:val="24"/>
                  <w:lang w:bidi="en-US"/>
                </w:rPr>
              </w:pPr>
              <w:sdt>
                <w:sdtPr>
                  <w:alias w:val="Numeris"/>
                  <w:tag w:val="nr_40d49d234d4c439383d2aad3299f4068"/>
                  <w:lock w:val="sdtLocked"/>
                  <w:richText/>
                </w:sdtPr>
                <w:sdtContent>
                  <w:r>
                    <w:rPr>
                      <w:rFonts w:eastAsia="Andale Sans UI"/>
                      <w:b/>
                      <w:bCs/>
                      <w:szCs w:val="24"/>
                      <w:lang w:bidi="en-US"/>
                    </w:rPr>
                    <w:t>13</w:t>
                  </w:r>
                </w:sdtContent>
              </w:sdt>
              <w:r>
                <w:rPr>
                  <w:rFonts w:eastAsia="Andale Sans UI"/>
                  <w:b/>
                  <w:bCs/>
                  <w:szCs w:val="24"/>
                  <w:lang w:bidi="en-US"/>
                </w:rPr>
                <w:t>. Derinimas su suinteresuotomis institucijomis ir suinteresuotais asmenimis</w:t>
              </w:r>
            </w:p>
            <w:p>
              <w:pPr>
                <w:ind w:firstLine="567"/>
                <w:jc w:val="both"/>
                <w:rPr>
                  <w:rFonts w:eastAsia="Andale Sans UI"/>
                  <w:szCs w:val="24"/>
                  <w:lang w:bidi="en-US"/>
                </w:rPr>
              </w:pPr>
              <w:r>
                <w:rPr>
                  <w:rFonts w:eastAsia="Andale Sans UI"/>
                  <w:szCs w:val="24"/>
                  <w:lang w:bidi="en-US"/>
                </w:rPr>
                <w:t>Projektas skelbiamas Lietuvos Respublikos Seimo kanceliarijos teisės aktų informacinėje sistemoje (TAIS).</w:t>
              </w:r>
            </w:p>
            <w:p>
              <w:pPr>
                <w:ind w:firstLine="567"/>
                <w:jc w:val="both"/>
                <w:rPr>
                  <w:rFonts w:eastAsia="Andale Sans UI"/>
                  <w:szCs w:val="24"/>
                  <w:lang w:bidi="en-US"/>
                </w:rPr>
              </w:pPr>
              <w:r>
                <w:rPr>
                  <w:rFonts w:eastAsia="Andale Sans UI"/>
                  <w:szCs w:val="24"/>
                  <w:lang w:bidi="en-US"/>
                </w:rPr>
                <w:t xml:space="preserve">Derinimo terminas </w:t>
              </w:r>
              <w:r>
                <w:rPr>
                  <w:color w:val="000000"/>
                  <w:szCs w:val="24"/>
                  <w:lang w:eastAsia="lt-LT" w:bidi="en-US"/>
                </w:rPr>
                <w:t>(</w:t>
              </w:r>
              <w:r>
                <w:rPr>
                  <w:szCs w:val="24"/>
                  <w:lang w:eastAsia="lt-LT" w:bidi="en-US"/>
                </w:rPr>
                <w:t>pažymimas tinkamas variantas)</w:t>
              </w:r>
              <w:r>
                <w:rPr>
                  <w:rFonts w:eastAsia="Andale Sans UI"/>
                  <w:szCs w:val="24"/>
                  <w:lang w:bidi="en-US"/>
                </w:rPr>
                <w:t>:</w:t>
              </w:r>
            </w:p>
            <w:p>
              <w:pPr>
                <w:ind w:firstLine="567"/>
                <w:jc w:val="both"/>
                <w:rPr>
                  <w:rFonts w:eastAsia="Andale Sans UI"/>
                  <w:szCs w:val="24"/>
                  <w:lang w:bidi="en-US"/>
                </w:rPr>
              </w:pPr>
              <w:r>
                <w:rPr>
                  <w:rFonts w:ascii="MS Gothic" w:eastAsia="MS Gothic" w:hAnsi="MS Gothic"/>
                  <w:szCs w:val="24"/>
                  <w:lang w:bidi="en-US"/>
                </w:rPr>
                <w:t>☒</w:t>
              </w:r>
              <w:r>
                <w:rPr>
                  <w:rFonts w:eastAsia="Andale Sans UI"/>
                  <w:szCs w:val="24"/>
                  <w:lang w:bidi="en-US"/>
                </w:rPr>
                <w:t xml:space="preserve"> 12 darbo dienų.</w:t>
              </w:r>
            </w:p>
            <w:p>
              <w:pPr>
                <w:ind w:firstLine="567"/>
                <w:jc w:val="both"/>
                <w:rPr>
                  <w:rFonts w:eastAsia="Andale Sans UI"/>
                  <w:szCs w:val="24"/>
                  <w:lang w:bidi="en-US"/>
                </w:rPr>
              </w:pPr>
              <w:r>
                <w:rPr>
                  <w:rFonts w:ascii="Segoe UI Symbol" w:eastAsia="MS Gothic" w:hAnsi="Segoe UI Symbol" w:cs="Segoe UI Symbol"/>
                  <w:szCs w:val="24"/>
                  <w:lang w:bidi="en-US"/>
                </w:rPr>
                <w:t>☐</w:t>
              </w:r>
              <w:r>
                <w:rPr>
                  <w:rFonts w:eastAsia="Andale Sans UI"/>
                  <w:szCs w:val="24"/>
                  <w:lang w:bidi="en-US"/>
                </w:rPr>
                <w:t xml:space="preserve"> 5 darbo dienos (</w:t>
              </w:r>
              <w:r>
                <w:rPr>
                  <w:rFonts w:eastAsia="Calibri" w:cs="Tahoma"/>
                  <w:i/>
                  <w:iCs/>
                  <w:kern w:val="2"/>
                  <w:szCs w:val="24"/>
                  <w:lang w:bidi="en-US"/>
                </w:rPr>
                <w:t xml:space="preserve">jeigu dėl nenumatytų aplinkybių Projektas turi būti priimtas nedelsiant, surašomas motyvuotas prašymas suinteresuotų institucijų pateikti išvadas, o suinteresuotų asmenų – pastabas ir pasiūlymus </w:t>
              </w:r>
              <w:r>
                <w:rPr>
                  <w:rFonts w:eastAsia="Andale Sans UI"/>
                  <w:i/>
                  <w:iCs/>
                  <w:color w:val="000000"/>
                  <w:szCs w:val="24"/>
                  <w:lang w:bidi="en-US"/>
                </w:rPr>
                <w:t xml:space="preserve">dėl Projekto skubos tvarka </w:t>
              </w:r>
              <w:r>
                <w:rPr>
                  <w:rFonts w:eastAsia="Calibri" w:cs="Tahoma"/>
                  <w:i/>
                  <w:iCs/>
                  <w:kern w:val="2"/>
                  <w:szCs w:val="24"/>
                  <w:lang w:eastAsia="lt-LT" w:bidi="en-US"/>
                </w:rPr>
                <w:t>Ministrų, Vyriausybės įstaigų, įstaigų prie ministerijų ir kitų Vyriausybei pavaldžių ir atskaitingų viešojo administravimo subjektų norminių teisės aktų projektų rengimo taisyklių</w:t>
              </w:r>
              <w:r>
                <w:rPr>
                  <w:rFonts w:eastAsia="Andale Sans UI"/>
                  <w:i/>
                  <w:iCs/>
                  <w:szCs w:val="24"/>
                  <w:vertAlign w:val="superscript"/>
                  <w:lang w:bidi="en-US"/>
                </w:rPr>
                <w:footnoteReference w:id="15"/>
              </w:r>
              <w:r>
                <w:rPr>
                  <w:rFonts w:eastAsia="Andale Sans UI"/>
                  <w:i/>
                  <w:iCs/>
                  <w:szCs w:val="24"/>
                  <w:lang w:bidi="en-US"/>
                </w:rPr>
                <w:t xml:space="preserve"> 19 punkte išvardytais išimtiniais atvejais</w:t>
              </w:r>
              <w:r>
                <w:rPr>
                  <w:rFonts w:eastAsia="Andale Sans UI"/>
                  <w:szCs w:val="24"/>
                  <w:lang w:bidi="en-US"/>
                </w:rPr>
                <w:t>)</w:t>
              </w:r>
              <w:r>
                <w:rPr>
                  <w:rFonts w:eastAsia="Andale Sans UI"/>
                  <w:i/>
                  <w:iCs/>
                  <w:szCs w:val="24"/>
                  <w:lang w:bidi="en-US"/>
                </w:rPr>
                <w:t>.</w:t>
              </w:r>
            </w:p>
          </w:sdtContent>
        </w:sdt>
        <w:sdt>
          <w:sdtPr>
            <w:alias w:val="14 p."/>
            <w:tag w:val="part_cf97a466d89a4d7b826ea716fb7a55ca"/>
            <w:lock w:val="sdtLocked"/>
            <w:richText/>
          </w:sdtPr>
          <w:sdtContent>
            <w:p>
              <w:pPr>
                <w:ind w:firstLine="567"/>
                <w:jc w:val="both"/>
                <w:rPr>
                  <w:rFonts w:eastAsia="Andale Sans UI"/>
                  <w:b/>
                  <w:bCs/>
                  <w:szCs w:val="24"/>
                  <w:lang w:bidi="en-US"/>
                </w:rPr>
              </w:pPr>
              <w:sdt>
                <w:sdtPr>
                  <w:alias w:val="Numeris"/>
                  <w:tag w:val="nr_cf97a466d89a4d7b826ea716fb7a55ca"/>
                  <w:lock w:val="sdtLocked"/>
                  <w:richText/>
                </w:sdtPr>
                <w:sdtContent>
                  <w:r>
                    <w:rPr>
                      <w:rFonts w:eastAsia="Andale Sans UI"/>
                      <w:b/>
                      <w:bCs/>
                      <w:szCs w:val="24"/>
                      <w:lang w:bidi="en-US"/>
                    </w:rPr>
                    <w:t>14</w:t>
                  </w:r>
                </w:sdtContent>
              </w:sdt>
              <w:r>
                <w:rPr>
                  <w:rFonts w:eastAsia="Andale Sans UI"/>
                  <w:b/>
                  <w:bCs/>
                  <w:szCs w:val="24"/>
                  <w:lang w:bidi="en-US"/>
                </w:rPr>
                <w:t>. Projekto rengėjai</w:t>
              </w:r>
            </w:p>
            <w:p>
              <w:pPr>
                <w:ind w:firstLine="567"/>
                <w:jc w:val="both"/>
                <w:rPr>
                  <w:rFonts w:eastAsia="Andale Sans UI"/>
                  <w:szCs w:val="24"/>
                  <w:lang w:val="en-US" w:bidi="en-US"/>
                </w:rPr>
              </w:pPr>
              <w:r>
                <w:rPr>
                  <w:rFonts w:eastAsia="Andale Sans UI"/>
                  <w:szCs w:val="24"/>
                  <w:lang w:bidi="en-US"/>
                </w:rPr>
                <w:t xml:space="preserve">Projektą parengė Aplinkos ministerijos Taršos prevencijos politikos grupės (vadovas – Vitalijus Auglys, tel. +370 706 63 651, el. p. vitalijus.auglys@am.lt, vyresnysis patarėjas – Irmantas Valūnas, tel. +370  684 04 000, el. p. irmantas.valunas@am.lt) patarėja Judita Vaišnorienė (tel. +370 695 54 136, el. p. </w:t>
              </w:r>
              <w:r>
                <w:rPr>
                  <w:rFonts w:eastAsia="Andale Sans UI"/>
                  <w:color w:val="000080"/>
                  <w:szCs w:val="24"/>
                  <w:u w:val="single"/>
                  <w:lang w:bidi="en-US"/>
                </w:rPr>
                <w:t>judita.vaisnoriene@am.lt</w:t>
              </w:r>
              <w:r>
                <w:rPr>
                  <w:rFonts w:eastAsia="Andale Sans UI"/>
                  <w:szCs w:val="24"/>
                  <w:lang w:bidi="en-US"/>
                </w:rPr>
                <w:t>) ir Aplinkos apsaugos politikos įgyvendinimo koordinavimo grupės (vadovė – Eglė Paužuolienė, tel. +370 657 99 389, el. p. egle.pauzuoliene</w:t>
              </w:r>
              <w:r>
                <w:rPr>
                  <w:rFonts w:eastAsia="Andale Sans UI"/>
                  <w:szCs w:val="24"/>
                  <w:lang w:val="en-US" w:bidi="en-US"/>
                </w:rPr>
                <w:t>@am.lt</w:t>
              </w:r>
              <w:r>
                <w:rPr>
                  <w:rFonts w:eastAsia="Andale Sans UI"/>
                  <w:szCs w:val="24"/>
                  <w:lang w:bidi="en-US"/>
                </w:rPr>
                <w:t>)</w:t>
              </w:r>
              <w:r>
                <w:rPr>
                  <w:rFonts w:eastAsia="Andale Sans UI" w:cs="Tahoma"/>
                  <w:szCs w:val="24"/>
                  <w:lang w:bidi="en-US"/>
                </w:rPr>
                <w:t xml:space="preserve"> </w:t>
              </w:r>
              <w:r>
                <w:rPr>
                  <w:rFonts w:eastAsia="Andale Sans UI"/>
                  <w:szCs w:val="24"/>
                  <w:lang w:bidi="en-US"/>
                </w:rPr>
                <w:t>patarėjas Benas Švedas (tel. +370 686 17 294, el. p. benas.svedas@am.lt).</w:t>
              </w:r>
            </w:p>
            <w:p>
              <w:pPr>
                <w:ind w:firstLine="567"/>
                <w:jc w:val="both"/>
                <w:rPr>
                  <w:rFonts w:eastAsia="Andale Sans UI"/>
                  <w:szCs w:val="24"/>
                  <w:lang w:bidi="en-US"/>
                </w:rPr>
              </w:pPr>
              <w:r>
                <w:rPr>
                  <w:rFonts w:eastAsia="Andale Sans UI"/>
                  <w:szCs w:val="24"/>
                  <w:lang w:bidi="en-US"/>
                </w:rPr>
                <w:t>PRIDEDAMA:</w:t>
              </w:r>
            </w:p>
          </w:sdtContent>
        </w:sdt>
        <w:sdt>
          <w:sdtPr>
            <w:alias w:val="1 p."/>
            <w:tag w:val="part_c7a0f7c7dd1e40eebc1d6a06925217da"/>
            <w:lock w:val="sdtLocked"/>
            <w:richText/>
          </w:sdtPr>
          <w:sdtContent>
            <w:p>
              <w:pPr>
                <w:ind w:left="927" w:hanging="360"/>
                <w:jc w:val="both"/>
                <w:rPr>
                  <w:color w:val="000000"/>
                  <w:szCs w:val="24"/>
                  <w:lang w:eastAsia="lt-LT" w:bidi="en-US"/>
                </w:rPr>
              </w:pPr>
              <w:sdt>
                <w:sdtPr>
                  <w:alias w:val="Numeris"/>
                  <w:tag w:val="nr_c7a0f7c7dd1e40eebc1d6a06925217da"/>
                  <w:lock w:val="sdtLocked"/>
                  <w:richText/>
                </w:sdtPr>
                <w:sdtContent>
                  <w:r>
                    <w:rPr>
                      <w:rFonts w:eastAsia="Andale Sans UI"/>
                      <w:szCs w:val="24"/>
                      <w:lang w:eastAsia="lt-LT" w:bidi="en-US"/>
                    </w:rPr>
                    <w:t>1</w:t>
                  </w:r>
                </w:sdtContent>
              </w:sdt>
              <w:r>
                <w:rPr>
                  <w:rFonts w:eastAsia="Andale Sans UI"/>
                  <w:szCs w:val="24"/>
                  <w:lang w:eastAsia="lt-LT" w:bidi="en-US"/>
                </w:rPr>
                <w:t>.</w:t>
                <w:tab/>
              </w:r>
              <w:r>
                <w:rPr>
                  <w:rFonts w:eastAsia="Andale Sans UI"/>
                  <w:szCs w:val="24"/>
                  <w:lang w:bidi="en-US"/>
                </w:rPr>
                <w:t>P</w:t>
              </w:r>
              <w:r>
                <w:rPr>
                  <w:color w:val="000000"/>
                  <w:szCs w:val="24"/>
                  <w:lang w:eastAsia="lt-LT" w:bidi="en-US"/>
                </w:rPr>
                <w:t>rojektas, 33 lapai.</w:t>
              </w:r>
            </w:p>
          </w:sdtContent>
        </w:sdt>
        <w:sdt>
          <w:sdtPr>
            <w:alias w:val="2 p."/>
            <w:tag w:val="part_f0a0380aec194763a70267d58e0c4da3"/>
            <w:lock w:val="sdtLocked"/>
            <w:richText/>
          </w:sdtPr>
          <w:sdtContent>
            <w:p>
              <w:pPr>
                <w:ind w:left="927" w:hanging="360"/>
                <w:jc w:val="both"/>
                <w:rPr>
                  <w:rFonts w:eastAsia="Andale Sans UI"/>
                  <w:szCs w:val="24"/>
                  <w:lang w:bidi="en-US"/>
                </w:rPr>
              </w:pPr>
              <w:sdt>
                <w:sdtPr>
                  <w:alias w:val="Numeris"/>
                  <w:tag w:val="nr_f0a0380aec194763a70267d58e0c4da3"/>
                  <w:lock w:val="sdtLocked"/>
                  <w:richText/>
                </w:sdtPr>
                <w:sdtContent>
                  <w:r>
                    <w:rPr>
                      <w:rFonts w:eastAsia="Andale Sans UI"/>
                      <w:szCs w:val="24"/>
                      <w:lang w:bidi="en-US"/>
                    </w:rPr>
                    <w:t>2</w:t>
                  </w:r>
                </w:sdtContent>
              </w:sdt>
              <w:r>
                <w:rPr>
                  <w:rFonts w:eastAsia="Andale Sans UI"/>
                  <w:szCs w:val="24"/>
                  <w:lang w:bidi="en-US"/>
                </w:rPr>
                <w:t>.</w:t>
                <w:tab/>
                <w:t>Antikorupcinė vertinimo pažyma, 6 lapai.</w:t>
              </w:r>
            </w:p>
            <w:p>
              <w:pPr>
                <w:suppressLineNumbers/>
                <w:spacing w:line="276" w:lineRule="auto"/>
                <w:jc w:val="both"/>
                <w:rPr>
                  <w:rFonts w:eastAsia="Andale Sans UI"/>
                  <w:bCs/>
                  <w:szCs w:val="24"/>
                  <w:lang w:bidi="en-US"/>
                </w:rPr>
              </w:pPr>
            </w:p>
            <w:p>
              <w:pPr>
                <w:suppressLineNumbers/>
                <w:spacing w:line="276" w:lineRule="auto"/>
                <w:jc w:val="both"/>
                <w:rPr>
                  <w:rFonts w:eastAsia="Andale Sans UI"/>
                  <w:bCs/>
                  <w:szCs w:val="24"/>
                  <w:lang w:bidi="en-US"/>
                </w:rPr>
              </w:pPr>
            </w:p>
            <w:tbl>
              <w:tblPr>
                <w:tblW w:w="9643" w:type="dxa"/>
                <w:tblInd w:w="8" w:type="dxa"/>
                <w:tblLayout w:type="fixed"/>
                <w:tblCellMar>
                  <w:left w:w="0" w:type="dxa"/>
                  <w:right w:w="0" w:type="dxa"/>
                </w:tblCellMar>
                <w:tblLook w:val="0000" w:firstRow="0" w:lastRow="0" w:firstColumn="0" w:lastColumn="0" w:noHBand="0" w:noVBand="0"/>
              </w:tblPr>
              <w:tblGrid>
                <w:gridCol w:w="4817"/>
                <w:gridCol w:w="4826"/>
              </w:tblGrid>
              <w:tr>
                <w:trPr>
                  <w:trHeight w:val="340"/>
                </w:trPr>
                <w:tc>
                  <w:tcPr>
                    <w:tcW w:w="4817" w:type="dxa"/>
                    <w:vAlign w:val="bottom"/>
                  </w:tcPr>
                  <w:p>
                    <w:pPr>
                      <w:suppressLineNumbers/>
                      <w:spacing w:line="276" w:lineRule="auto"/>
                      <w:jc w:val="both"/>
                      <w:rPr>
                        <w:rFonts w:eastAsia="Andale Sans UI"/>
                        <w:szCs w:val="24"/>
                        <w:lang w:bidi="en-US"/>
                      </w:rPr>
                    </w:pPr>
                    <w:r>
                      <w:rPr>
                        <w:rFonts w:eastAsia="Andale Sans UI"/>
                        <w:szCs w:val="24"/>
                        <w:lang w:bidi="en-US"/>
                      </w:rPr>
                      <w:t>Aplinkos viceministras</w:t>
                    </w:r>
                  </w:p>
                </w:tc>
                <w:tc>
                  <w:tcPr>
                    <w:tcW w:w="4826" w:type="dxa"/>
                    <w:vAlign w:val="bottom"/>
                  </w:tcPr>
                  <w:p>
                    <w:pPr>
                      <w:spacing w:line="276" w:lineRule="auto"/>
                      <w:ind w:right="34"/>
                      <w:jc w:val="right"/>
                      <w:rPr>
                        <w:rFonts w:eastAsia="Andale Sans UI"/>
                        <w:szCs w:val="24"/>
                        <w:lang w:bidi="en-US"/>
                      </w:rPr>
                    </w:pPr>
                    <w:r>
                      <w:rPr>
                        <w:rFonts w:eastAsia="Andale Sans UI"/>
                        <w:szCs w:val="24"/>
                        <w:lang w:bidi="en-US"/>
                      </w:rPr>
                      <w:t>Justas Ruškys</w:t>
                    </w:r>
                  </w:p>
                </w:tc>
              </w:tr>
              <w:tr>
                <w:trPr>
                  <w:trHeight w:val="340"/>
                </w:trPr>
                <w:tc>
                  <w:tcPr>
                    <w:tcW w:w="4817" w:type="dxa"/>
                    <w:vAlign w:val="bottom"/>
                  </w:tcPr>
                  <w:p>
                    <w:pPr>
                      <w:suppressLineNumbers/>
                      <w:spacing w:line="276" w:lineRule="auto"/>
                      <w:jc w:val="both"/>
                      <w:rPr>
                        <w:rFonts w:eastAsia="Andale Sans UI"/>
                        <w:szCs w:val="24"/>
                        <w:lang w:bidi="en-US"/>
                      </w:rPr>
                    </w:pPr>
                  </w:p>
                  <w:p>
                    <w:pPr>
                      <w:suppressLineNumbers/>
                      <w:spacing w:line="276" w:lineRule="auto"/>
                      <w:jc w:val="both"/>
                      <w:rPr>
                        <w:rFonts w:eastAsia="Andale Sans UI"/>
                        <w:szCs w:val="24"/>
                        <w:lang w:bidi="en-US"/>
                      </w:rPr>
                    </w:pPr>
                  </w:p>
                  <w:p>
                    <w:pPr>
                      <w:suppressLineNumbers/>
                      <w:spacing w:line="276" w:lineRule="auto"/>
                      <w:jc w:val="both"/>
                      <w:rPr>
                        <w:rFonts w:eastAsia="Andale Sans UI"/>
                        <w:szCs w:val="24"/>
                        <w:lang w:bidi="en-US"/>
                      </w:rPr>
                    </w:pPr>
                  </w:p>
                  <w:p>
                    <w:pPr>
                      <w:suppressLineNumbers/>
                      <w:spacing w:line="276" w:lineRule="auto"/>
                      <w:jc w:val="both"/>
                      <w:rPr>
                        <w:rFonts w:eastAsia="Andale Sans UI"/>
                        <w:szCs w:val="24"/>
                        <w:lang w:bidi="en-US"/>
                      </w:rPr>
                    </w:pPr>
                  </w:p>
                  <w:p>
                    <w:pPr>
                      <w:suppressLineNumbers/>
                      <w:spacing w:line="276" w:lineRule="auto"/>
                      <w:jc w:val="both"/>
                      <w:rPr>
                        <w:rFonts w:eastAsia="Andale Sans UI"/>
                        <w:szCs w:val="24"/>
                        <w:lang w:bidi="en-US"/>
                      </w:rPr>
                    </w:pPr>
                  </w:p>
                  <w:p>
                    <w:pPr>
                      <w:suppressLineNumbers/>
                      <w:spacing w:line="276" w:lineRule="auto"/>
                      <w:jc w:val="both"/>
                      <w:rPr>
                        <w:rFonts w:eastAsia="Andale Sans UI"/>
                        <w:szCs w:val="24"/>
                        <w:lang w:bidi="en-US"/>
                      </w:rPr>
                    </w:pPr>
                  </w:p>
                  <w:p>
                    <w:pPr>
                      <w:suppressLineNumbers/>
                      <w:spacing w:line="276" w:lineRule="auto"/>
                      <w:jc w:val="both"/>
                      <w:rPr>
                        <w:rFonts w:eastAsia="Andale Sans UI"/>
                        <w:szCs w:val="24"/>
                        <w:lang w:bidi="en-US"/>
                      </w:rPr>
                    </w:pPr>
                  </w:p>
                  <w:p>
                    <w:pPr>
                      <w:suppressLineNumbers/>
                      <w:spacing w:line="276" w:lineRule="auto"/>
                      <w:jc w:val="both"/>
                      <w:rPr>
                        <w:rFonts w:eastAsia="Andale Sans UI"/>
                        <w:szCs w:val="24"/>
                        <w:lang w:bidi="en-US"/>
                      </w:rPr>
                    </w:pPr>
                  </w:p>
                  <w:p>
                    <w:pPr>
                      <w:suppressLineNumbers/>
                      <w:spacing w:line="276" w:lineRule="auto"/>
                      <w:jc w:val="both"/>
                      <w:rPr>
                        <w:rFonts w:eastAsia="Andale Sans UI"/>
                        <w:szCs w:val="24"/>
                        <w:lang w:bidi="en-US"/>
                      </w:rPr>
                    </w:pPr>
                  </w:p>
                  <w:p>
                    <w:pPr>
                      <w:suppressLineNumbers/>
                      <w:spacing w:line="276" w:lineRule="auto"/>
                      <w:jc w:val="both"/>
                      <w:rPr>
                        <w:rFonts w:eastAsia="Andale Sans UI"/>
                        <w:szCs w:val="24"/>
                        <w:lang w:bidi="en-US"/>
                      </w:rPr>
                    </w:pPr>
                  </w:p>
                  <w:p>
                    <w:pPr>
                      <w:suppressLineNumbers/>
                      <w:spacing w:line="276" w:lineRule="auto"/>
                      <w:jc w:val="both"/>
                      <w:rPr>
                        <w:rFonts w:eastAsia="Andale Sans UI"/>
                        <w:szCs w:val="24"/>
                        <w:lang w:bidi="en-US"/>
                      </w:rPr>
                    </w:pPr>
                  </w:p>
                  <w:p>
                    <w:pPr>
                      <w:suppressLineNumbers/>
                      <w:spacing w:line="276" w:lineRule="auto"/>
                      <w:jc w:val="both"/>
                      <w:rPr>
                        <w:rFonts w:eastAsia="Andale Sans UI"/>
                        <w:szCs w:val="24"/>
                        <w:lang w:bidi="en-US"/>
                      </w:rPr>
                    </w:pPr>
                  </w:p>
                  <w:p>
                    <w:pPr>
                      <w:suppressLineNumbers/>
                      <w:spacing w:line="276" w:lineRule="auto"/>
                      <w:jc w:val="both"/>
                      <w:rPr>
                        <w:rFonts w:eastAsia="Andale Sans UI"/>
                        <w:szCs w:val="24"/>
                        <w:lang w:bidi="en-US"/>
                      </w:rPr>
                    </w:pPr>
                  </w:p>
                  <w:p>
                    <w:pPr>
                      <w:suppressLineNumbers/>
                      <w:spacing w:line="276" w:lineRule="auto"/>
                      <w:jc w:val="both"/>
                      <w:rPr>
                        <w:rFonts w:eastAsia="Andale Sans UI"/>
                        <w:szCs w:val="24"/>
                        <w:lang w:bidi="en-US"/>
                      </w:rPr>
                    </w:pPr>
                  </w:p>
                  <w:p>
                    <w:pPr>
                      <w:suppressLineNumbers/>
                      <w:spacing w:line="276" w:lineRule="auto"/>
                      <w:jc w:val="both"/>
                      <w:rPr>
                        <w:rFonts w:eastAsia="Andale Sans UI"/>
                        <w:szCs w:val="24"/>
                        <w:lang w:bidi="en-US"/>
                      </w:rPr>
                    </w:pPr>
                  </w:p>
                  <w:p>
                    <w:pPr>
                      <w:suppressLineNumbers/>
                      <w:spacing w:line="276" w:lineRule="auto"/>
                      <w:jc w:val="both"/>
                      <w:rPr>
                        <w:rFonts w:eastAsia="Andale Sans UI"/>
                        <w:szCs w:val="24"/>
                        <w:lang w:bidi="en-US"/>
                      </w:rPr>
                    </w:pPr>
                  </w:p>
                  <w:p>
                    <w:pPr>
                      <w:suppressLineNumbers/>
                      <w:spacing w:line="276" w:lineRule="auto"/>
                      <w:jc w:val="both"/>
                      <w:rPr>
                        <w:rFonts w:eastAsia="Andale Sans UI"/>
                        <w:szCs w:val="24"/>
                        <w:lang w:bidi="en-US"/>
                      </w:rPr>
                    </w:pPr>
                  </w:p>
                  <w:p>
                    <w:pPr>
                      <w:suppressLineNumbers/>
                      <w:spacing w:line="276" w:lineRule="auto"/>
                      <w:jc w:val="both"/>
                      <w:rPr>
                        <w:rFonts w:eastAsia="Andale Sans UI"/>
                        <w:szCs w:val="24"/>
                        <w:lang w:bidi="en-US"/>
                      </w:rPr>
                    </w:pPr>
                  </w:p>
                  <w:p>
                    <w:pPr>
                      <w:suppressLineNumbers/>
                      <w:spacing w:line="276" w:lineRule="auto"/>
                      <w:jc w:val="both"/>
                      <w:rPr>
                        <w:rFonts w:eastAsia="Andale Sans UI"/>
                        <w:szCs w:val="24"/>
                        <w:lang w:bidi="en-US"/>
                      </w:rPr>
                    </w:pPr>
                  </w:p>
                  <w:p>
                    <w:pPr>
                      <w:suppressLineNumbers/>
                      <w:spacing w:line="276" w:lineRule="auto"/>
                      <w:jc w:val="both"/>
                      <w:rPr>
                        <w:rFonts w:eastAsia="Andale Sans UI"/>
                        <w:szCs w:val="24"/>
                        <w:lang w:bidi="en-US"/>
                      </w:rPr>
                    </w:pPr>
                  </w:p>
                </w:tc>
                <w:tc>
                  <w:tcPr>
                    <w:tcW w:w="4826" w:type="dxa"/>
                    <w:vAlign w:val="bottom"/>
                  </w:tcPr>
                  <w:p>
                    <w:pPr>
                      <w:spacing w:line="276" w:lineRule="auto"/>
                      <w:ind w:right="34"/>
                      <w:jc w:val="right"/>
                      <w:rPr>
                        <w:rFonts w:eastAsia="Andale Sans UI"/>
                        <w:szCs w:val="24"/>
                        <w:lang w:bidi="en-US"/>
                      </w:rPr>
                    </w:pPr>
                  </w:p>
                </w:tc>
              </w:tr>
              <w:tr>
                <w:trPr>
                  <w:cantSplit/>
                  <w:trHeight w:val="340"/>
                </w:trPr>
                <w:tc>
                  <w:tcPr>
                    <w:tcW w:w="9643" w:type="dxa"/>
                    <w:gridSpan w:val="2"/>
                  </w:tcPr>
                  <w:p>
                    <w:pPr>
                      <w:suppressLineNumbers/>
                      <w:jc w:val="both"/>
                      <w:rPr>
                        <w:rFonts w:eastAsia="Andale Sans UI"/>
                        <w:szCs w:val="24"/>
                        <w:lang w:bidi="en-US"/>
                      </w:rPr>
                    </w:pPr>
                    <w:r>
                      <w:rPr>
                        <w:rFonts w:eastAsia="Andale Sans UI"/>
                        <w:szCs w:val="24"/>
                        <w:lang w:bidi="en-US"/>
                      </w:rPr>
                      <w:t>J. Vaišnorienė, tel. +370 </w:t>
                    </w:r>
                    <w:r>
                      <w:rPr>
                        <w:rFonts w:eastAsia="Andale Sans UI" w:cs="Tahoma"/>
                        <w:szCs w:val="24"/>
                        <w:lang w:bidi="en-US"/>
                      </w:rPr>
                      <w:t>695 54 136</w:t>
                    </w:r>
                    <w:r>
                      <w:rPr>
                        <w:rFonts w:eastAsia="Andale Sans UI"/>
                        <w:szCs w:val="24"/>
                        <w:lang w:bidi="en-US"/>
                      </w:rPr>
                      <w:t xml:space="preserve">, el. p. </w:t>
                    </w:r>
                    <w:r>
                      <w:rPr>
                        <w:rFonts w:eastAsia="Andale Sans UI"/>
                        <w:color w:val="000080"/>
                        <w:szCs w:val="24"/>
                        <w:u w:val="single"/>
                        <w:lang w:bidi="en-US"/>
                      </w:rPr>
                      <w:t>judita.vaisnoriene@am.lt</w:t>
                    </w:r>
                  </w:p>
                  <w:p>
                    <w:pPr>
                      <w:suppressLineNumbers/>
                      <w:jc w:val="both"/>
                      <w:rPr>
                        <w:rFonts w:eastAsia="Andale Sans UI"/>
                        <w:szCs w:val="24"/>
                        <w:lang w:bidi="en-US"/>
                      </w:rPr>
                    </w:pPr>
                    <w:r>
                      <w:rPr>
                        <w:rFonts w:eastAsia="Andale Sans UI"/>
                        <w:szCs w:val="24"/>
                        <w:lang w:bidi="en-US"/>
                      </w:rPr>
                      <w:t xml:space="preserve">B. Švedas, tel. +370 686 17 294, el. p. </w:t>
                    </w:r>
                    <w:r>
                      <w:rPr>
                        <w:rFonts w:eastAsia="Andale Sans UI"/>
                        <w:color w:val="000080"/>
                        <w:szCs w:val="24"/>
                        <w:u w:val="single"/>
                        <w:lang w:bidi="en-US"/>
                      </w:rPr>
                      <w:t>benas.svedas@am.lt</w:t>
                    </w:r>
                  </w:p>
                  <w:p>
                    <w:pPr>
                      <w:suppressLineNumbers/>
                      <w:jc w:val="both"/>
                      <w:rPr>
                        <w:rFonts w:eastAsia="Andale Sans UI"/>
                        <w:szCs w:val="24"/>
                        <w:lang w:bidi="en-US"/>
                      </w:rPr>
                    </w:pPr>
                  </w:p>
                </w:tc>
              </w:tr>
            </w:tbl>
            <w:p>
              <w:pPr>
                <w:jc w:val="center"/>
                <w:rPr>
                  <w:rFonts w:eastAsia="Andale Sans UI" w:cs="Tahoma"/>
                  <w:szCs w:val="24"/>
                  <w:lang w:bidi="en-US"/>
                </w:rPr>
                <w:sectPr>
                  <w:headerReference w:type="even" r:id="rId14"/>
                  <w:headerReference w:type="default" r:id="rId15"/>
                  <w:footerReference w:type="even" r:id="rId16"/>
                  <w:footerReference w:type="default" r:id="rId17"/>
                  <w:headerReference w:type="first" r:id="rId18"/>
                  <w:footerReference w:type="first" r:id="rId19"/>
                  <w:footnotePr>
                    <w:pos w:val="beneathText"/>
                  </w:footnotePr>
                  <w:endnotePr>
                    <w:numFmt w:val="decimal"/>
                  </w:endnotePr>
                  <w:pgSz w:w="11905" w:h="16837"/>
                  <w:pgMar w:top="1021" w:right="567" w:bottom="1021" w:left="1588" w:header="567" w:footer="232" w:gutter="0"/>
                  <w:cols w:space="1296"/>
                  <w:titlePg/>
                  <w:docGrid w:linePitch="326"/>
                </w:sectPr>
              </w:pPr>
            </w:p>
            <w:p>
              <w:pPr>
                <w:suppressLineNumbers/>
                <w:tabs>
                  <w:tab w:val="center" w:pos="4800"/>
                  <w:tab w:val="right" w:pos="9601"/>
                </w:tabs>
                <w:jc w:val="both"/>
                <w:rPr>
                  <w:rFonts w:eastAsia="Andale Sans UI" w:cs="Tahoma"/>
                  <w:szCs w:val="24"/>
                  <w:lang w:bidi="en-US"/>
                </w:rPr>
              </w:pPr>
            </w:p>
            <w:p>
              <w:pPr>
                <w:jc w:val="center"/>
                <w:rPr>
                  <w:rFonts w:eastAsia="Andale Sans UI" w:cs="Tahoma"/>
                  <w:szCs w:val="24"/>
                  <w:lang w:bidi="en-US"/>
                </w:rPr>
              </w:pPr>
              <w:r>
                <w:rPr>
                  <w:rFonts w:eastAsia="Andale Sans UI" w:cs="Tahoma"/>
                  <w:szCs w:val="24"/>
                  <w:lang w:bidi="en-US"/>
                </w:rPr>
                <w:t>ADRESATŲ SĄRAŠAS</w:t>
              </w:r>
            </w:p>
            <w:p>
              <w:pPr>
                <w:ind w:firstLine="567"/>
                <w:jc w:val="center"/>
                <w:rPr>
                  <w:rFonts w:eastAsia="Andale Sans UI" w:cs="Tahoma"/>
                  <w:szCs w:val="24"/>
                  <w:lang w:bidi="en-US"/>
                </w:rPr>
              </w:pPr>
            </w:p>
            <w:p>
              <w:pPr>
                <w:textAlignment w:val="baseline"/>
                <w:rPr>
                  <w:rFonts w:ascii="Segoe UI" w:hAnsi="Segoe UI" w:cs="Segoe UI"/>
                  <w:sz w:val="18"/>
                  <w:szCs w:val="18"/>
                  <w:lang w:eastAsia="lt-LT"/>
                </w:rPr>
              </w:pPr>
            </w:p>
            <w:p>
              <w:pPr>
                <w:textAlignment w:val="baseline"/>
                <w:rPr>
                  <w:rFonts w:ascii="Segoe UI" w:hAnsi="Segoe UI" w:cs="Segoe UI"/>
                  <w:sz w:val="18"/>
                  <w:szCs w:val="18"/>
                  <w:lang w:eastAsia="lt-LT"/>
                </w:rPr>
              </w:pPr>
            </w:p>
            <w:p>
              <w:pPr>
                <w:ind w:firstLine="567"/>
                <w:jc w:val="both"/>
                <w:rPr>
                  <w:rFonts w:eastAsia="Andale Sans UI" w:cs="Tahoma"/>
                  <w:szCs w:val="24"/>
                  <w:lang w:bidi="en-US"/>
                </w:rPr>
              </w:pPr>
              <w:r>
                <w:rPr>
                  <w:rFonts w:eastAsia="Andale Sans UI" w:cs="Tahoma"/>
                  <w:szCs w:val="24"/>
                  <w:lang w:bidi="en-US"/>
                </w:rPr>
                <w:t>Atsakingai vandentvarkos asociacijai „Vandens jėga“</w:t>
              </w:r>
            </w:p>
            <w:p>
              <w:pPr>
                <w:ind w:firstLine="567"/>
                <w:jc w:val="both"/>
                <w:rPr>
                  <w:rFonts w:eastAsia="Andale Sans UI" w:cs="Tahoma"/>
                  <w:szCs w:val="24"/>
                  <w:lang w:bidi="en-US"/>
                </w:rPr>
              </w:pPr>
              <w:r>
                <w:rPr>
                  <w:rFonts w:eastAsia="Andale Sans UI" w:cs="Tahoma"/>
                  <w:szCs w:val="24"/>
                  <w:lang w:bidi="en-US"/>
                </w:rPr>
                <w:t>Lietuvos Respublikos ekonomikos ir inovacijų ministerijai</w:t>
              </w:r>
            </w:p>
            <w:p>
              <w:pPr>
                <w:ind w:firstLine="567"/>
                <w:jc w:val="both"/>
                <w:rPr>
                  <w:rFonts w:eastAsia="Andale Sans UI" w:cs="Tahoma"/>
                  <w:szCs w:val="24"/>
                  <w:lang w:bidi="en-US"/>
                </w:rPr>
              </w:pPr>
              <w:r>
                <w:rPr>
                  <w:rFonts w:eastAsia="Andale Sans UI" w:cs="Tahoma"/>
                  <w:szCs w:val="24"/>
                  <w:lang w:bidi="en-US"/>
                </w:rPr>
                <w:t>Lietuvos Respublikos krašto apsaugos ministerijai</w:t>
              </w:r>
            </w:p>
            <w:p>
              <w:pPr>
                <w:ind w:firstLine="567"/>
                <w:jc w:val="both"/>
                <w:rPr>
                  <w:rFonts w:eastAsia="Andale Sans UI" w:cs="Tahoma"/>
                  <w:szCs w:val="24"/>
                  <w:lang w:bidi="en-US"/>
                </w:rPr>
              </w:pPr>
              <w:r>
                <w:rPr>
                  <w:rFonts w:eastAsia="Andale Sans UI" w:cs="Tahoma"/>
                  <w:szCs w:val="24"/>
                  <w:lang w:bidi="en-US"/>
                </w:rPr>
                <w:t>Lietuvos Respublikos vidaus reikalų ministerijai</w:t>
              </w:r>
            </w:p>
            <w:p>
              <w:pPr>
                <w:ind w:firstLine="567"/>
                <w:jc w:val="both"/>
                <w:rPr>
                  <w:rFonts w:eastAsia="Andale Sans UI" w:cs="Tahoma"/>
                  <w:szCs w:val="24"/>
                  <w:lang w:bidi="en-US"/>
                </w:rPr>
              </w:pPr>
              <w:r>
                <w:rPr>
                  <w:rFonts w:eastAsia="Andale Sans UI" w:cs="Tahoma"/>
                  <w:szCs w:val="24"/>
                  <w:lang w:bidi="en-US"/>
                </w:rPr>
                <w:t>Lietuvos savivaldybių asociacijai</w:t>
              </w:r>
            </w:p>
            <w:p>
              <w:pPr>
                <w:ind w:firstLine="567"/>
                <w:jc w:val="both"/>
                <w:rPr>
                  <w:rFonts w:eastAsia="Andale Sans UI" w:cs="Tahoma"/>
                  <w:szCs w:val="24"/>
                  <w:lang w:bidi="en-US"/>
                </w:rPr>
              </w:pPr>
              <w:r>
                <w:rPr>
                  <w:rFonts w:eastAsia="Andale Sans UI" w:cs="Tahoma"/>
                  <w:szCs w:val="24"/>
                  <w:lang w:bidi="en-US"/>
                </w:rPr>
                <w:t>Lietuvos vandens tiekėjų asociacijai</w:t>
              </w:r>
            </w:p>
            <w:p>
              <w:pPr>
                <w:ind w:firstLine="567"/>
                <w:jc w:val="both"/>
                <w:rPr>
                  <w:rFonts w:eastAsia="Andale Sans UI" w:cs="Tahoma"/>
                  <w:szCs w:val="24"/>
                  <w:lang w:bidi="en-US"/>
                </w:rPr>
              </w:pPr>
              <w:r>
                <w:rPr>
                  <w:rFonts w:eastAsia="Andale Sans UI" w:cs="Tahoma"/>
                  <w:szCs w:val="24"/>
                  <w:lang w:bidi="en-US"/>
                </w:rPr>
                <w:t>Lietuvos šaulių sąjungai</w:t>
              </w:r>
            </w:p>
            <w:p>
              <w:pPr>
                <w:ind w:firstLine="567"/>
                <w:jc w:val="both"/>
                <w:rPr>
                  <w:rFonts w:eastAsia="Andale Sans UI" w:cs="Tahoma"/>
                  <w:szCs w:val="24"/>
                  <w:lang w:bidi="en-US"/>
                </w:rPr>
              </w:pPr>
              <w:r>
                <w:rPr>
                  <w:rFonts w:eastAsia="Andale Sans UI" w:cs="Tahoma"/>
                  <w:szCs w:val="24"/>
                  <w:lang w:bidi="en-US"/>
                </w:rPr>
                <w:t>Policijos departamentui prie Lietuvos Respublikos vidaus reikalų ministerijos</w:t>
              </w:r>
            </w:p>
            <w:p>
              <w:pPr>
                <w:ind w:firstLine="567"/>
                <w:jc w:val="both"/>
                <w:rPr>
                  <w:rFonts w:eastAsia="Andale Sans UI" w:cs="Tahoma"/>
                  <w:szCs w:val="24"/>
                  <w:lang w:bidi="en-US"/>
                </w:rPr>
              </w:pPr>
              <w:r>
                <w:rPr>
                  <w:rFonts w:eastAsia="Andale Sans UI" w:cs="Tahoma"/>
                  <w:szCs w:val="24"/>
                  <w:lang w:bidi="en-US"/>
                </w:rPr>
                <w:t>Valstybinei energetikos reguliavimo tarybai</w:t>
              </w:r>
            </w:p>
            <w:p>
              <w:pPr>
                <w:ind w:firstLine="567"/>
                <w:jc w:val="both"/>
                <w:rPr>
                  <w:rFonts w:eastAsia="Andale Sans UI" w:cs="Tahoma"/>
                  <w:szCs w:val="24"/>
                  <w:lang w:bidi="en-US"/>
                </w:rPr>
              </w:pPr>
              <w:r>
                <w:rPr>
                  <w:rFonts w:eastAsia="Andale Sans UI" w:cs="Tahoma"/>
                  <w:szCs w:val="24"/>
                  <w:lang w:bidi="en-US"/>
                </w:rPr>
                <w:t>Viešojo saugumo tarnybai prie Lietuvos Respublikos vidaus reikalų ministerijos</w:t>
              </w:r>
            </w:p>
            <w:p>
              <w:pPr>
                <w:ind w:firstLine="567"/>
                <w:jc w:val="both"/>
                <w:rPr>
                  <w:rFonts w:eastAsia="Andale Sans UI" w:cs="Tahoma"/>
                  <w:szCs w:val="24"/>
                  <w:lang w:bidi="en-US"/>
                </w:rPr>
              </w:pPr>
              <w:r>
                <w:rPr>
                  <w:rFonts w:eastAsia="Andale Sans UI" w:cs="Tahoma"/>
                  <w:szCs w:val="24"/>
                  <w:lang w:bidi="en-US"/>
                </w:rPr>
                <w:t xml:space="preserve">UAB „Akmenės vandenys“, </w:t>
              </w:r>
            </w:p>
            <w:p>
              <w:pPr>
                <w:ind w:firstLine="567"/>
                <w:jc w:val="both"/>
                <w:rPr>
                  <w:rFonts w:eastAsia="Andale Sans UI" w:cs="Tahoma"/>
                  <w:szCs w:val="24"/>
                  <w:lang w:bidi="en-US"/>
                </w:rPr>
              </w:pPr>
              <w:r>
                <w:rPr>
                  <w:rFonts w:eastAsia="Andale Sans UI" w:cs="Tahoma"/>
                  <w:szCs w:val="24"/>
                  <w:lang w:bidi="en-US"/>
                </w:rPr>
                <w:t xml:space="preserve">UAB „Anykščių vandenys“, </w:t>
              </w:r>
            </w:p>
            <w:p>
              <w:pPr>
                <w:ind w:firstLine="567"/>
                <w:jc w:val="both"/>
                <w:rPr>
                  <w:rFonts w:eastAsia="Andale Sans UI" w:cs="Tahoma"/>
                  <w:szCs w:val="24"/>
                  <w:lang w:bidi="en-US"/>
                </w:rPr>
              </w:pPr>
              <w:r>
                <w:rPr>
                  <w:rFonts w:eastAsia="Andale Sans UI" w:cs="Tahoma"/>
                  <w:szCs w:val="24"/>
                  <w:lang w:bidi="en-US"/>
                </w:rPr>
                <w:t xml:space="preserve">UAB „Aukštaitijos vandenys“, </w:t>
              </w:r>
            </w:p>
            <w:p>
              <w:pPr>
                <w:ind w:firstLine="567"/>
                <w:jc w:val="both"/>
                <w:rPr>
                  <w:rFonts w:eastAsia="Andale Sans UI" w:cs="Tahoma"/>
                  <w:szCs w:val="24"/>
                  <w:lang w:bidi="en-US"/>
                </w:rPr>
              </w:pPr>
              <w:r>
                <w:rPr>
                  <w:rFonts w:eastAsia="Andale Sans UI" w:cs="Tahoma"/>
                  <w:szCs w:val="24"/>
                  <w:lang w:bidi="en-US"/>
                </w:rPr>
                <w:t xml:space="preserve">UAB „Birštono vandentiekis“, </w:t>
              </w:r>
            </w:p>
            <w:p>
              <w:pPr>
                <w:ind w:firstLine="567"/>
                <w:jc w:val="both"/>
                <w:rPr>
                  <w:rFonts w:eastAsia="Andale Sans UI" w:cs="Tahoma"/>
                  <w:szCs w:val="24"/>
                  <w:lang w:bidi="en-US"/>
                </w:rPr>
              </w:pPr>
              <w:r>
                <w:rPr>
                  <w:rFonts w:eastAsia="Andale Sans UI" w:cs="Tahoma"/>
                  <w:szCs w:val="24"/>
                  <w:lang w:bidi="en-US"/>
                </w:rPr>
                <w:t xml:space="preserve">UAB „Biržų vandenys“, </w:t>
              </w:r>
            </w:p>
            <w:p>
              <w:pPr>
                <w:ind w:firstLine="567"/>
                <w:jc w:val="both"/>
                <w:rPr>
                  <w:rFonts w:eastAsia="Andale Sans UI" w:cs="Tahoma"/>
                  <w:szCs w:val="24"/>
                  <w:lang w:bidi="en-US"/>
                </w:rPr>
              </w:pPr>
              <w:r>
                <w:rPr>
                  <w:rFonts w:eastAsia="Andale Sans UI" w:cs="Tahoma"/>
                  <w:szCs w:val="24"/>
                  <w:lang w:bidi="en-US"/>
                </w:rPr>
                <w:t xml:space="preserve">UAB „Druskininkų vandenys“, </w:t>
              </w:r>
            </w:p>
            <w:p>
              <w:pPr>
                <w:ind w:firstLine="567"/>
                <w:jc w:val="both"/>
                <w:rPr>
                  <w:rFonts w:eastAsia="Andale Sans UI" w:cs="Tahoma"/>
                  <w:szCs w:val="24"/>
                  <w:lang w:bidi="en-US"/>
                </w:rPr>
              </w:pPr>
              <w:r>
                <w:rPr>
                  <w:rFonts w:eastAsia="Andale Sans UI" w:cs="Tahoma"/>
                  <w:szCs w:val="24"/>
                  <w:lang w:bidi="en-US"/>
                </w:rPr>
                <w:t xml:space="preserve">UAB „Dzūkijos vandenys“, </w:t>
              </w:r>
            </w:p>
            <w:p>
              <w:pPr>
                <w:ind w:firstLine="567"/>
                <w:jc w:val="both"/>
                <w:rPr>
                  <w:rFonts w:eastAsia="Andale Sans UI" w:cs="Tahoma"/>
                  <w:szCs w:val="24"/>
                  <w:lang w:bidi="en-US"/>
                </w:rPr>
              </w:pPr>
              <w:r>
                <w:rPr>
                  <w:rFonts w:eastAsia="Andale Sans UI" w:cs="Tahoma"/>
                  <w:szCs w:val="24"/>
                  <w:lang w:bidi="en-US"/>
                </w:rPr>
                <w:t xml:space="preserve">UAB „Giraitės vandenys“, </w:t>
              </w:r>
            </w:p>
            <w:p>
              <w:pPr>
                <w:ind w:firstLine="567"/>
                <w:jc w:val="both"/>
                <w:rPr>
                  <w:rFonts w:eastAsia="Andale Sans UI" w:cs="Tahoma"/>
                  <w:szCs w:val="24"/>
                  <w:lang w:bidi="en-US"/>
                </w:rPr>
              </w:pPr>
              <w:r>
                <w:rPr>
                  <w:rFonts w:eastAsia="Andale Sans UI" w:cs="Tahoma"/>
                  <w:szCs w:val="24"/>
                  <w:lang w:bidi="en-US"/>
                </w:rPr>
                <w:t xml:space="preserve">UAB „Ignalinos butų ūkis“, </w:t>
              </w:r>
            </w:p>
            <w:p>
              <w:pPr>
                <w:ind w:firstLine="567"/>
                <w:jc w:val="both"/>
                <w:rPr>
                  <w:rFonts w:eastAsia="Andale Sans UI" w:cs="Tahoma"/>
                  <w:szCs w:val="24"/>
                  <w:lang w:bidi="en-US"/>
                </w:rPr>
              </w:pPr>
              <w:r>
                <w:rPr>
                  <w:rFonts w:eastAsia="Andale Sans UI" w:cs="Tahoma"/>
                  <w:szCs w:val="24"/>
                  <w:lang w:bidi="en-US"/>
                </w:rPr>
                <w:t xml:space="preserve">UAB „Jonavos vandenys“, </w:t>
              </w:r>
            </w:p>
            <w:p>
              <w:pPr>
                <w:ind w:firstLine="567"/>
                <w:jc w:val="both"/>
                <w:rPr>
                  <w:rFonts w:eastAsia="Andale Sans UI" w:cs="Tahoma"/>
                  <w:szCs w:val="24"/>
                  <w:lang w:bidi="en-US"/>
                </w:rPr>
              </w:pPr>
              <w:r>
                <w:rPr>
                  <w:rFonts w:eastAsia="Andale Sans UI" w:cs="Tahoma"/>
                  <w:szCs w:val="24"/>
                  <w:lang w:bidi="en-US"/>
                </w:rPr>
                <w:t xml:space="preserve">UAB „Joniškio vandenys“, </w:t>
              </w:r>
            </w:p>
            <w:p>
              <w:pPr>
                <w:ind w:firstLine="567"/>
                <w:jc w:val="both"/>
                <w:rPr>
                  <w:rFonts w:eastAsia="Andale Sans UI" w:cs="Tahoma"/>
                  <w:szCs w:val="24"/>
                  <w:lang w:bidi="en-US"/>
                </w:rPr>
              </w:pPr>
              <w:r>
                <w:rPr>
                  <w:rFonts w:eastAsia="Andale Sans UI" w:cs="Tahoma"/>
                  <w:szCs w:val="24"/>
                  <w:lang w:bidi="en-US"/>
                </w:rPr>
                <w:t xml:space="preserve">UAB „Jurbarko vandenys“, </w:t>
              </w:r>
            </w:p>
            <w:p>
              <w:pPr>
                <w:ind w:firstLine="567"/>
                <w:jc w:val="both"/>
                <w:rPr>
                  <w:rFonts w:eastAsia="Andale Sans UI" w:cs="Tahoma"/>
                  <w:szCs w:val="24"/>
                  <w:lang w:bidi="en-US"/>
                </w:rPr>
              </w:pPr>
              <w:r>
                <w:rPr>
                  <w:rFonts w:eastAsia="Andale Sans UI" w:cs="Tahoma"/>
                  <w:szCs w:val="24"/>
                  <w:lang w:bidi="en-US"/>
                </w:rPr>
                <w:t xml:space="preserve">UAB „Kaišiadorių vandenys“, </w:t>
              </w:r>
            </w:p>
            <w:p>
              <w:pPr>
                <w:ind w:firstLine="567"/>
                <w:jc w:val="both"/>
                <w:rPr>
                  <w:rFonts w:eastAsia="Andale Sans UI" w:cs="Tahoma"/>
                  <w:szCs w:val="24"/>
                  <w:lang w:bidi="en-US"/>
                </w:rPr>
              </w:pPr>
              <w:r>
                <w:rPr>
                  <w:rFonts w:eastAsia="Andale Sans UI" w:cs="Tahoma"/>
                  <w:szCs w:val="24"/>
                  <w:lang w:bidi="en-US"/>
                </w:rPr>
                <w:t xml:space="preserve">UAB „Kauno vandenys“, </w:t>
              </w:r>
            </w:p>
            <w:p>
              <w:pPr>
                <w:ind w:firstLine="567"/>
                <w:jc w:val="both"/>
                <w:rPr>
                  <w:rFonts w:eastAsia="Andale Sans UI" w:cs="Tahoma"/>
                  <w:szCs w:val="24"/>
                  <w:lang w:bidi="en-US"/>
                </w:rPr>
              </w:pPr>
              <w:r>
                <w:rPr>
                  <w:rFonts w:eastAsia="Andale Sans UI" w:cs="Tahoma"/>
                  <w:szCs w:val="24"/>
                  <w:lang w:bidi="en-US"/>
                </w:rPr>
                <w:t xml:space="preserve">UAB „Kėdainių vandenys“, </w:t>
              </w:r>
            </w:p>
            <w:p>
              <w:pPr>
                <w:ind w:firstLine="567"/>
                <w:jc w:val="both"/>
                <w:rPr>
                  <w:rFonts w:eastAsia="Andale Sans UI" w:cs="Tahoma"/>
                  <w:szCs w:val="24"/>
                  <w:lang w:bidi="en-US"/>
                </w:rPr>
              </w:pPr>
              <w:r>
                <w:rPr>
                  <w:rFonts w:eastAsia="Andale Sans UI" w:cs="Tahoma"/>
                  <w:szCs w:val="24"/>
                  <w:lang w:bidi="en-US"/>
                </w:rPr>
                <w:t xml:space="preserve">UAB „Kelmės vanduo“, </w:t>
              </w:r>
            </w:p>
            <w:p>
              <w:pPr>
                <w:ind w:firstLine="567"/>
                <w:jc w:val="both"/>
                <w:rPr>
                  <w:rFonts w:eastAsia="Andale Sans UI" w:cs="Tahoma"/>
                  <w:szCs w:val="24"/>
                  <w:lang w:bidi="en-US"/>
                </w:rPr>
              </w:pPr>
              <w:r>
                <w:rPr>
                  <w:rFonts w:eastAsia="Andale Sans UI" w:cs="Tahoma"/>
                  <w:szCs w:val="24"/>
                  <w:lang w:bidi="en-US"/>
                </w:rPr>
                <w:t xml:space="preserve">AB „Klaipėdos vanduo“, </w:t>
              </w:r>
            </w:p>
            <w:p>
              <w:pPr>
                <w:ind w:firstLine="567"/>
                <w:jc w:val="both"/>
                <w:rPr>
                  <w:rFonts w:eastAsia="Andale Sans UI" w:cs="Tahoma"/>
                  <w:szCs w:val="24"/>
                  <w:lang w:bidi="en-US"/>
                </w:rPr>
              </w:pPr>
              <w:r>
                <w:rPr>
                  <w:rFonts w:eastAsia="Andale Sans UI" w:cs="Tahoma"/>
                  <w:szCs w:val="24"/>
                  <w:lang w:bidi="en-US"/>
                </w:rPr>
                <w:t xml:space="preserve">UAB „Kretingos vandenys“, </w:t>
              </w:r>
            </w:p>
            <w:p>
              <w:pPr>
                <w:ind w:firstLine="567"/>
                <w:jc w:val="both"/>
                <w:rPr>
                  <w:rFonts w:eastAsia="Andale Sans UI" w:cs="Tahoma"/>
                  <w:szCs w:val="24"/>
                  <w:lang w:bidi="en-US"/>
                </w:rPr>
              </w:pPr>
              <w:r>
                <w:rPr>
                  <w:rFonts w:eastAsia="Andale Sans UI" w:cs="Tahoma"/>
                  <w:szCs w:val="24"/>
                  <w:lang w:bidi="en-US"/>
                </w:rPr>
                <w:t xml:space="preserve">UAB „Kupiškio vandenys“, </w:t>
              </w:r>
            </w:p>
            <w:p>
              <w:pPr>
                <w:ind w:firstLine="567"/>
                <w:jc w:val="both"/>
                <w:rPr>
                  <w:rFonts w:eastAsia="Andale Sans UI" w:cs="Tahoma"/>
                  <w:szCs w:val="24"/>
                  <w:lang w:bidi="en-US"/>
                </w:rPr>
              </w:pPr>
              <w:r>
                <w:rPr>
                  <w:rFonts w:eastAsia="Andale Sans UI" w:cs="Tahoma"/>
                  <w:szCs w:val="24"/>
                  <w:lang w:bidi="en-US"/>
                </w:rPr>
                <w:t xml:space="preserve">UAB „Kuršėnų vandenys“, </w:t>
              </w:r>
            </w:p>
            <w:p>
              <w:pPr>
                <w:ind w:firstLine="567"/>
                <w:jc w:val="both"/>
                <w:rPr>
                  <w:rFonts w:eastAsia="Andale Sans UI" w:cs="Tahoma"/>
                  <w:szCs w:val="24"/>
                  <w:lang w:bidi="en-US"/>
                </w:rPr>
              </w:pPr>
              <w:r>
                <w:rPr>
                  <w:rFonts w:eastAsia="Andale Sans UI" w:cs="Tahoma"/>
                  <w:szCs w:val="24"/>
                  <w:lang w:bidi="en-US"/>
                </w:rPr>
                <w:t xml:space="preserve">UAB „Lazdijų vanduo“, </w:t>
              </w:r>
            </w:p>
            <w:p>
              <w:pPr>
                <w:ind w:firstLine="567"/>
                <w:jc w:val="both"/>
                <w:rPr>
                  <w:rFonts w:eastAsia="Andale Sans UI" w:cs="Tahoma"/>
                  <w:szCs w:val="24"/>
                  <w:lang w:bidi="en-US"/>
                </w:rPr>
              </w:pPr>
              <w:r>
                <w:rPr>
                  <w:rFonts w:eastAsia="Andale Sans UI" w:cs="Tahoma"/>
                  <w:szCs w:val="24"/>
                  <w:lang w:bidi="en-US"/>
                </w:rPr>
                <w:t xml:space="preserve">UAB „Mažeikių vandenys“, </w:t>
              </w:r>
            </w:p>
            <w:p>
              <w:pPr>
                <w:ind w:firstLine="567"/>
                <w:jc w:val="both"/>
                <w:rPr>
                  <w:rFonts w:eastAsia="Andale Sans UI" w:cs="Tahoma"/>
                  <w:szCs w:val="24"/>
                  <w:lang w:bidi="en-US"/>
                </w:rPr>
              </w:pPr>
              <w:r>
                <w:rPr>
                  <w:rFonts w:eastAsia="Andale Sans UI" w:cs="Tahoma"/>
                  <w:szCs w:val="24"/>
                  <w:lang w:bidi="en-US"/>
                </w:rPr>
                <w:t xml:space="preserve">UAB „Molėtų vanduo“, </w:t>
              </w:r>
            </w:p>
            <w:p>
              <w:pPr>
                <w:ind w:firstLine="567"/>
                <w:jc w:val="both"/>
                <w:rPr>
                  <w:rFonts w:eastAsia="Andale Sans UI" w:cs="Tahoma"/>
                  <w:szCs w:val="24"/>
                  <w:lang w:bidi="en-US"/>
                </w:rPr>
              </w:pPr>
              <w:r>
                <w:rPr>
                  <w:rFonts w:eastAsia="Andale Sans UI" w:cs="Tahoma"/>
                  <w:szCs w:val="24"/>
                  <w:lang w:bidi="en-US"/>
                </w:rPr>
                <w:t xml:space="preserve">UAB „Neringos vanduo“, </w:t>
              </w:r>
            </w:p>
            <w:p>
              <w:pPr>
                <w:ind w:firstLine="567"/>
                <w:jc w:val="both"/>
                <w:rPr>
                  <w:rFonts w:eastAsia="Andale Sans UI" w:cs="Tahoma"/>
                  <w:szCs w:val="24"/>
                  <w:lang w:bidi="en-US"/>
                </w:rPr>
              </w:pPr>
              <w:r>
                <w:rPr>
                  <w:rFonts w:eastAsia="Andale Sans UI" w:cs="Tahoma"/>
                  <w:szCs w:val="24"/>
                  <w:lang w:bidi="en-US"/>
                </w:rPr>
                <w:t xml:space="preserve">UAB „Pakruojo vandentiekis“, </w:t>
              </w:r>
            </w:p>
            <w:p>
              <w:pPr>
                <w:ind w:firstLine="567"/>
                <w:jc w:val="both"/>
                <w:rPr>
                  <w:rFonts w:eastAsia="Andale Sans UI" w:cs="Tahoma"/>
                  <w:szCs w:val="24"/>
                  <w:lang w:bidi="en-US"/>
                </w:rPr>
              </w:pPr>
              <w:r>
                <w:rPr>
                  <w:rFonts w:eastAsia="Andale Sans UI" w:cs="Tahoma"/>
                  <w:szCs w:val="24"/>
                  <w:lang w:bidi="en-US"/>
                </w:rPr>
                <w:t xml:space="preserve">UAB „Palangos vandenys“, </w:t>
              </w:r>
            </w:p>
            <w:p>
              <w:pPr>
                <w:ind w:firstLine="567"/>
                <w:jc w:val="both"/>
                <w:rPr>
                  <w:rFonts w:eastAsia="Andale Sans UI" w:cs="Tahoma"/>
                  <w:szCs w:val="24"/>
                  <w:lang w:bidi="en-US"/>
                </w:rPr>
              </w:pPr>
              <w:r>
                <w:rPr>
                  <w:rFonts w:eastAsia="Andale Sans UI" w:cs="Tahoma"/>
                  <w:szCs w:val="24"/>
                  <w:lang w:bidi="en-US"/>
                </w:rPr>
                <w:t xml:space="preserve">UAB „Pasvalio vandenys“, </w:t>
              </w:r>
            </w:p>
            <w:p>
              <w:pPr>
                <w:ind w:firstLine="567"/>
                <w:jc w:val="both"/>
                <w:rPr>
                  <w:rFonts w:eastAsia="Andale Sans UI" w:cs="Tahoma"/>
                  <w:szCs w:val="24"/>
                  <w:lang w:bidi="en-US"/>
                </w:rPr>
              </w:pPr>
              <w:r>
                <w:rPr>
                  <w:rFonts w:eastAsia="Andale Sans UI" w:cs="Tahoma"/>
                  <w:szCs w:val="24"/>
                  <w:lang w:bidi="en-US"/>
                </w:rPr>
                <w:t xml:space="preserve">UAB „Plungės vandenys“, </w:t>
              </w:r>
            </w:p>
            <w:p>
              <w:pPr>
                <w:ind w:firstLine="567"/>
                <w:jc w:val="both"/>
                <w:rPr>
                  <w:rFonts w:eastAsia="Andale Sans UI" w:cs="Tahoma"/>
                  <w:szCs w:val="24"/>
                  <w:lang w:bidi="en-US"/>
                </w:rPr>
              </w:pPr>
              <w:r>
                <w:rPr>
                  <w:rFonts w:eastAsia="Andale Sans UI" w:cs="Tahoma"/>
                  <w:szCs w:val="24"/>
                  <w:lang w:bidi="en-US"/>
                </w:rPr>
                <w:t xml:space="preserve">UAB „Prienų vandenys“, </w:t>
              </w:r>
            </w:p>
            <w:p>
              <w:pPr>
                <w:ind w:firstLine="567"/>
                <w:jc w:val="both"/>
                <w:rPr>
                  <w:rFonts w:eastAsia="Andale Sans UI" w:cs="Tahoma"/>
                  <w:szCs w:val="24"/>
                  <w:lang w:bidi="en-US"/>
                </w:rPr>
              </w:pPr>
              <w:r>
                <w:rPr>
                  <w:rFonts w:eastAsia="Andale Sans UI" w:cs="Tahoma"/>
                  <w:szCs w:val="24"/>
                  <w:lang w:bidi="en-US"/>
                </w:rPr>
                <w:t xml:space="preserve">UAB „Radviliškio vanduo“, </w:t>
              </w:r>
            </w:p>
            <w:p>
              <w:pPr>
                <w:ind w:firstLine="567"/>
                <w:jc w:val="both"/>
                <w:rPr>
                  <w:rFonts w:eastAsia="Andale Sans UI" w:cs="Tahoma"/>
                  <w:szCs w:val="24"/>
                  <w:lang w:bidi="en-US"/>
                </w:rPr>
              </w:pPr>
              <w:r>
                <w:rPr>
                  <w:rFonts w:eastAsia="Andale Sans UI" w:cs="Tahoma"/>
                  <w:szCs w:val="24"/>
                  <w:lang w:bidi="en-US"/>
                </w:rPr>
                <w:t xml:space="preserve">UAB „Raseinių vandenys“, </w:t>
              </w:r>
            </w:p>
            <w:p>
              <w:pPr>
                <w:ind w:firstLine="567"/>
                <w:jc w:val="both"/>
                <w:rPr>
                  <w:rFonts w:eastAsia="Andale Sans UI" w:cs="Tahoma"/>
                  <w:szCs w:val="24"/>
                  <w:lang w:bidi="en-US"/>
                </w:rPr>
              </w:pPr>
              <w:r>
                <w:rPr>
                  <w:rFonts w:eastAsia="Andale Sans UI" w:cs="Tahoma"/>
                  <w:szCs w:val="24"/>
                  <w:lang w:bidi="en-US"/>
                </w:rPr>
                <w:t xml:space="preserve">UAB „Rokiškio vandenys“, </w:t>
              </w:r>
            </w:p>
            <w:p>
              <w:pPr>
                <w:ind w:firstLine="567"/>
                <w:jc w:val="both"/>
                <w:rPr>
                  <w:rFonts w:eastAsia="Andale Sans UI" w:cs="Tahoma"/>
                  <w:szCs w:val="24"/>
                  <w:lang w:bidi="en-US"/>
                </w:rPr>
              </w:pPr>
              <w:r>
                <w:rPr>
                  <w:rFonts w:eastAsia="Andale Sans UI" w:cs="Tahoma"/>
                  <w:szCs w:val="24"/>
                  <w:lang w:bidi="en-US"/>
                </w:rPr>
                <w:t xml:space="preserve">UAB „Skuodo vandenys“, </w:t>
              </w:r>
            </w:p>
            <w:p>
              <w:pPr>
                <w:ind w:firstLine="567"/>
                <w:jc w:val="both"/>
                <w:rPr>
                  <w:rFonts w:eastAsia="Andale Sans UI" w:cs="Tahoma"/>
                  <w:szCs w:val="24"/>
                  <w:lang w:bidi="en-US"/>
                </w:rPr>
              </w:pPr>
              <w:r>
                <w:rPr>
                  <w:rFonts w:eastAsia="Andale Sans UI" w:cs="Tahoma"/>
                  <w:szCs w:val="24"/>
                  <w:lang w:bidi="en-US"/>
                </w:rPr>
                <w:t xml:space="preserve">UAB „Sūduvos vandenys“, </w:t>
              </w:r>
            </w:p>
            <w:p>
              <w:pPr>
                <w:ind w:firstLine="567"/>
                <w:jc w:val="both"/>
                <w:rPr>
                  <w:rFonts w:eastAsia="Andale Sans UI" w:cs="Tahoma"/>
                  <w:szCs w:val="24"/>
                  <w:lang w:bidi="en-US"/>
                </w:rPr>
              </w:pPr>
              <w:r>
                <w:rPr>
                  <w:rFonts w:eastAsia="Andale Sans UI" w:cs="Tahoma"/>
                  <w:szCs w:val="24"/>
                  <w:lang w:bidi="en-US"/>
                </w:rPr>
                <w:t xml:space="preserve">UAB „Šakių vandenys“, </w:t>
              </w:r>
            </w:p>
            <w:p>
              <w:pPr>
                <w:ind w:firstLine="567"/>
                <w:jc w:val="both"/>
                <w:rPr>
                  <w:rFonts w:eastAsia="Andale Sans UI" w:cs="Tahoma"/>
                  <w:szCs w:val="24"/>
                  <w:lang w:bidi="en-US"/>
                </w:rPr>
              </w:pPr>
              <w:r>
                <w:rPr>
                  <w:rFonts w:eastAsia="Andale Sans UI" w:cs="Tahoma"/>
                  <w:szCs w:val="24"/>
                  <w:lang w:bidi="en-US"/>
                </w:rPr>
                <w:t xml:space="preserve">UAB „Šiaulių vandenys“, </w:t>
              </w:r>
            </w:p>
            <w:p>
              <w:pPr>
                <w:ind w:firstLine="567"/>
                <w:jc w:val="both"/>
                <w:rPr>
                  <w:rFonts w:eastAsia="Andale Sans UI" w:cs="Tahoma"/>
                  <w:szCs w:val="24"/>
                  <w:lang w:bidi="en-US"/>
                </w:rPr>
              </w:pPr>
              <w:r>
                <w:rPr>
                  <w:rFonts w:eastAsia="Andale Sans UI" w:cs="Tahoma"/>
                  <w:szCs w:val="24"/>
                  <w:lang w:bidi="en-US"/>
                </w:rPr>
                <w:t xml:space="preserve">UAB „Šilalės vandenys“, </w:t>
              </w:r>
            </w:p>
            <w:p>
              <w:pPr>
                <w:ind w:firstLine="567"/>
                <w:jc w:val="both"/>
                <w:rPr>
                  <w:rFonts w:eastAsia="Andale Sans UI" w:cs="Tahoma"/>
                  <w:szCs w:val="24"/>
                  <w:lang w:bidi="en-US"/>
                </w:rPr>
              </w:pPr>
              <w:r>
                <w:rPr>
                  <w:rFonts w:eastAsia="Andale Sans UI" w:cs="Tahoma"/>
                  <w:szCs w:val="24"/>
                  <w:lang w:bidi="en-US"/>
                </w:rPr>
                <w:t xml:space="preserve">UAB „Šilutės vandenys“, </w:t>
              </w:r>
            </w:p>
            <w:p>
              <w:pPr>
                <w:ind w:firstLine="567"/>
                <w:jc w:val="both"/>
                <w:rPr>
                  <w:rFonts w:eastAsia="Andale Sans UI" w:cs="Tahoma"/>
                  <w:szCs w:val="24"/>
                  <w:lang w:bidi="en-US"/>
                </w:rPr>
              </w:pPr>
              <w:r>
                <w:rPr>
                  <w:rFonts w:eastAsia="Andale Sans UI" w:cs="Tahoma"/>
                  <w:szCs w:val="24"/>
                  <w:lang w:bidi="en-US"/>
                </w:rPr>
                <w:t xml:space="preserve">UAB „Širvintų vandenys“, </w:t>
              </w:r>
            </w:p>
            <w:p>
              <w:pPr>
                <w:ind w:firstLine="567"/>
                <w:jc w:val="both"/>
                <w:rPr>
                  <w:rFonts w:eastAsia="Andale Sans UI" w:cs="Tahoma"/>
                  <w:szCs w:val="24"/>
                  <w:lang w:bidi="en-US"/>
                </w:rPr>
              </w:pPr>
              <w:r>
                <w:rPr>
                  <w:rFonts w:eastAsia="Andale Sans UI" w:cs="Tahoma"/>
                  <w:szCs w:val="24"/>
                  <w:lang w:bidi="en-US"/>
                </w:rPr>
                <w:t xml:space="preserve">UAB „Tauragės vandenys“, </w:t>
              </w:r>
            </w:p>
            <w:p>
              <w:pPr>
                <w:ind w:firstLine="567"/>
                <w:jc w:val="both"/>
                <w:rPr>
                  <w:rFonts w:eastAsia="Andale Sans UI" w:cs="Tahoma"/>
                  <w:szCs w:val="24"/>
                  <w:lang w:bidi="en-US"/>
                </w:rPr>
              </w:pPr>
              <w:r>
                <w:rPr>
                  <w:rFonts w:eastAsia="Andale Sans UI" w:cs="Tahoma"/>
                  <w:szCs w:val="24"/>
                  <w:lang w:bidi="en-US"/>
                </w:rPr>
                <w:t xml:space="preserve">UAB „Telšių vandenys“, </w:t>
              </w:r>
            </w:p>
            <w:p>
              <w:pPr>
                <w:ind w:firstLine="567"/>
                <w:jc w:val="both"/>
                <w:rPr>
                  <w:rFonts w:eastAsia="Andale Sans UI" w:cs="Tahoma"/>
                  <w:szCs w:val="24"/>
                  <w:lang w:bidi="en-US"/>
                </w:rPr>
              </w:pPr>
              <w:r>
                <w:rPr>
                  <w:rFonts w:eastAsia="Andale Sans UI" w:cs="Tahoma"/>
                  <w:szCs w:val="24"/>
                  <w:lang w:bidi="en-US"/>
                </w:rPr>
                <w:t xml:space="preserve">UAB „Trakų vandenys“, </w:t>
              </w:r>
            </w:p>
            <w:p>
              <w:pPr>
                <w:ind w:firstLine="567"/>
                <w:jc w:val="both"/>
                <w:rPr>
                  <w:rFonts w:eastAsia="Andale Sans UI" w:cs="Tahoma"/>
                  <w:szCs w:val="24"/>
                  <w:lang w:bidi="en-US"/>
                </w:rPr>
              </w:pPr>
              <w:r>
                <w:rPr>
                  <w:rFonts w:eastAsia="Andale Sans UI" w:cs="Tahoma"/>
                  <w:szCs w:val="24"/>
                  <w:lang w:bidi="en-US"/>
                </w:rPr>
                <w:t xml:space="preserve">UAB „Ukmergės vandenys“, </w:t>
              </w:r>
            </w:p>
            <w:p>
              <w:pPr>
                <w:ind w:firstLine="567"/>
                <w:jc w:val="both"/>
                <w:rPr>
                  <w:rFonts w:eastAsia="Andale Sans UI" w:cs="Tahoma"/>
                  <w:szCs w:val="24"/>
                  <w:lang w:bidi="en-US"/>
                </w:rPr>
              </w:pPr>
              <w:r>
                <w:rPr>
                  <w:rFonts w:eastAsia="Andale Sans UI" w:cs="Tahoma"/>
                  <w:szCs w:val="24"/>
                  <w:lang w:bidi="en-US"/>
                </w:rPr>
                <w:t xml:space="preserve">UAB „Utenos vandenys“, </w:t>
              </w:r>
            </w:p>
            <w:p>
              <w:pPr>
                <w:ind w:firstLine="567"/>
                <w:jc w:val="both"/>
                <w:rPr>
                  <w:rFonts w:eastAsia="Andale Sans UI" w:cs="Tahoma"/>
                  <w:szCs w:val="24"/>
                  <w:lang w:bidi="en-US"/>
                </w:rPr>
              </w:pPr>
              <w:r>
                <w:rPr>
                  <w:rFonts w:eastAsia="Andale Sans UI" w:cs="Tahoma"/>
                  <w:szCs w:val="24"/>
                  <w:lang w:bidi="en-US"/>
                </w:rPr>
                <w:t xml:space="preserve">UAB „Varėnos vandenys“, </w:t>
              </w:r>
            </w:p>
            <w:p>
              <w:pPr>
                <w:ind w:firstLine="567"/>
                <w:jc w:val="both"/>
                <w:rPr>
                  <w:rFonts w:eastAsia="Andale Sans UI" w:cs="Tahoma"/>
                  <w:szCs w:val="24"/>
                  <w:lang w:bidi="en-US"/>
                </w:rPr>
              </w:pPr>
              <w:r>
                <w:rPr>
                  <w:rFonts w:eastAsia="Andale Sans UI" w:cs="Tahoma"/>
                  <w:szCs w:val="24"/>
                  <w:lang w:bidi="en-US"/>
                </w:rPr>
                <w:t xml:space="preserve">UAB „Vilkaviškio vandenys“, </w:t>
              </w:r>
            </w:p>
            <w:p>
              <w:pPr>
                <w:ind w:firstLine="567"/>
                <w:jc w:val="both"/>
                <w:rPr>
                  <w:rFonts w:eastAsia="Andale Sans UI" w:cs="Tahoma"/>
                  <w:szCs w:val="24"/>
                  <w:lang w:bidi="en-US"/>
                </w:rPr>
              </w:pPr>
              <w:r>
                <w:rPr>
                  <w:rFonts w:eastAsia="Andale Sans UI" w:cs="Tahoma"/>
                  <w:szCs w:val="24"/>
                  <w:lang w:bidi="en-US"/>
                </w:rPr>
                <w:t xml:space="preserve">UAB „Vilniaus vandenys“, </w:t>
              </w:r>
            </w:p>
            <w:p>
              <w:pPr>
                <w:ind w:firstLine="567"/>
                <w:jc w:val="both"/>
                <w:rPr>
                  <w:rFonts w:eastAsia="Andale Sans UI" w:cs="Tahoma"/>
                  <w:szCs w:val="24"/>
                  <w:lang w:bidi="en-US"/>
                </w:rPr>
              </w:pPr>
              <w:r>
                <w:rPr>
                  <w:rFonts w:eastAsia="Andale Sans UI" w:cs="Tahoma"/>
                  <w:szCs w:val="24"/>
                  <w:lang w:bidi="en-US"/>
                </w:rPr>
                <w:t xml:space="preserve">VĮ „Visagino energija“, </w:t>
              </w:r>
            </w:p>
            <w:p>
              <w:pPr>
                <w:ind w:firstLine="567"/>
                <w:jc w:val="both"/>
                <w:rPr>
                  <w:rFonts w:eastAsia="Andale Sans UI" w:cs="Tahoma"/>
                  <w:szCs w:val="24"/>
                  <w:lang w:bidi="en-US"/>
                </w:rPr>
              </w:pPr>
              <w:r>
                <w:rPr>
                  <w:rFonts w:eastAsia="Andale Sans UI" w:cs="Tahoma"/>
                  <w:szCs w:val="24"/>
                  <w:lang w:bidi="en-US"/>
                </w:rPr>
                <w:t xml:space="preserve">UAB „Zarasų būstas“, </w:t>
              </w:r>
            </w:p>
            <w:p>
              <w:pPr>
                <w:ind w:firstLine="567"/>
                <w:jc w:val="both"/>
                <w:rPr>
                  <w:rFonts w:eastAsia="Andale Sans UI" w:cs="Tahoma"/>
                  <w:szCs w:val="24"/>
                  <w:lang w:bidi="en-US"/>
                </w:rPr>
              </w:pPr>
              <w:r>
                <w:rPr>
                  <w:rFonts w:eastAsia="Andale Sans UI" w:cs="Tahoma"/>
                  <w:szCs w:val="24"/>
                  <w:lang w:bidi="en-US"/>
                </w:rPr>
                <w:t xml:space="preserve">UAB „Elektrėnų komunalinis ūkis“, </w:t>
              </w:r>
            </w:p>
            <w:p>
              <w:pPr>
                <w:ind w:firstLine="567"/>
                <w:jc w:val="both"/>
                <w:rPr>
                  <w:rFonts w:eastAsia="Andale Sans UI" w:cs="Tahoma"/>
                  <w:szCs w:val="24"/>
                  <w:lang w:bidi="en-US"/>
                </w:rPr>
              </w:pPr>
              <w:r>
                <w:rPr>
                  <w:rFonts w:eastAsia="Andale Sans UI" w:cs="Tahoma"/>
                  <w:szCs w:val="24"/>
                  <w:lang w:bidi="en-US"/>
                </w:rPr>
                <w:t xml:space="preserve">UAB „Kalvarijos komunalininkas“, </w:t>
              </w:r>
            </w:p>
            <w:p>
              <w:pPr>
                <w:ind w:firstLine="567"/>
                <w:jc w:val="both"/>
                <w:rPr>
                  <w:rFonts w:eastAsia="Andale Sans UI" w:cs="Tahoma"/>
                  <w:szCs w:val="24"/>
                  <w:lang w:bidi="en-US"/>
                </w:rPr>
              </w:pPr>
              <w:r>
                <w:rPr>
                  <w:rFonts w:eastAsia="Andale Sans UI" w:cs="Tahoma"/>
                  <w:szCs w:val="24"/>
                  <w:lang w:bidi="en-US"/>
                </w:rPr>
                <w:t xml:space="preserve">UAB „Nemėžio komunalininkas“, </w:t>
              </w:r>
            </w:p>
            <w:p>
              <w:pPr>
                <w:ind w:firstLine="567"/>
                <w:jc w:val="both"/>
                <w:rPr>
                  <w:rFonts w:eastAsia="Andale Sans UI" w:cs="Tahoma"/>
                  <w:szCs w:val="24"/>
                  <w:lang w:bidi="en-US"/>
                </w:rPr>
              </w:pPr>
              <w:r>
                <w:rPr>
                  <w:rFonts w:eastAsia="Andale Sans UI" w:cs="Tahoma"/>
                  <w:szCs w:val="24"/>
                  <w:lang w:bidi="en-US"/>
                </w:rPr>
                <w:t xml:space="preserve">UAB „Nemenčinės komunalininkas“, </w:t>
              </w:r>
            </w:p>
            <w:p>
              <w:pPr>
                <w:ind w:firstLine="567"/>
                <w:jc w:val="both"/>
                <w:rPr>
                  <w:rFonts w:eastAsia="Andale Sans UI" w:cs="Tahoma"/>
                  <w:szCs w:val="24"/>
                  <w:lang w:bidi="en-US"/>
                </w:rPr>
              </w:pPr>
              <w:r>
                <w:rPr>
                  <w:rFonts w:eastAsia="Andale Sans UI" w:cs="Tahoma"/>
                  <w:szCs w:val="24"/>
                  <w:lang w:bidi="en-US"/>
                </w:rPr>
                <w:t xml:space="preserve">UAB „Kazlų Rūdos šilumos tinklai“, </w:t>
              </w:r>
            </w:p>
            <w:p>
              <w:pPr>
                <w:ind w:firstLine="567"/>
                <w:jc w:val="both"/>
                <w:rPr>
                  <w:rFonts w:eastAsia="Andale Sans UI" w:cs="Tahoma"/>
                  <w:szCs w:val="24"/>
                  <w:lang w:bidi="en-US"/>
                </w:rPr>
              </w:pPr>
              <w:r>
                <w:rPr>
                  <w:rFonts w:eastAsia="Andale Sans UI" w:cs="Tahoma"/>
                  <w:szCs w:val="24"/>
                  <w:lang w:bidi="en-US"/>
                </w:rPr>
                <w:t xml:space="preserve">UAB „Pagėgių komunalinis ūkis“, </w:t>
              </w:r>
            </w:p>
            <w:p>
              <w:pPr>
                <w:ind w:firstLine="567"/>
                <w:jc w:val="both"/>
                <w:rPr>
                  <w:rFonts w:eastAsia="Andale Sans UI" w:cs="Tahoma"/>
                  <w:szCs w:val="24"/>
                  <w:lang w:bidi="en-US"/>
                </w:rPr>
              </w:pPr>
              <w:r>
                <w:rPr>
                  <w:rFonts w:eastAsia="Andale Sans UI" w:cs="Tahoma"/>
                  <w:szCs w:val="24"/>
                  <w:lang w:bidi="en-US"/>
                </w:rPr>
                <w:t xml:space="preserve">UAB „Pabradės komunalinis ūkis“, </w:t>
              </w:r>
            </w:p>
            <w:p>
              <w:pPr>
                <w:ind w:firstLine="567"/>
                <w:jc w:val="both"/>
                <w:rPr>
                  <w:rFonts w:eastAsia="Andale Sans UI" w:cs="Tahoma"/>
                  <w:szCs w:val="24"/>
                  <w:lang w:bidi="en-US"/>
                </w:rPr>
              </w:pPr>
              <w:r>
                <w:rPr>
                  <w:rFonts w:eastAsia="Andale Sans UI" w:cs="Tahoma"/>
                  <w:szCs w:val="24"/>
                  <w:lang w:bidi="en-US"/>
                </w:rPr>
                <w:t xml:space="preserve">UAB „Rietavo komunalinis ūkis“, </w:t>
              </w:r>
            </w:p>
            <w:p>
              <w:pPr>
                <w:ind w:firstLine="567"/>
                <w:jc w:val="both"/>
                <w:rPr>
                  <w:rFonts w:eastAsia="Andale Sans UI" w:cs="Tahoma"/>
                  <w:szCs w:val="24"/>
                  <w:lang w:bidi="en-US"/>
                </w:rPr>
              </w:pPr>
              <w:r>
                <w:rPr>
                  <w:rFonts w:eastAsia="Andale Sans UI" w:cs="Tahoma"/>
                  <w:szCs w:val="24"/>
                  <w:lang w:bidi="en-US"/>
                </w:rPr>
                <w:t xml:space="preserve">UAB „Eišiškių komunalinis ūkis“, </w:t>
              </w:r>
            </w:p>
            <w:p>
              <w:pPr>
                <w:ind w:firstLine="567"/>
                <w:jc w:val="both"/>
                <w:rPr>
                  <w:rFonts w:eastAsia="Andale Sans UI" w:cs="Tahoma"/>
                  <w:szCs w:val="24"/>
                  <w:lang w:bidi="en-US"/>
                </w:rPr>
              </w:pPr>
              <w:r>
                <w:rPr>
                  <w:rFonts w:eastAsia="Andale Sans UI" w:cs="Tahoma"/>
                  <w:szCs w:val="24"/>
                  <w:lang w:bidi="en-US"/>
                </w:rPr>
                <w:t xml:space="preserve">UAB „Tvarkyba“, </w:t>
              </w:r>
            </w:p>
            <w:p>
              <w:pPr>
                <w:ind w:firstLine="567"/>
                <w:jc w:val="both"/>
                <w:rPr>
                  <w:rFonts w:eastAsia="Andale Sans UI" w:cs="Tahoma"/>
                  <w:szCs w:val="24"/>
                  <w:lang w:bidi="en-US"/>
                </w:rPr>
              </w:pPr>
              <w:r>
                <w:rPr>
                  <w:rFonts w:eastAsia="Andale Sans UI" w:cs="Tahoma"/>
                  <w:szCs w:val="24"/>
                  <w:lang w:bidi="en-US"/>
                </w:rPr>
                <w:t xml:space="preserve">UAB „Didžiasalio komunalinės paslaugos“, </w:t>
              </w:r>
            </w:p>
            <w:p>
              <w:pPr>
                <w:ind w:firstLine="567"/>
                <w:jc w:val="both"/>
                <w:rPr>
                  <w:rFonts w:eastAsia="Andale Sans UI" w:cs="Tahoma"/>
                  <w:szCs w:val="24"/>
                  <w:lang w:bidi="en-US"/>
                </w:rPr>
              </w:pPr>
              <w:r>
                <w:rPr>
                  <w:rFonts w:eastAsia="Andale Sans UI" w:cs="Tahoma"/>
                  <w:szCs w:val="24"/>
                  <w:lang w:bidi="en-US"/>
                </w:rPr>
                <w:t xml:space="preserve">VšĮ „Velžio komunalinis ūkis“, </w:t>
              </w:r>
            </w:p>
            <w:p>
              <w:pPr>
                <w:ind w:firstLine="567"/>
                <w:jc w:val="both"/>
                <w:rPr>
                  <w:rFonts w:eastAsia="Andale Sans UI" w:cs="Tahoma"/>
                  <w:szCs w:val="24"/>
                  <w:lang w:bidi="en-US"/>
                </w:rPr>
              </w:pPr>
              <w:r>
                <w:rPr>
                  <w:rFonts w:eastAsia="Andale Sans UI" w:cs="Tahoma"/>
                  <w:szCs w:val="24"/>
                  <w:lang w:bidi="en-US"/>
                </w:rPr>
                <w:t>SĮ „Simno komunalininkas“</w:t>
              </w:r>
            </w:p>
            <w:p>
              <w:pPr>
                <w:ind w:firstLine="567"/>
                <w:jc w:val="both"/>
                <w:rPr>
                  <w:rFonts w:eastAsia="Andale Sans UI" w:cs="Tahoma"/>
                  <w:szCs w:val="24"/>
                  <w:lang w:bidi="en-US"/>
                </w:rPr>
              </w:pPr>
              <w:r>
                <w:rPr>
                  <w:rFonts w:eastAsia="Andale Sans UI" w:cs="Tahoma"/>
                  <w:szCs w:val="24"/>
                  <w:lang w:bidi="en-US"/>
                </w:rPr>
                <w:t>Akmenės rajono savivaldybei</w:t>
              </w:r>
            </w:p>
            <w:p>
              <w:pPr>
                <w:ind w:firstLine="567"/>
                <w:jc w:val="both"/>
                <w:rPr>
                  <w:rFonts w:eastAsia="Andale Sans UI" w:cs="Tahoma"/>
                  <w:szCs w:val="24"/>
                  <w:lang w:bidi="en-US"/>
                </w:rPr>
              </w:pPr>
              <w:r>
                <w:rPr>
                  <w:rFonts w:eastAsia="Andale Sans UI" w:cs="Tahoma"/>
                  <w:szCs w:val="24"/>
                  <w:lang w:bidi="en-US"/>
                </w:rPr>
                <w:t>Alytaus miesto savivaldybei</w:t>
              </w:r>
            </w:p>
            <w:p>
              <w:pPr>
                <w:ind w:firstLine="567"/>
                <w:jc w:val="both"/>
                <w:rPr>
                  <w:rFonts w:eastAsia="Andale Sans UI" w:cs="Tahoma"/>
                  <w:szCs w:val="24"/>
                  <w:lang w:bidi="en-US"/>
                </w:rPr>
              </w:pPr>
              <w:r>
                <w:rPr>
                  <w:rFonts w:eastAsia="Andale Sans UI" w:cs="Tahoma"/>
                  <w:szCs w:val="24"/>
                  <w:lang w:bidi="en-US"/>
                </w:rPr>
                <w:t xml:space="preserve">Alytaus rajono savivaldybei </w:t>
              </w:r>
            </w:p>
            <w:p>
              <w:pPr>
                <w:ind w:firstLine="567"/>
                <w:jc w:val="both"/>
                <w:rPr>
                  <w:rFonts w:eastAsia="Andale Sans UI" w:cs="Tahoma"/>
                  <w:szCs w:val="24"/>
                  <w:lang w:bidi="en-US"/>
                </w:rPr>
              </w:pPr>
              <w:r>
                <w:rPr>
                  <w:rFonts w:eastAsia="Andale Sans UI" w:cs="Tahoma"/>
                  <w:szCs w:val="24"/>
                  <w:lang w:bidi="en-US"/>
                </w:rPr>
                <w:t xml:space="preserve">Anykščių rajono savivaldybei </w:t>
              </w:r>
            </w:p>
            <w:p>
              <w:pPr>
                <w:ind w:firstLine="567"/>
                <w:jc w:val="both"/>
                <w:rPr>
                  <w:rFonts w:eastAsia="Andale Sans UI" w:cs="Tahoma"/>
                  <w:szCs w:val="24"/>
                  <w:lang w:bidi="en-US"/>
                </w:rPr>
              </w:pPr>
              <w:r>
                <w:rPr>
                  <w:rFonts w:eastAsia="Andale Sans UI" w:cs="Tahoma"/>
                  <w:szCs w:val="24"/>
                  <w:lang w:bidi="en-US"/>
                </w:rPr>
                <w:t>Birštono savivaldybei</w:t>
              </w:r>
            </w:p>
            <w:p>
              <w:pPr>
                <w:ind w:firstLine="567"/>
                <w:jc w:val="both"/>
                <w:rPr>
                  <w:rFonts w:eastAsia="Andale Sans UI" w:cs="Tahoma"/>
                  <w:szCs w:val="24"/>
                  <w:lang w:bidi="en-US"/>
                </w:rPr>
              </w:pPr>
              <w:r>
                <w:rPr>
                  <w:rFonts w:eastAsia="Andale Sans UI" w:cs="Tahoma"/>
                  <w:szCs w:val="24"/>
                  <w:lang w:bidi="en-US"/>
                </w:rPr>
                <w:t>Biržų rajono savivaldybei</w:t>
              </w:r>
            </w:p>
            <w:p>
              <w:pPr>
                <w:ind w:firstLine="567"/>
                <w:jc w:val="both"/>
                <w:rPr>
                  <w:rFonts w:eastAsia="Andale Sans UI" w:cs="Tahoma"/>
                  <w:szCs w:val="24"/>
                  <w:lang w:bidi="en-US"/>
                </w:rPr>
              </w:pPr>
              <w:r>
                <w:rPr>
                  <w:rFonts w:eastAsia="Andale Sans UI" w:cs="Tahoma"/>
                  <w:szCs w:val="24"/>
                  <w:lang w:bidi="en-US"/>
                </w:rPr>
                <w:t>Druskininkų savivaldybei</w:t>
              </w:r>
            </w:p>
            <w:p>
              <w:pPr>
                <w:ind w:firstLine="567"/>
                <w:jc w:val="both"/>
                <w:rPr>
                  <w:rFonts w:eastAsia="Andale Sans UI" w:cs="Tahoma"/>
                  <w:szCs w:val="24"/>
                  <w:lang w:bidi="en-US"/>
                </w:rPr>
              </w:pPr>
              <w:r>
                <w:rPr>
                  <w:rFonts w:eastAsia="Andale Sans UI" w:cs="Tahoma"/>
                  <w:szCs w:val="24"/>
                  <w:lang w:bidi="en-US"/>
                </w:rPr>
                <w:t>Elektrėnų savivaldybei</w:t>
              </w:r>
            </w:p>
            <w:p>
              <w:pPr>
                <w:ind w:firstLine="567"/>
                <w:jc w:val="both"/>
                <w:rPr>
                  <w:rFonts w:eastAsia="Andale Sans UI" w:cs="Tahoma"/>
                  <w:szCs w:val="24"/>
                  <w:lang w:bidi="en-US"/>
                </w:rPr>
              </w:pPr>
              <w:r>
                <w:rPr>
                  <w:rFonts w:eastAsia="Andale Sans UI" w:cs="Tahoma"/>
                  <w:szCs w:val="24"/>
                  <w:lang w:bidi="en-US"/>
                </w:rPr>
                <w:t xml:space="preserve">Ignalinos rajono savivaldybei </w:t>
              </w:r>
            </w:p>
            <w:p>
              <w:pPr>
                <w:ind w:firstLine="567"/>
                <w:jc w:val="both"/>
                <w:rPr>
                  <w:rFonts w:eastAsia="Andale Sans UI" w:cs="Tahoma"/>
                  <w:szCs w:val="24"/>
                  <w:lang w:bidi="en-US"/>
                </w:rPr>
              </w:pPr>
              <w:r>
                <w:rPr>
                  <w:rFonts w:eastAsia="Andale Sans UI" w:cs="Tahoma"/>
                  <w:szCs w:val="24"/>
                  <w:lang w:bidi="en-US"/>
                </w:rPr>
                <w:t xml:space="preserve">Jonavos rajono savivaldybei </w:t>
              </w:r>
            </w:p>
            <w:p>
              <w:pPr>
                <w:ind w:firstLine="567"/>
                <w:jc w:val="both"/>
                <w:rPr>
                  <w:rFonts w:eastAsia="Andale Sans UI" w:cs="Tahoma"/>
                  <w:szCs w:val="24"/>
                  <w:lang w:bidi="en-US"/>
                </w:rPr>
              </w:pPr>
              <w:r>
                <w:rPr>
                  <w:rFonts w:eastAsia="Andale Sans UI" w:cs="Tahoma"/>
                  <w:szCs w:val="24"/>
                  <w:lang w:bidi="en-US"/>
                </w:rPr>
                <w:t>Joniškio rajono savivaldybei</w:t>
              </w:r>
            </w:p>
            <w:p>
              <w:pPr>
                <w:ind w:firstLine="567"/>
                <w:jc w:val="both"/>
                <w:rPr>
                  <w:rFonts w:eastAsia="Andale Sans UI" w:cs="Tahoma"/>
                  <w:szCs w:val="24"/>
                  <w:lang w:bidi="en-US"/>
                </w:rPr>
              </w:pPr>
              <w:r>
                <w:rPr>
                  <w:rFonts w:eastAsia="Andale Sans UI" w:cs="Tahoma"/>
                  <w:szCs w:val="24"/>
                  <w:lang w:bidi="en-US"/>
                </w:rPr>
                <w:t xml:space="preserve">Jurbarko rajono savivaldybei </w:t>
              </w:r>
            </w:p>
            <w:p>
              <w:pPr>
                <w:ind w:firstLine="567"/>
                <w:jc w:val="both"/>
                <w:rPr>
                  <w:rFonts w:eastAsia="Andale Sans UI" w:cs="Tahoma"/>
                  <w:szCs w:val="24"/>
                  <w:lang w:bidi="en-US"/>
                </w:rPr>
              </w:pPr>
              <w:r>
                <w:rPr>
                  <w:rFonts w:eastAsia="Andale Sans UI" w:cs="Tahoma"/>
                  <w:szCs w:val="24"/>
                  <w:lang w:bidi="en-US"/>
                </w:rPr>
                <w:t>Kaišiadorių rajono savivaldybei</w:t>
              </w:r>
            </w:p>
            <w:p>
              <w:pPr>
                <w:ind w:firstLine="567"/>
                <w:jc w:val="both"/>
                <w:rPr>
                  <w:rFonts w:eastAsia="Andale Sans UI" w:cs="Tahoma"/>
                  <w:szCs w:val="24"/>
                  <w:lang w:bidi="en-US"/>
                </w:rPr>
              </w:pPr>
              <w:r>
                <w:rPr>
                  <w:rFonts w:eastAsia="Andale Sans UI" w:cs="Tahoma"/>
                  <w:szCs w:val="24"/>
                  <w:lang w:bidi="en-US"/>
                </w:rPr>
                <w:t>Kalvarijos savivaldybei</w:t>
              </w:r>
            </w:p>
            <w:p>
              <w:pPr>
                <w:ind w:firstLine="567"/>
                <w:jc w:val="both"/>
                <w:rPr>
                  <w:rFonts w:eastAsia="Andale Sans UI" w:cs="Tahoma"/>
                  <w:szCs w:val="24"/>
                  <w:lang w:bidi="en-US"/>
                </w:rPr>
              </w:pPr>
              <w:r>
                <w:rPr>
                  <w:rFonts w:eastAsia="Andale Sans UI" w:cs="Tahoma"/>
                  <w:szCs w:val="24"/>
                  <w:lang w:bidi="en-US"/>
                </w:rPr>
                <w:t>Kauno miesto savivaldybei</w:t>
              </w:r>
            </w:p>
            <w:p>
              <w:pPr>
                <w:ind w:firstLine="567"/>
                <w:jc w:val="both"/>
                <w:rPr>
                  <w:rFonts w:eastAsia="Andale Sans UI" w:cs="Tahoma"/>
                  <w:szCs w:val="24"/>
                  <w:lang w:bidi="en-US"/>
                </w:rPr>
              </w:pPr>
              <w:r>
                <w:rPr>
                  <w:rFonts w:eastAsia="Andale Sans UI" w:cs="Tahoma"/>
                  <w:szCs w:val="24"/>
                  <w:lang w:bidi="en-US"/>
                </w:rPr>
                <w:t>Kauno rajono savivaldybei</w:t>
              </w:r>
            </w:p>
            <w:p>
              <w:pPr>
                <w:ind w:firstLine="567"/>
                <w:jc w:val="both"/>
                <w:rPr>
                  <w:rFonts w:eastAsia="Andale Sans UI" w:cs="Tahoma"/>
                  <w:szCs w:val="24"/>
                  <w:lang w:bidi="en-US"/>
                </w:rPr>
              </w:pPr>
              <w:r>
                <w:rPr>
                  <w:rFonts w:eastAsia="Andale Sans UI" w:cs="Tahoma"/>
                  <w:szCs w:val="24"/>
                  <w:lang w:bidi="en-US"/>
                </w:rPr>
                <w:t xml:space="preserve">Kazlų Rūdos savivaldybei </w:t>
              </w:r>
            </w:p>
            <w:p>
              <w:pPr>
                <w:ind w:firstLine="567"/>
                <w:jc w:val="both"/>
                <w:rPr>
                  <w:rFonts w:eastAsia="Andale Sans UI" w:cs="Tahoma"/>
                  <w:szCs w:val="24"/>
                  <w:lang w:bidi="en-US"/>
                </w:rPr>
              </w:pPr>
              <w:r>
                <w:rPr>
                  <w:rFonts w:eastAsia="Andale Sans UI" w:cs="Tahoma"/>
                  <w:szCs w:val="24"/>
                  <w:lang w:bidi="en-US"/>
                </w:rPr>
                <w:t xml:space="preserve">Kėdainių rajono savivaldybei </w:t>
              </w:r>
            </w:p>
            <w:p>
              <w:pPr>
                <w:ind w:firstLine="567"/>
                <w:jc w:val="both"/>
                <w:rPr>
                  <w:rFonts w:eastAsia="Andale Sans UI" w:cs="Tahoma"/>
                  <w:szCs w:val="24"/>
                  <w:lang w:bidi="en-US"/>
                </w:rPr>
              </w:pPr>
              <w:r>
                <w:rPr>
                  <w:rFonts w:eastAsia="Andale Sans UI" w:cs="Tahoma"/>
                  <w:szCs w:val="24"/>
                  <w:lang w:bidi="en-US"/>
                </w:rPr>
                <w:t>Kelmės rajono savivaldybei</w:t>
              </w:r>
            </w:p>
            <w:p>
              <w:pPr>
                <w:ind w:firstLine="567"/>
                <w:jc w:val="both"/>
                <w:rPr>
                  <w:rFonts w:eastAsia="Andale Sans UI" w:cs="Tahoma"/>
                  <w:szCs w:val="24"/>
                  <w:lang w:bidi="en-US"/>
                </w:rPr>
              </w:pPr>
              <w:r>
                <w:rPr>
                  <w:rFonts w:eastAsia="Andale Sans UI" w:cs="Tahoma"/>
                  <w:szCs w:val="24"/>
                  <w:lang w:bidi="en-US"/>
                </w:rPr>
                <w:t xml:space="preserve">Klaipėdos miesto savivaldybei </w:t>
              </w:r>
            </w:p>
            <w:p>
              <w:pPr>
                <w:ind w:firstLine="567"/>
                <w:jc w:val="both"/>
                <w:rPr>
                  <w:rFonts w:eastAsia="Andale Sans UI" w:cs="Tahoma"/>
                  <w:szCs w:val="24"/>
                  <w:lang w:bidi="en-US"/>
                </w:rPr>
              </w:pPr>
              <w:r>
                <w:rPr>
                  <w:rFonts w:eastAsia="Andale Sans UI" w:cs="Tahoma"/>
                  <w:szCs w:val="24"/>
                  <w:lang w:bidi="en-US"/>
                </w:rPr>
                <w:t>Klaipėdos rajono savivaldybei</w:t>
              </w:r>
            </w:p>
            <w:p>
              <w:pPr>
                <w:ind w:firstLine="567"/>
                <w:jc w:val="both"/>
                <w:rPr>
                  <w:rFonts w:eastAsia="Andale Sans UI" w:cs="Tahoma"/>
                  <w:szCs w:val="24"/>
                  <w:lang w:bidi="en-US"/>
                </w:rPr>
              </w:pPr>
              <w:r>
                <w:rPr>
                  <w:rFonts w:eastAsia="Andale Sans UI" w:cs="Tahoma"/>
                  <w:szCs w:val="24"/>
                  <w:lang w:bidi="en-US"/>
                </w:rPr>
                <w:t xml:space="preserve">Kretingos rajono savivaldybei </w:t>
              </w:r>
            </w:p>
            <w:p>
              <w:pPr>
                <w:ind w:firstLine="567"/>
                <w:jc w:val="both"/>
                <w:rPr>
                  <w:rFonts w:eastAsia="Andale Sans UI" w:cs="Tahoma"/>
                  <w:szCs w:val="24"/>
                  <w:lang w:bidi="en-US"/>
                </w:rPr>
              </w:pPr>
              <w:r>
                <w:rPr>
                  <w:rFonts w:eastAsia="Andale Sans UI" w:cs="Tahoma"/>
                  <w:szCs w:val="24"/>
                  <w:lang w:bidi="en-US"/>
                </w:rPr>
                <w:t xml:space="preserve">Kupiškio rajono savivaldybei </w:t>
              </w:r>
            </w:p>
            <w:p>
              <w:pPr>
                <w:ind w:firstLine="567"/>
                <w:jc w:val="both"/>
                <w:rPr>
                  <w:rFonts w:eastAsia="Andale Sans UI" w:cs="Tahoma"/>
                  <w:szCs w:val="24"/>
                  <w:lang w:bidi="en-US"/>
                </w:rPr>
              </w:pPr>
              <w:r>
                <w:rPr>
                  <w:rFonts w:eastAsia="Andale Sans UI" w:cs="Tahoma"/>
                  <w:szCs w:val="24"/>
                  <w:lang w:bidi="en-US"/>
                </w:rPr>
                <w:t>Lazdijų rajono savivaldybei</w:t>
              </w:r>
            </w:p>
            <w:p>
              <w:pPr>
                <w:ind w:firstLine="567"/>
                <w:jc w:val="both"/>
                <w:rPr>
                  <w:rFonts w:eastAsia="Andale Sans UI" w:cs="Tahoma"/>
                  <w:szCs w:val="24"/>
                  <w:lang w:bidi="en-US"/>
                </w:rPr>
              </w:pPr>
              <w:r>
                <w:rPr>
                  <w:rFonts w:eastAsia="Andale Sans UI" w:cs="Tahoma"/>
                  <w:szCs w:val="24"/>
                  <w:lang w:bidi="en-US"/>
                </w:rPr>
                <w:t xml:space="preserve">Marijampolės rajono savivaldybei </w:t>
              </w:r>
            </w:p>
            <w:p>
              <w:pPr>
                <w:ind w:firstLine="567"/>
                <w:jc w:val="both"/>
                <w:rPr>
                  <w:rFonts w:eastAsia="Andale Sans UI" w:cs="Tahoma"/>
                  <w:szCs w:val="24"/>
                  <w:lang w:bidi="en-US"/>
                </w:rPr>
              </w:pPr>
              <w:r>
                <w:rPr>
                  <w:rFonts w:eastAsia="Andale Sans UI" w:cs="Tahoma"/>
                  <w:szCs w:val="24"/>
                  <w:lang w:bidi="en-US"/>
                </w:rPr>
                <w:t>Mažeikių rajono savivaldybei</w:t>
              </w:r>
            </w:p>
            <w:p>
              <w:pPr>
                <w:ind w:firstLine="567"/>
                <w:jc w:val="both"/>
                <w:rPr>
                  <w:rFonts w:eastAsia="Andale Sans UI" w:cs="Tahoma"/>
                  <w:szCs w:val="24"/>
                  <w:lang w:bidi="en-US"/>
                </w:rPr>
              </w:pPr>
              <w:r>
                <w:rPr>
                  <w:rFonts w:eastAsia="Andale Sans UI" w:cs="Tahoma"/>
                  <w:szCs w:val="24"/>
                  <w:lang w:bidi="en-US"/>
                </w:rPr>
                <w:t>Molėtų rajono savivaldybei</w:t>
              </w:r>
            </w:p>
            <w:p>
              <w:pPr>
                <w:ind w:firstLine="567"/>
                <w:jc w:val="both"/>
                <w:rPr>
                  <w:rFonts w:eastAsia="Andale Sans UI" w:cs="Tahoma"/>
                  <w:szCs w:val="24"/>
                  <w:lang w:bidi="en-US"/>
                </w:rPr>
              </w:pPr>
              <w:r>
                <w:rPr>
                  <w:rFonts w:eastAsia="Andale Sans UI" w:cs="Tahoma"/>
                  <w:szCs w:val="24"/>
                  <w:lang w:bidi="en-US"/>
                </w:rPr>
                <w:t>Neringos savivaldybei</w:t>
              </w:r>
            </w:p>
            <w:p>
              <w:pPr>
                <w:ind w:firstLine="567"/>
                <w:jc w:val="both"/>
                <w:rPr>
                  <w:rFonts w:eastAsia="Andale Sans UI" w:cs="Tahoma"/>
                  <w:szCs w:val="24"/>
                  <w:lang w:bidi="en-US"/>
                </w:rPr>
              </w:pPr>
              <w:r>
                <w:rPr>
                  <w:rFonts w:eastAsia="Andale Sans UI" w:cs="Tahoma"/>
                  <w:szCs w:val="24"/>
                  <w:lang w:bidi="en-US"/>
                </w:rPr>
                <w:t>Pagėgių savivaldybei</w:t>
              </w:r>
            </w:p>
            <w:p>
              <w:pPr>
                <w:ind w:firstLine="567"/>
                <w:jc w:val="both"/>
                <w:rPr>
                  <w:rFonts w:eastAsia="Andale Sans UI" w:cs="Tahoma"/>
                  <w:szCs w:val="24"/>
                  <w:lang w:bidi="en-US"/>
                </w:rPr>
              </w:pPr>
              <w:r>
                <w:rPr>
                  <w:rFonts w:eastAsia="Andale Sans UI" w:cs="Tahoma"/>
                  <w:szCs w:val="24"/>
                  <w:lang w:bidi="en-US"/>
                </w:rPr>
                <w:t>Pakruojo rajono savivaldybei</w:t>
              </w:r>
            </w:p>
            <w:p>
              <w:pPr>
                <w:ind w:firstLine="567"/>
                <w:jc w:val="both"/>
                <w:rPr>
                  <w:rFonts w:eastAsia="Andale Sans UI" w:cs="Tahoma"/>
                  <w:szCs w:val="24"/>
                  <w:lang w:bidi="en-US"/>
                </w:rPr>
              </w:pPr>
              <w:r>
                <w:rPr>
                  <w:rFonts w:eastAsia="Andale Sans UI" w:cs="Tahoma"/>
                  <w:szCs w:val="24"/>
                  <w:lang w:bidi="en-US"/>
                </w:rPr>
                <w:t>Palangos miesto savivaldybei</w:t>
              </w:r>
            </w:p>
            <w:p>
              <w:pPr>
                <w:ind w:firstLine="567"/>
                <w:jc w:val="both"/>
                <w:rPr>
                  <w:rFonts w:eastAsia="Andale Sans UI" w:cs="Tahoma"/>
                  <w:szCs w:val="24"/>
                  <w:lang w:bidi="en-US"/>
                </w:rPr>
              </w:pPr>
              <w:r>
                <w:rPr>
                  <w:rFonts w:eastAsia="Andale Sans UI" w:cs="Tahoma"/>
                  <w:szCs w:val="24"/>
                  <w:lang w:bidi="en-US"/>
                </w:rPr>
                <w:t>Panevėžio miesto savivaldybei</w:t>
              </w:r>
            </w:p>
            <w:p>
              <w:pPr>
                <w:ind w:firstLine="567"/>
                <w:jc w:val="both"/>
                <w:rPr>
                  <w:rFonts w:eastAsia="Andale Sans UI" w:cs="Tahoma"/>
                  <w:szCs w:val="24"/>
                  <w:lang w:bidi="en-US"/>
                </w:rPr>
              </w:pPr>
              <w:r>
                <w:rPr>
                  <w:rFonts w:eastAsia="Andale Sans UI" w:cs="Tahoma"/>
                  <w:szCs w:val="24"/>
                  <w:lang w:bidi="en-US"/>
                </w:rPr>
                <w:t xml:space="preserve">Panevėžio rajono savivaldybei </w:t>
              </w:r>
            </w:p>
            <w:p>
              <w:pPr>
                <w:ind w:firstLine="567"/>
                <w:jc w:val="both"/>
                <w:rPr>
                  <w:rFonts w:eastAsia="Andale Sans UI" w:cs="Tahoma"/>
                  <w:szCs w:val="24"/>
                  <w:lang w:bidi="en-US"/>
                </w:rPr>
              </w:pPr>
              <w:r>
                <w:rPr>
                  <w:rFonts w:eastAsia="Andale Sans UI" w:cs="Tahoma"/>
                  <w:szCs w:val="24"/>
                  <w:lang w:bidi="en-US"/>
                </w:rPr>
                <w:t xml:space="preserve">Pasvalio rajono savivaldybei </w:t>
              </w:r>
            </w:p>
            <w:p>
              <w:pPr>
                <w:ind w:firstLine="567"/>
                <w:jc w:val="both"/>
                <w:rPr>
                  <w:rFonts w:eastAsia="Andale Sans UI" w:cs="Tahoma"/>
                  <w:szCs w:val="24"/>
                  <w:lang w:bidi="en-US"/>
                </w:rPr>
              </w:pPr>
              <w:r>
                <w:rPr>
                  <w:rFonts w:eastAsia="Andale Sans UI" w:cs="Tahoma"/>
                  <w:szCs w:val="24"/>
                  <w:lang w:bidi="en-US"/>
                </w:rPr>
                <w:t>Plungės rajono savivaldybei</w:t>
              </w:r>
            </w:p>
            <w:p>
              <w:pPr>
                <w:ind w:firstLine="567"/>
                <w:jc w:val="both"/>
                <w:rPr>
                  <w:rFonts w:eastAsia="Andale Sans UI" w:cs="Tahoma"/>
                  <w:szCs w:val="24"/>
                  <w:lang w:bidi="en-US"/>
                </w:rPr>
              </w:pPr>
              <w:r>
                <w:rPr>
                  <w:rFonts w:eastAsia="Andale Sans UI" w:cs="Tahoma"/>
                  <w:szCs w:val="24"/>
                  <w:lang w:bidi="en-US"/>
                </w:rPr>
                <w:t xml:space="preserve">Prienų savivaldybei </w:t>
              </w:r>
            </w:p>
            <w:p>
              <w:pPr>
                <w:ind w:firstLine="567"/>
                <w:jc w:val="both"/>
                <w:rPr>
                  <w:rFonts w:eastAsia="Andale Sans UI" w:cs="Tahoma"/>
                  <w:szCs w:val="24"/>
                  <w:lang w:bidi="en-US"/>
                </w:rPr>
              </w:pPr>
              <w:r>
                <w:rPr>
                  <w:rFonts w:eastAsia="Andale Sans UI" w:cs="Tahoma"/>
                  <w:szCs w:val="24"/>
                  <w:lang w:bidi="en-US"/>
                </w:rPr>
                <w:t>Radviliškio rajono savivaldybei</w:t>
              </w:r>
            </w:p>
            <w:p>
              <w:pPr>
                <w:ind w:firstLine="567"/>
                <w:jc w:val="both"/>
                <w:rPr>
                  <w:rFonts w:eastAsia="Andale Sans UI" w:cs="Tahoma"/>
                  <w:szCs w:val="24"/>
                  <w:lang w:bidi="en-US"/>
                </w:rPr>
              </w:pPr>
              <w:r>
                <w:rPr>
                  <w:rFonts w:eastAsia="Andale Sans UI" w:cs="Tahoma"/>
                  <w:szCs w:val="24"/>
                  <w:lang w:bidi="en-US"/>
                </w:rPr>
                <w:t>Raseinių rajono savivaldybei</w:t>
              </w:r>
            </w:p>
            <w:p>
              <w:pPr>
                <w:ind w:firstLine="567"/>
                <w:jc w:val="both"/>
                <w:rPr>
                  <w:rFonts w:eastAsia="Andale Sans UI" w:cs="Tahoma"/>
                  <w:szCs w:val="24"/>
                  <w:lang w:bidi="en-US"/>
                </w:rPr>
              </w:pPr>
              <w:r>
                <w:rPr>
                  <w:rFonts w:eastAsia="Andale Sans UI" w:cs="Tahoma"/>
                  <w:szCs w:val="24"/>
                  <w:lang w:bidi="en-US"/>
                </w:rPr>
                <w:t>Rietavo savivaldybei</w:t>
              </w:r>
            </w:p>
            <w:p>
              <w:pPr>
                <w:ind w:firstLine="567"/>
                <w:jc w:val="both"/>
                <w:rPr>
                  <w:rFonts w:eastAsia="Andale Sans UI" w:cs="Tahoma"/>
                  <w:szCs w:val="24"/>
                  <w:lang w:bidi="en-US"/>
                </w:rPr>
              </w:pPr>
              <w:r>
                <w:rPr>
                  <w:rFonts w:eastAsia="Andale Sans UI" w:cs="Tahoma"/>
                  <w:szCs w:val="24"/>
                  <w:lang w:bidi="en-US"/>
                </w:rPr>
                <w:t>Rokiškio rajono savivaldybei</w:t>
              </w:r>
            </w:p>
            <w:p>
              <w:pPr>
                <w:ind w:firstLine="567"/>
                <w:jc w:val="both"/>
                <w:rPr>
                  <w:rFonts w:eastAsia="Andale Sans UI" w:cs="Tahoma"/>
                  <w:szCs w:val="24"/>
                  <w:lang w:bidi="en-US"/>
                </w:rPr>
              </w:pPr>
              <w:r>
                <w:rPr>
                  <w:rFonts w:eastAsia="Andale Sans UI" w:cs="Tahoma"/>
                  <w:szCs w:val="24"/>
                  <w:lang w:bidi="en-US"/>
                </w:rPr>
                <w:t xml:space="preserve">Skuodo rajono savivaldybei </w:t>
              </w:r>
            </w:p>
            <w:p>
              <w:pPr>
                <w:ind w:firstLine="567"/>
                <w:jc w:val="both"/>
                <w:rPr>
                  <w:rFonts w:eastAsia="Andale Sans UI" w:cs="Tahoma"/>
                  <w:szCs w:val="24"/>
                  <w:lang w:bidi="en-US"/>
                </w:rPr>
              </w:pPr>
              <w:r>
                <w:rPr>
                  <w:rFonts w:eastAsia="Andale Sans UI" w:cs="Tahoma"/>
                  <w:szCs w:val="24"/>
                  <w:lang w:bidi="en-US"/>
                </w:rPr>
                <w:t>Šakių rajono savivaldybei</w:t>
              </w:r>
            </w:p>
            <w:p>
              <w:pPr>
                <w:ind w:firstLine="567"/>
                <w:jc w:val="both"/>
                <w:rPr>
                  <w:rFonts w:eastAsia="Andale Sans UI" w:cs="Tahoma"/>
                  <w:szCs w:val="24"/>
                  <w:lang w:bidi="en-US"/>
                </w:rPr>
              </w:pPr>
              <w:r>
                <w:rPr>
                  <w:rFonts w:eastAsia="Andale Sans UI" w:cs="Tahoma"/>
                  <w:szCs w:val="24"/>
                  <w:lang w:bidi="en-US"/>
                </w:rPr>
                <w:t>Šalčininkų rajono savivaldybei</w:t>
              </w:r>
            </w:p>
            <w:p>
              <w:pPr>
                <w:ind w:firstLine="567"/>
                <w:jc w:val="both"/>
                <w:rPr>
                  <w:rFonts w:eastAsia="Andale Sans UI" w:cs="Tahoma"/>
                  <w:szCs w:val="24"/>
                  <w:lang w:bidi="en-US"/>
                </w:rPr>
              </w:pPr>
              <w:r>
                <w:rPr>
                  <w:rFonts w:eastAsia="Andale Sans UI" w:cs="Tahoma"/>
                  <w:szCs w:val="24"/>
                  <w:lang w:bidi="en-US"/>
                </w:rPr>
                <w:t xml:space="preserve">Šiaulių miesto savivaldybei </w:t>
              </w:r>
            </w:p>
            <w:p>
              <w:pPr>
                <w:ind w:firstLine="567"/>
                <w:jc w:val="both"/>
                <w:rPr>
                  <w:rFonts w:eastAsia="Andale Sans UI" w:cs="Tahoma"/>
                  <w:szCs w:val="24"/>
                  <w:lang w:bidi="en-US"/>
                </w:rPr>
              </w:pPr>
              <w:r>
                <w:rPr>
                  <w:rFonts w:eastAsia="Andale Sans UI" w:cs="Tahoma"/>
                  <w:szCs w:val="24"/>
                  <w:lang w:bidi="en-US"/>
                </w:rPr>
                <w:t xml:space="preserve">Šiaulių rajono savivaldybei </w:t>
              </w:r>
            </w:p>
            <w:p>
              <w:pPr>
                <w:ind w:firstLine="567"/>
                <w:jc w:val="both"/>
                <w:rPr>
                  <w:rFonts w:eastAsia="Andale Sans UI" w:cs="Tahoma"/>
                  <w:szCs w:val="24"/>
                  <w:lang w:bidi="en-US"/>
                </w:rPr>
              </w:pPr>
              <w:r>
                <w:rPr>
                  <w:rFonts w:eastAsia="Andale Sans UI" w:cs="Tahoma"/>
                  <w:szCs w:val="24"/>
                  <w:lang w:bidi="en-US"/>
                </w:rPr>
                <w:t>Šilalės rajono savivaldybei</w:t>
              </w:r>
            </w:p>
            <w:p>
              <w:pPr>
                <w:ind w:firstLine="567"/>
                <w:jc w:val="both"/>
                <w:rPr>
                  <w:rFonts w:eastAsia="Andale Sans UI" w:cs="Tahoma"/>
                  <w:szCs w:val="24"/>
                  <w:lang w:bidi="en-US"/>
                </w:rPr>
              </w:pPr>
              <w:r>
                <w:rPr>
                  <w:rFonts w:eastAsia="Andale Sans UI" w:cs="Tahoma"/>
                  <w:szCs w:val="24"/>
                  <w:lang w:bidi="en-US"/>
                </w:rPr>
                <w:t>Šilutės rajono savivaldybei</w:t>
              </w:r>
            </w:p>
            <w:p>
              <w:pPr>
                <w:ind w:firstLine="567"/>
                <w:jc w:val="both"/>
                <w:rPr>
                  <w:rFonts w:eastAsia="Andale Sans UI" w:cs="Tahoma"/>
                  <w:szCs w:val="24"/>
                  <w:lang w:bidi="en-US"/>
                </w:rPr>
              </w:pPr>
              <w:r>
                <w:rPr>
                  <w:rFonts w:eastAsia="Andale Sans UI" w:cs="Tahoma"/>
                  <w:szCs w:val="24"/>
                  <w:lang w:bidi="en-US"/>
                </w:rPr>
                <w:t xml:space="preserve">Širvintų rajono savivaldybei </w:t>
              </w:r>
            </w:p>
            <w:p>
              <w:pPr>
                <w:ind w:firstLine="567"/>
                <w:jc w:val="both"/>
                <w:rPr>
                  <w:rFonts w:eastAsia="Andale Sans UI" w:cs="Tahoma"/>
                  <w:szCs w:val="24"/>
                  <w:lang w:bidi="en-US"/>
                </w:rPr>
              </w:pPr>
              <w:r>
                <w:rPr>
                  <w:rFonts w:eastAsia="Andale Sans UI" w:cs="Tahoma"/>
                  <w:szCs w:val="24"/>
                  <w:lang w:bidi="en-US"/>
                </w:rPr>
                <w:t xml:space="preserve">Švenčionių rajono savivaldybei </w:t>
              </w:r>
            </w:p>
            <w:p>
              <w:pPr>
                <w:ind w:firstLine="567"/>
                <w:jc w:val="both"/>
                <w:rPr>
                  <w:rFonts w:eastAsia="Andale Sans UI" w:cs="Tahoma"/>
                  <w:szCs w:val="24"/>
                  <w:lang w:bidi="en-US"/>
                </w:rPr>
              </w:pPr>
              <w:r>
                <w:rPr>
                  <w:rFonts w:eastAsia="Andale Sans UI" w:cs="Tahoma"/>
                  <w:szCs w:val="24"/>
                  <w:lang w:bidi="en-US"/>
                </w:rPr>
                <w:t xml:space="preserve">Tauragės rajono savivaldybei </w:t>
              </w:r>
            </w:p>
            <w:p>
              <w:pPr>
                <w:ind w:firstLine="567"/>
                <w:jc w:val="both"/>
                <w:rPr>
                  <w:rFonts w:eastAsia="Andale Sans UI" w:cs="Tahoma"/>
                  <w:szCs w:val="24"/>
                  <w:lang w:bidi="en-US"/>
                </w:rPr>
              </w:pPr>
              <w:r>
                <w:rPr>
                  <w:rFonts w:eastAsia="Andale Sans UI" w:cs="Tahoma"/>
                  <w:szCs w:val="24"/>
                  <w:lang w:bidi="en-US"/>
                </w:rPr>
                <w:t xml:space="preserve">Telšių rajono savivaldybei </w:t>
              </w:r>
            </w:p>
            <w:p>
              <w:pPr>
                <w:ind w:firstLine="567"/>
                <w:jc w:val="both"/>
                <w:rPr>
                  <w:rFonts w:eastAsia="Andale Sans UI" w:cs="Tahoma"/>
                  <w:szCs w:val="24"/>
                  <w:lang w:bidi="en-US"/>
                </w:rPr>
              </w:pPr>
              <w:r>
                <w:rPr>
                  <w:rFonts w:eastAsia="Andale Sans UI" w:cs="Tahoma"/>
                  <w:szCs w:val="24"/>
                  <w:lang w:bidi="en-US"/>
                </w:rPr>
                <w:t>Trakų rajono savivaldybei</w:t>
              </w:r>
            </w:p>
            <w:p>
              <w:pPr>
                <w:ind w:firstLine="567"/>
                <w:jc w:val="both"/>
                <w:rPr>
                  <w:rFonts w:eastAsia="Andale Sans UI" w:cs="Tahoma"/>
                  <w:szCs w:val="24"/>
                  <w:lang w:bidi="en-US"/>
                </w:rPr>
              </w:pPr>
              <w:r>
                <w:rPr>
                  <w:rFonts w:eastAsia="Andale Sans UI" w:cs="Tahoma"/>
                  <w:szCs w:val="24"/>
                  <w:lang w:bidi="en-US"/>
                </w:rPr>
                <w:t>Ukmergės rajono savivaldybei</w:t>
              </w:r>
            </w:p>
            <w:p>
              <w:pPr>
                <w:ind w:firstLine="567"/>
                <w:jc w:val="both"/>
                <w:rPr>
                  <w:rFonts w:eastAsia="Andale Sans UI" w:cs="Tahoma"/>
                  <w:szCs w:val="24"/>
                  <w:lang w:bidi="en-US"/>
                </w:rPr>
              </w:pPr>
              <w:r>
                <w:rPr>
                  <w:rFonts w:eastAsia="Andale Sans UI" w:cs="Tahoma"/>
                  <w:szCs w:val="24"/>
                  <w:lang w:bidi="en-US"/>
                </w:rPr>
                <w:t>Utenos rajono savivaldybei</w:t>
              </w:r>
            </w:p>
            <w:p>
              <w:pPr>
                <w:ind w:firstLine="567"/>
                <w:jc w:val="both"/>
                <w:rPr>
                  <w:rFonts w:eastAsia="Andale Sans UI" w:cs="Tahoma"/>
                  <w:szCs w:val="24"/>
                  <w:lang w:bidi="en-US"/>
                </w:rPr>
              </w:pPr>
              <w:r>
                <w:rPr>
                  <w:rFonts w:eastAsia="Andale Sans UI" w:cs="Tahoma"/>
                  <w:szCs w:val="24"/>
                  <w:lang w:bidi="en-US"/>
                </w:rPr>
                <w:t>Varėnos rajono savivaldybei</w:t>
              </w:r>
            </w:p>
            <w:p>
              <w:pPr>
                <w:ind w:firstLine="567"/>
                <w:jc w:val="both"/>
                <w:rPr>
                  <w:rFonts w:eastAsia="Andale Sans UI" w:cs="Tahoma"/>
                  <w:szCs w:val="24"/>
                  <w:lang w:bidi="en-US"/>
                </w:rPr>
              </w:pPr>
              <w:r>
                <w:rPr>
                  <w:rFonts w:eastAsia="Andale Sans UI" w:cs="Tahoma"/>
                  <w:szCs w:val="24"/>
                  <w:lang w:bidi="en-US"/>
                </w:rPr>
                <w:t xml:space="preserve">Vilkaviškio rajono savivaldybei </w:t>
              </w:r>
            </w:p>
            <w:p>
              <w:pPr>
                <w:ind w:firstLine="567"/>
                <w:jc w:val="both"/>
                <w:rPr>
                  <w:rFonts w:eastAsia="Andale Sans UI" w:cs="Tahoma"/>
                  <w:szCs w:val="24"/>
                  <w:lang w:bidi="en-US"/>
                </w:rPr>
              </w:pPr>
              <w:r>
                <w:rPr>
                  <w:rFonts w:eastAsia="Andale Sans UI" w:cs="Tahoma"/>
                  <w:szCs w:val="24"/>
                  <w:lang w:bidi="en-US"/>
                </w:rPr>
                <w:t xml:space="preserve">Vilniaus miesto savivaldybei </w:t>
              </w:r>
            </w:p>
            <w:p>
              <w:pPr>
                <w:ind w:firstLine="567"/>
                <w:jc w:val="both"/>
                <w:rPr>
                  <w:rFonts w:eastAsia="Andale Sans UI" w:cs="Tahoma"/>
                  <w:szCs w:val="24"/>
                  <w:lang w:bidi="en-US"/>
                </w:rPr>
              </w:pPr>
              <w:r>
                <w:rPr>
                  <w:rFonts w:eastAsia="Andale Sans UI" w:cs="Tahoma"/>
                  <w:szCs w:val="24"/>
                  <w:lang w:bidi="en-US"/>
                </w:rPr>
                <w:t xml:space="preserve">Vilniaus rajono savivaldybei </w:t>
              </w:r>
            </w:p>
            <w:p>
              <w:pPr>
                <w:ind w:firstLine="567"/>
                <w:jc w:val="both"/>
                <w:rPr>
                  <w:rFonts w:eastAsia="Andale Sans UI" w:cs="Tahoma"/>
                  <w:szCs w:val="24"/>
                  <w:lang w:bidi="en-US"/>
                </w:rPr>
              </w:pPr>
              <w:r>
                <w:rPr>
                  <w:rFonts w:eastAsia="Andale Sans UI" w:cs="Tahoma"/>
                  <w:szCs w:val="24"/>
                  <w:lang w:bidi="en-US"/>
                </w:rPr>
                <w:t xml:space="preserve">Visagino savivaldybei </w:t>
              </w:r>
            </w:p>
            <w:p>
              <w:pPr>
                <w:ind w:firstLine="567"/>
                <w:jc w:val="both"/>
                <w:rPr>
                  <w:rFonts w:eastAsia="Andale Sans UI" w:cs="Tahoma"/>
                  <w:szCs w:val="24"/>
                  <w:lang w:bidi="en-US"/>
                </w:rPr>
              </w:pPr>
              <w:r>
                <w:rPr>
                  <w:rFonts w:eastAsia="Andale Sans UI" w:cs="Tahoma"/>
                  <w:szCs w:val="24"/>
                  <w:lang w:bidi="en-US"/>
                </w:rPr>
                <w:t>Zarasų rajono savivaldybei</w:t>
              </w:r>
            </w:p>
          </w:sdtContent>
        </w:sdt>
      </w:sdtContent>
    </w:sdt>
    <w:sectPr>
      <w:footnotePr>
        <w:pos w:val="beneathText"/>
        <w:numRestart w:val="eachPage"/>
      </w:footnotePr>
      <w:endnotePr>
        <w:numFmt w:val="decimal"/>
      </w:endnotePr>
      <w:pgSz w:w="11905" w:h="16837"/>
      <w:pgMar w:top="1021" w:right="567" w:bottom="1021" w:left="1588" w:header="567" w:footer="232" w:gutter="0"/>
      <w:cols w:space="1296"/>
      <w:titlePg/>
      <w:docGrid w:linePitch="326"/>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jc w:val="both"/>
        <w:rPr>
          <w:rFonts w:eastAsia="Andale Sans UI" w:cs="Tahoma"/>
          <w:szCs w:val="24"/>
          <w:lang w:bidi="en-US"/>
        </w:rPr>
      </w:pPr>
      <w:r>
        <w:rPr>
          <w:rFonts w:eastAsia="Andale Sans UI" w:cs="Tahoma"/>
          <w:szCs w:val="24"/>
          <w:lang w:bidi="en-US"/>
        </w:rPr>
        <w:separator/>
      </w:r>
    </w:p>
  </w:endnote>
  <w:endnote w:type="continuationSeparator" w:id="0">
    <w:p>
      <w:pPr>
        <w:jc w:val="both"/>
        <w:rPr>
          <w:rFonts w:eastAsia="Andale Sans UI" w:cs="Tahoma"/>
          <w:szCs w:val="24"/>
          <w:lang w:bidi="en-US"/>
        </w:rPr>
      </w:pPr>
      <w:r>
        <w:rPr>
          <w:rFonts w:eastAsia="Andale Sans UI" w:cs="Tahoma"/>
          <w:szCs w:val="24"/>
          <w:lang w:bidi="en-US"/>
        </w:rPr>
        <w:continuationSeparator/>
      </w:r>
    </w:p>
  </w:endnote>
  <w:endnote w:type="continuationNotice" w:id="1">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Andale Sans UI">
    <w:altName w:val="Calibri"/>
    <w:charset w:val="00"/>
    <w:family w:val="auto"/>
    <w:pitch w:val="default"/>
  </w:font>
  <w:font w:name="Tahoma">
    <w:panose1 w:val="020B0604030504040204"/>
    <w:charset w:val="BA"/>
    <w:family w:val="swiss"/>
    <w:pitch w:val="variable"/>
    <w:sig w:usb0="E1002EFF" w:usb1="C000605B" w:usb2="00000029" w:usb3="00000000" w:csb0="000101FF" w:csb1="00000000"/>
  </w:font>
  <w:font w:name="Arial">
    <w:panose1 w:val="020B0604020202020204"/>
    <w:charset w:val="BA"/>
    <w:family w:val="swiss"/>
    <w:pitch w:val="variable"/>
    <w:sig w:usb0="E0002AFF" w:usb1="C0007843"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Calibri">
    <w:panose1 w:val="020F0502020204030204"/>
    <w:charset w:val="BA"/>
    <w:family w:val="swiss"/>
    <w:pitch w:val="variable"/>
    <w:sig w:usb0="E4002EFF" w:usb1="C200247B" w:usb2="00000009" w:usb3="00000000" w:csb0="000001FF" w:csb1="00000000"/>
  </w:font>
  <w:font w:name="Segoe UI">
    <w:panose1 w:val="020B0502040204020203"/>
    <w:charset w:val="BA"/>
    <w:family w:val="swiss"/>
    <w:pitch w:val="variable"/>
    <w:sig w:usb0="E4002EFF" w:usb1="C000E47F" w:usb2="00000009" w:usb3="00000000" w:csb0="000001F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suppressLineNumbers/>
      <w:tabs>
        <w:tab w:val="center" w:pos="4800"/>
        <w:tab w:val="right" w:pos="9601"/>
      </w:tabs>
      <w:jc w:val="both"/>
      <w:rPr>
        <w:rFonts w:eastAsia="Andale Sans UI" w:cs="Tahoma"/>
        <w:szCs w:val="24"/>
        <w:lang w:bidi="en-US"/>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suppressLineNumbers/>
      <w:tabs>
        <w:tab w:val="center" w:pos="4800"/>
        <w:tab w:val="right" w:pos="9601"/>
      </w:tabs>
      <w:jc w:val="right"/>
      <w:rPr>
        <w:rFonts w:ascii="Arial" w:eastAsia="Andale Sans UI" w:hAnsi="Arial" w:cs="Tahoma"/>
        <w:sz w:val="10"/>
        <w:szCs w:val="24"/>
        <w:lang w:val="en-US" w:bidi="en-US"/>
      </w:rPr>
    </w:pPr>
  </w:p>
  <w:p>
    <w:pPr>
      <w:suppressLineNumbers/>
      <w:tabs>
        <w:tab w:val="center" w:pos="4800"/>
        <w:tab w:val="right" w:pos="9601"/>
      </w:tabs>
      <w:jc w:val="right"/>
      <w:rPr>
        <w:rFonts w:ascii="Arial" w:eastAsia="Andale Sans UI" w:hAnsi="Arial" w:cs="Tahoma"/>
        <w:sz w:val="10"/>
        <w:szCs w:val="24"/>
        <w:lang w:val="en-US" w:bidi="en-US"/>
      </w:rPr>
    </w:pPr>
  </w:p>
  <w:p>
    <w:pPr>
      <w:suppressLineNumbers/>
      <w:tabs>
        <w:tab w:val="center" w:pos="4800"/>
        <w:tab w:val="right" w:pos="9601"/>
      </w:tabs>
      <w:jc w:val="right"/>
      <w:rPr>
        <w:rFonts w:ascii="Arial" w:eastAsia="Andale Sans UI" w:hAnsi="Arial" w:cs="Tahoma"/>
        <w:sz w:val="10"/>
        <w:szCs w:val="24"/>
        <w:lang w:val="en-US" w:bidi="en-US"/>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suppressLineNumbers/>
      <w:tabs>
        <w:tab w:val="center" w:pos="4800"/>
        <w:tab w:val="right" w:pos="9601"/>
      </w:tabs>
      <w:jc w:val="right"/>
      <w:rPr>
        <w:rFonts w:eastAsia="Andale Sans UI" w:cs="Tahoma"/>
        <w:szCs w:val="24"/>
        <w:lang w:bidi="en-US"/>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jc w:val="both"/>
        <w:rPr>
          <w:rFonts w:eastAsia="Andale Sans UI" w:cs="Tahoma"/>
          <w:szCs w:val="24"/>
          <w:lang w:bidi="en-US"/>
        </w:rPr>
      </w:pPr>
      <w:r>
        <w:rPr>
          <w:rFonts w:eastAsia="Andale Sans UI" w:cs="Tahoma"/>
          <w:szCs w:val="24"/>
          <w:lang w:bidi="en-US"/>
        </w:rPr>
        <w:separator/>
      </w:r>
    </w:p>
  </w:footnote>
  <w:footnote w:type="continuationSeparator" w:id="0">
    <w:p>
      <w:pPr>
        <w:jc w:val="both"/>
        <w:rPr>
          <w:rFonts w:eastAsia="Andale Sans UI" w:cs="Tahoma"/>
          <w:szCs w:val="24"/>
          <w:lang w:bidi="en-US"/>
        </w:rPr>
      </w:pPr>
      <w:r>
        <w:rPr>
          <w:rFonts w:eastAsia="Andale Sans UI" w:cs="Tahoma"/>
          <w:szCs w:val="24"/>
          <w:lang w:bidi="en-US"/>
        </w:rPr>
        <w:continuationSeparator/>
      </w:r>
    </w:p>
  </w:footnote>
  <w:footnote w:type="continuationNotice" w:id="1">
    <w:p/>
  </w:footnote>
  <w:footnote w:id="2">
    <w:p>
      <w:pPr>
        <w:jc w:val="both"/>
        <w:rPr>
          <w:rFonts w:eastAsia="Andale Sans UI" w:cs="Tahoma"/>
          <w:sz w:val="20"/>
        </w:rPr>
      </w:pPr>
      <w:r>
        <w:rPr>
          <w:rFonts w:eastAsia="Andale Sans UI" w:cs="Tahoma"/>
          <w:sz w:val="20"/>
          <w:vertAlign w:val="superscript"/>
        </w:rPr>
        <w:footnoteRef/>
      </w:r>
      <w:r>
        <w:rPr>
          <w:rFonts w:eastAsia="Andale Sans UI" w:cs="Tahoma"/>
          <w:sz w:val="20"/>
        </w:rPr>
        <w:t xml:space="preserve"> </w:t>
      </w:r>
      <w:r>
        <w:rPr>
          <w:rFonts w:eastAsia="Andale Sans UI"/>
          <w:sz w:val="18"/>
          <w:szCs w:val="18"/>
        </w:rPr>
        <w:t>Dėl Lietuvos Respublikos Vyriausybės 2018 m. liepos 4 d. nutarimo Nr. 638 „Dėl Nacionaliniam saugumui užtikrinti svarbios įmonės saugumo plano reikalavimų ir rengimo tvarkos aprašo patvirtinimo“</w:t>
      </w:r>
    </w:p>
  </w:footnote>
  <w:footnote w:id="3">
    <w:p>
      <w:pPr>
        <w:jc w:val="both"/>
        <w:rPr>
          <w:rFonts w:eastAsia="Andale Sans UI"/>
          <w:sz w:val="18"/>
          <w:szCs w:val="18"/>
        </w:rPr>
      </w:pPr>
      <w:r>
        <w:rPr>
          <w:rFonts w:eastAsia="Andale Sans UI"/>
          <w:sz w:val="18"/>
          <w:szCs w:val="18"/>
          <w:vertAlign w:val="superscript"/>
        </w:rPr>
        <w:footnoteRef/>
      </w:r>
      <w:r>
        <w:rPr>
          <w:rFonts w:eastAsia="Andale Sans UI"/>
          <w:sz w:val="18"/>
          <w:szCs w:val="18"/>
        </w:rPr>
        <w:t xml:space="preserve"> Pagal Nacionaliniam saugumui užtikrinti svarbių objektų apsaugos įstatymo 1 priedą, viešieji geriamojo vandens tiekėjai ir nuotekų tvarkytojai priskirti prie pirmos kategorijos nacionaliniam saugumui užtikrinti svarbių įmonių.</w:t>
      </w:r>
    </w:p>
  </w:footnote>
  <w:footnote w:id="4">
    <w:p>
      <w:pPr>
        <w:rPr>
          <w:rFonts w:eastAsia="Andale Sans UI" w:cs="Tahoma"/>
          <w:sz w:val="20"/>
        </w:rPr>
      </w:pPr>
      <w:r>
        <w:rPr>
          <w:rFonts w:eastAsia="Andale Sans UI" w:cs="Tahoma"/>
          <w:sz w:val="20"/>
          <w:vertAlign w:val="superscript"/>
        </w:rPr>
        <w:footnoteRef/>
      </w:r>
      <w:r>
        <w:rPr>
          <w:rFonts w:eastAsia="Andale Sans UI" w:cs="Tahoma"/>
          <w:sz w:val="20"/>
        </w:rPr>
        <w:t xml:space="preserve"> </w:t>
      </w:r>
      <w:r>
        <w:rPr>
          <w:rFonts w:eastAsia="Andale Sans UI"/>
          <w:sz w:val="18"/>
          <w:szCs w:val="18"/>
        </w:rPr>
        <w:t>Energijos skirstymo operatorius</w:t>
      </w:r>
    </w:p>
  </w:footnote>
  <w:footnote w:id="5">
    <w:p>
      <w:pPr>
        <w:jc w:val="both"/>
        <w:rPr>
          <w:rFonts w:eastAsia="Andale Sans UI" w:cs="Tahoma"/>
          <w:sz w:val="20"/>
        </w:rPr>
      </w:pPr>
      <w:r>
        <w:rPr>
          <w:rFonts w:eastAsia="Andale Sans UI" w:cs="Tahoma"/>
          <w:sz w:val="20"/>
          <w:vertAlign w:val="superscript"/>
        </w:rPr>
        <w:footnoteRef/>
      </w:r>
      <w:r>
        <w:rPr>
          <w:rFonts w:eastAsia="Andale Sans UI" w:cs="Tahoma"/>
          <w:sz w:val="20"/>
        </w:rPr>
        <w:t xml:space="preserve"> </w:t>
      </w:r>
      <w:r>
        <w:rPr>
          <w:rFonts w:eastAsia="Andale Sans UI"/>
          <w:sz w:val="18"/>
          <w:szCs w:val="18"/>
        </w:rPr>
        <w:t>Lietuvos Respublikos Vyriausybės 2018 m. liepos 4 d. nutarimu Nr. 638 „Dėl Nacionaliniam saugumui užtikrinti svarbios įmonės saugumo plano reikalavimų ir rengimo tvarkos aprašo patvirtinimo“</w:t>
      </w:r>
    </w:p>
  </w:footnote>
  <w:footnote w:id="6">
    <w:p>
      <w:pPr>
        <w:tabs>
          <w:tab w:val="left" w:pos="2127"/>
        </w:tabs>
        <w:jc w:val="both"/>
        <w:rPr>
          <w:rFonts w:eastAsia="Andale Sans UI"/>
          <w:sz w:val="20"/>
        </w:rPr>
      </w:pPr>
      <w:r>
        <w:rPr>
          <w:rFonts w:eastAsia="Andale Sans UI"/>
          <w:sz w:val="20"/>
          <w:vertAlign w:val="superscript"/>
        </w:rPr>
        <w:footnoteRef/>
      </w:r>
      <w:r>
        <w:rPr>
          <w:rFonts w:eastAsia="Andale Sans UI"/>
          <w:sz w:val="20"/>
        </w:rPr>
        <w:t xml:space="preserve"> </w:t>
      </w:r>
      <w:hyperlink r:id="rId1" w:history="1">
        <w:r>
          <w:rPr>
            <w:rFonts w:eastAsia="Andale Sans UI"/>
            <w:color w:val="000080"/>
            <w:sz w:val="20"/>
            <w:u w:val="single"/>
          </w:rPr>
          <w:t>Aštuonioliktosios Lietuvos Respublikos Vyriausybės programa</w:t>
        </w:r>
      </w:hyperlink>
      <w:r>
        <w:rPr>
          <w:rFonts w:eastAsia="Andale Sans UI"/>
          <w:sz w:val="20"/>
        </w:rPr>
        <w:t xml:space="preserve">, kuriai pritarta Lietuvos Respublikos Seimo 2020 m. gruodžio 11 d. nutarimu Nr. XIV-72 „Dėl </w:t>
      </w:r>
      <w:r>
        <w:rPr>
          <w:rFonts w:eastAsia="Andale Sans UI"/>
          <w:sz w:val="20"/>
          <w:shd w:val="clear" w:color="auto" w:fill="FFFFFF"/>
        </w:rPr>
        <w:t>Aštuonioliktosios Lietuvos Respublikos Vyriausybės programos</w:t>
      </w:r>
      <w:r>
        <w:rPr>
          <w:rFonts w:eastAsia="Andale Sans UI"/>
          <w:sz w:val="20"/>
        </w:rPr>
        <w:t>“.</w:t>
      </w:r>
    </w:p>
  </w:footnote>
  <w:footnote w:id="7">
    <w:p>
      <w:pPr>
        <w:jc w:val="both"/>
        <w:rPr>
          <w:rFonts w:eastAsia="Andale Sans UI"/>
          <w:sz w:val="20"/>
        </w:rPr>
      </w:pPr>
      <w:r>
        <w:rPr>
          <w:rFonts w:eastAsia="Andale Sans UI"/>
          <w:sz w:val="20"/>
          <w:vertAlign w:val="superscript"/>
        </w:rPr>
        <w:footnoteRef/>
      </w:r>
      <w:r>
        <w:rPr>
          <w:rFonts w:eastAsia="Andale Sans UI"/>
          <w:sz w:val="20"/>
        </w:rPr>
        <w:t xml:space="preserve"> </w:t>
      </w:r>
      <w:hyperlink r:id="rId2" w:history="1">
        <w:r>
          <w:rPr>
            <w:color w:val="000080"/>
            <w:sz w:val="20"/>
            <w:u w:val="single"/>
            <w:lang w:eastAsia="lt-LT"/>
          </w:rPr>
          <w:t>Numatomo teisinio reguliavimo poveikio vertinimo metodikos</w:t>
        </w:r>
      </w:hyperlink>
      <w:r>
        <w:rPr>
          <w:sz w:val="20"/>
          <w:lang w:eastAsia="lt-LT"/>
        </w:rPr>
        <w:t>, patvirtintos Lietuvos Respublikos Vyriausybės 2003 m. vasario 26 d. nutarimu Nr. 276 „Dėl Numatomo teisinio reguliavimo poveikio vertinimo metodikos patvirtinimo“, 4 punktas.</w:t>
      </w:r>
    </w:p>
  </w:footnote>
  <w:footnote w:id="8">
    <w:p>
      <w:pPr>
        <w:jc w:val="both"/>
        <w:rPr>
          <w:rFonts w:eastAsia="Andale Sans UI"/>
          <w:sz w:val="20"/>
        </w:rPr>
      </w:pPr>
      <w:r>
        <w:rPr>
          <w:rFonts w:eastAsia="Andale Sans UI"/>
          <w:sz w:val="20"/>
          <w:vertAlign w:val="superscript"/>
        </w:rPr>
        <w:footnoteRef/>
      </w:r>
      <w:r>
        <w:rPr>
          <w:rFonts w:eastAsia="Andale Sans UI"/>
          <w:sz w:val="20"/>
        </w:rPr>
        <w:t xml:space="preserve"> </w:t>
      </w:r>
      <w:hyperlink r:id="rId3" w:history="1">
        <w:r>
          <w:rPr>
            <w:color w:val="000080"/>
            <w:sz w:val="20"/>
            <w:u w:val="single"/>
            <w:lang w:eastAsia="lt-LT"/>
          </w:rPr>
          <w:t>Numatomo teisinio reguliavimo poveikio vertinimo metodikos</w:t>
        </w:r>
      </w:hyperlink>
      <w:r>
        <w:rPr>
          <w:sz w:val="20"/>
          <w:lang w:eastAsia="lt-LT"/>
        </w:rPr>
        <w:t>, patvirtintos Lietuvos Respublikos Vyriausybės 2003 m. vasario 26 d. nutarimu Nr. 276 „Dėl Numatomo teisinio reguliavimo poveikio vertinimo metodikos patvirtinimo“, 17</w:t>
      </w:r>
      <w:r>
        <w:rPr>
          <w:sz w:val="20"/>
          <w:vertAlign w:val="superscript"/>
          <w:lang w:eastAsia="lt-LT"/>
        </w:rPr>
        <w:t>1</w:t>
      </w:r>
      <w:r>
        <w:rPr>
          <w:sz w:val="20"/>
          <w:lang w:eastAsia="lt-LT"/>
        </w:rPr>
        <w:t xml:space="preserve"> ir 35 punktai.</w:t>
      </w:r>
    </w:p>
  </w:footnote>
  <w:footnote w:id="9">
    <w:p>
      <w:pPr>
        <w:jc w:val="both"/>
        <w:rPr>
          <w:rFonts w:eastAsia="Andale Sans UI"/>
          <w:sz w:val="20"/>
        </w:rPr>
      </w:pPr>
      <w:r>
        <w:rPr>
          <w:rFonts w:eastAsia="Andale Sans UI"/>
          <w:sz w:val="20"/>
          <w:vertAlign w:val="superscript"/>
        </w:rPr>
        <w:footnoteRef/>
      </w:r>
      <w:r>
        <w:rPr>
          <w:rFonts w:eastAsia="Andale Sans UI"/>
          <w:sz w:val="20"/>
        </w:rPr>
        <w:t xml:space="preserve"> </w:t>
      </w:r>
      <w:hyperlink r:id="rId4" w:history="1">
        <w:r>
          <w:rPr>
            <w:rFonts w:eastAsia="Andale Sans UI"/>
            <w:color w:val="000080"/>
            <w:sz w:val="20"/>
            <w:u w:val="single"/>
          </w:rPr>
          <w:t>Teisėkūros poveikio aplinkai ir klimato kaitai (</w:t>
        </w:r>
        <w:r>
          <w:rPr>
            <w:rFonts w:eastAsia="Andale Sans UI"/>
            <w:i/>
            <w:iCs/>
            <w:color w:val="000080"/>
            <w:sz w:val="20"/>
            <w:u w:val="single"/>
          </w:rPr>
          <w:t>ex ante</w:t>
        </w:r>
        <w:r>
          <w:rPr>
            <w:rFonts w:eastAsia="Andale Sans UI"/>
            <w:color w:val="000080"/>
            <w:sz w:val="20"/>
            <w:u w:val="single"/>
          </w:rPr>
          <w:t>) vertinimo tvarkos aprašas</w:t>
        </w:r>
      </w:hyperlink>
      <w:r>
        <w:rPr>
          <w:rFonts w:eastAsia="Andale Sans UI"/>
          <w:sz w:val="20"/>
        </w:rPr>
        <w:t>, patvirtintas Lietuvos Respublikos aplinkos ministro 2024 m. vasario 27 d. įsakymu Nr. D1-57 „Dėl Teisėkūros poveikio aplinkai ir klimato kaitai (</w:t>
      </w:r>
      <w:r>
        <w:rPr>
          <w:rFonts w:eastAsia="Andale Sans UI"/>
          <w:i/>
          <w:iCs/>
          <w:sz w:val="20"/>
        </w:rPr>
        <w:t>ex ante</w:t>
      </w:r>
      <w:r>
        <w:rPr>
          <w:rFonts w:eastAsia="Andale Sans UI"/>
          <w:sz w:val="20"/>
        </w:rPr>
        <w:t>) vertinimo tvarkos aprašo patvirtinimo“.</w:t>
      </w:r>
    </w:p>
  </w:footnote>
  <w:footnote w:id="10">
    <w:p>
      <w:pPr>
        <w:rPr>
          <w:rFonts w:eastAsia="Andale Sans UI" w:cs="Tahoma"/>
          <w:sz w:val="20"/>
        </w:rPr>
      </w:pPr>
      <w:r>
        <w:rPr>
          <w:rFonts w:eastAsia="Andale Sans UI"/>
          <w:sz w:val="20"/>
          <w:vertAlign w:val="superscript"/>
        </w:rPr>
        <w:footnoteRef/>
      </w:r>
      <w:r>
        <w:rPr>
          <w:rFonts w:eastAsia="Andale Sans UI"/>
          <w:sz w:val="20"/>
        </w:rPr>
        <w:t xml:space="preserve"> </w:t>
      </w:r>
      <w:r>
        <w:rPr>
          <w:rFonts w:eastAsia="Andale Sans UI"/>
          <w:color w:val="000080"/>
          <w:sz w:val="20"/>
          <w:u w:val="single"/>
        </w:rPr>
        <w:t>https://aaa.lrv.lt/lt/veiklos-sritys/teisekuros-poveikio-vertinimas/</w:t>
      </w:r>
      <w:r>
        <w:rPr>
          <w:rFonts w:eastAsia="Andale Sans UI"/>
          <w:sz w:val="20"/>
        </w:rPr>
        <w:t xml:space="preserve"> </w:t>
      </w:r>
    </w:p>
  </w:footnote>
  <w:footnote w:id="11">
    <w:p>
      <w:pPr>
        <w:tabs>
          <w:tab w:val="left" w:pos="2127"/>
        </w:tabs>
        <w:jc w:val="both"/>
        <w:rPr>
          <w:color w:val="000000"/>
          <w:sz w:val="20"/>
          <w:lang w:eastAsia="lt-LT" w:bidi="en-US"/>
        </w:rPr>
      </w:pPr>
      <w:r>
        <w:rPr>
          <w:rFonts w:eastAsia="Andale Sans UI"/>
          <w:sz w:val="20"/>
          <w:vertAlign w:val="superscript"/>
          <w:lang w:bidi="en-US"/>
        </w:rPr>
        <w:footnoteRef/>
      </w:r>
      <w:r>
        <w:rPr>
          <w:rFonts w:eastAsia="Andale Sans UI"/>
          <w:sz w:val="20"/>
          <w:lang w:bidi="en-US"/>
        </w:rPr>
        <w:t xml:space="preserve"> </w:t>
      </w:r>
      <w:hyperlink r:id="rId6" w:history="1">
        <w:r>
          <w:rPr>
            <w:rFonts w:eastAsia="Andale Sans UI"/>
            <w:color w:val="000080"/>
            <w:sz w:val="20"/>
            <w:u w:val="single"/>
            <w:lang w:bidi="en-US"/>
          </w:rPr>
          <w:t>Europos Sąjungos reikalų koordinavimo taisyklių</w:t>
        </w:r>
      </w:hyperlink>
      <w:r>
        <w:rPr>
          <w:rFonts w:eastAsia="Andale Sans UI"/>
          <w:sz w:val="20"/>
          <w:lang w:bidi="en-US"/>
        </w:rPr>
        <w:t>, patvirtintų Lietuvos Respublikos Vyriausybės 2004 m. sausio 9 d. nutarimu Nr. 21 „Dėl Europos Sąjungos reikalų koordinavimo“, 7 priedas.</w:t>
      </w:r>
    </w:p>
  </w:footnote>
  <w:footnote w:id="12">
    <w:p>
      <w:pPr>
        <w:jc w:val="both"/>
        <w:rPr>
          <w:rFonts w:eastAsia="Andale Sans UI"/>
          <w:sz w:val="20"/>
        </w:rPr>
      </w:pPr>
      <w:r>
        <w:rPr>
          <w:rFonts w:eastAsia="Andale Sans UI"/>
          <w:sz w:val="20"/>
          <w:vertAlign w:val="superscript"/>
        </w:rPr>
        <w:footnoteRef/>
      </w:r>
      <w:r>
        <w:rPr>
          <w:rFonts w:eastAsia="Andale Sans UI"/>
          <w:sz w:val="20"/>
        </w:rPr>
        <w:t xml:space="preserve"> </w:t>
      </w:r>
      <w:hyperlink r:id="rId7" w:history="1">
        <w:r>
          <w:rPr>
            <w:color w:val="000080"/>
            <w:sz w:val="20"/>
            <w:u w:val="single"/>
            <w:lang w:eastAsia="lt-LT"/>
          </w:rPr>
          <w:t>Informacijos apie techninius reglamentus ir atitikties įvertinimo procedūras teikimo taisyklės</w:t>
        </w:r>
      </w:hyperlink>
      <w:r>
        <w:rPr>
          <w:sz w:val="20"/>
          <w:lang w:eastAsia="lt-LT"/>
        </w:rPr>
        <w:t>, patvirtintos Lietuvos Respublikos Vyriausybės 1999 m. gegužės 20 d. nutarimu Nr. 617 „Dėl Informacijos apie techninius reglamentus ir atitikties įvertinimo procedūras teikimo taisyklių patvirtinimo“.</w:t>
      </w:r>
    </w:p>
  </w:footnote>
  <w:footnote w:id="13">
    <w:p>
      <w:pPr>
        <w:jc w:val="both"/>
        <w:rPr>
          <w:sz w:val="20"/>
          <w:lang w:eastAsia="lt-LT"/>
        </w:rPr>
      </w:pPr>
      <w:r>
        <w:rPr>
          <w:rFonts w:eastAsia="Andale Sans UI"/>
          <w:sz w:val="20"/>
          <w:vertAlign w:val="superscript"/>
        </w:rPr>
        <w:footnoteRef/>
        <w:t xml:space="preserve"> </w:t>
      </w:r>
      <w:hyperlink r:id="rId8" w:history="1">
        <w:r>
          <w:rPr>
            <w:color w:val="000080"/>
            <w:sz w:val="20"/>
            <w:u w:val="single"/>
            <w:lang w:eastAsia="lt-LT"/>
          </w:rPr>
          <w:t>Lietuvos Respublikos paslaugų įstatymo ir Pranešimų ir informacijos apie nustatomus įsisteigimo arba nustatomus ar panaikinamus paslaugų teikimo laisvei taikomus reikalavimus teikimo tvarkos aprašas</w:t>
        </w:r>
      </w:hyperlink>
      <w:r>
        <w:rPr>
          <w:sz w:val="20"/>
          <w:lang w:eastAsia="lt-LT"/>
        </w:rPr>
        <w:t>, patvirtintas Lietuvos Respublikos Vyriausybės 2011 m. lapkričio 30 d. nutarimu Nr. 1389 „Dėl pranešimų ir informacijos apie nustatomus įsisteigimo arba nustatomus ar panaikinamus paslaugų teikimo laisvei taikomus reikalavimus teikimo“.</w:t>
      </w:r>
    </w:p>
  </w:footnote>
  <w:footnote w:id="14">
    <w:p>
      <w:pPr>
        <w:rPr>
          <w:rFonts w:eastAsia="Andale Sans UI"/>
          <w:sz w:val="20"/>
        </w:rPr>
      </w:pPr>
      <w:r>
        <w:rPr>
          <w:rFonts w:eastAsia="Andale Sans UI"/>
          <w:sz w:val="20"/>
          <w:vertAlign w:val="superscript"/>
        </w:rPr>
        <w:footnoteRef/>
      </w:r>
      <w:r>
        <w:rPr>
          <w:rFonts w:eastAsia="Andale Sans UI"/>
          <w:sz w:val="20"/>
        </w:rPr>
        <w:t xml:space="preserve"> </w:t>
      </w:r>
      <w:r>
        <w:rPr>
          <w:rFonts w:eastAsia="Andale Sans UI"/>
          <w:color w:val="000080"/>
          <w:sz w:val="20"/>
          <w:u w:val="single"/>
        </w:rPr>
        <w:t>https://epilietis.lrv.lt/lt/</w:t>
      </w:r>
      <w:r>
        <w:rPr>
          <w:rFonts w:eastAsia="Andale Sans UI"/>
          <w:sz w:val="20"/>
        </w:rPr>
        <w:t>.</w:t>
      </w:r>
    </w:p>
  </w:footnote>
  <w:footnote w:id="15">
    <w:p>
      <w:pPr>
        <w:jc w:val="both"/>
        <w:rPr>
          <w:rFonts w:eastAsia="Andale Sans UI"/>
          <w:sz w:val="20"/>
        </w:rPr>
      </w:pPr>
      <w:r>
        <w:rPr>
          <w:rFonts w:eastAsia="Andale Sans UI"/>
          <w:sz w:val="20"/>
          <w:vertAlign w:val="superscript"/>
        </w:rPr>
        <w:footnoteRef/>
      </w:r>
      <w:r>
        <w:rPr>
          <w:rFonts w:eastAsia="Andale Sans UI"/>
          <w:sz w:val="20"/>
        </w:rPr>
        <w:t xml:space="preserve"> </w:t>
      </w:r>
      <w:r>
        <w:rPr>
          <w:rFonts w:eastAsia="Andale Sans UI"/>
          <w:color w:val="000080"/>
          <w:sz w:val="20"/>
          <w:u w:val="single"/>
          <w:shd w:val="clear" w:color="auto" w:fill="FFFFFF"/>
          <w:lang w:bidi="en-US"/>
        </w:rPr>
        <w:t>Ministrų, Vyriausybės įstaigų, įstaigų prie ministerijų ir kitų Vyriausybei pavaldžių ir atskaitingų viešojo administravimo subjektų norminių teisės aktų projektų rengimo taisyklės</w:t>
      </w:r>
      <w:r>
        <w:rPr>
          <w:rFonts w:eastAsia="Andale Sans UI"/>
          <w:sz w:val="20"/>
        </w:rPr>
        <w:t>, patvirtintos Lietuvos Respublikos Vyriausybės 1994 m. rugpjūčio 11 d. nutarimu Nr. 728 „Dėl Lietuvos Respublikos Vyriausybės darbo reglamento ir Ministrų, Vyriausybės įstaigų, įstaigų prie ministerijų ir kitų Vyriausybei pavaldžių ir atskaitingų viešojo administravimo subjektų norminių teisės aktų projektų rengimo taisyklių</w:t>
      </w:r>
      <w:r>
        <w:rPr>
          <w:rFonts w:eastAsia="Andale Sans UI" w:cs="Tahoma"/>
          <w:sz w:val="20"/>
        </w:rPr>
        <w:t xml:space="preserve"> </w:t>
      </w:r>
      <w:r>
        <w:rPr>
          <w:rFonts w:eastAsia="Andale Sans UI"/>
          <w:sz w:val="20"/>
        </w:rPr>
        <w:t>patvirtinimo“.</w:t>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suppressLineNumbers/>
      <w:tabs>
        <w:tab w:val="center" w:pos="4800"/>
        <w:tab w:val="right" w:pos="9601"/>
      </w:tabs>
      <w:jc w:val="both"/>
      <w:rPr>
        <w:rFonts w:eastAsia="Andale Sans UI" w:cs="Tahoma"/>
        <w:szCs w:val="24"/>
        <w:lang w:bidi="en-US"/>
      </w:rPr>
    </w:pPr>
    <w:r>
      <w:rPr>
        <w:rFonts w:eastAsia="Andale Sans UI" w:cs="Tahoma"/>
        <w:szCs w:val="24"/>
        <w:lang w:bidi="en-US"/>
      </w:rPr>
      <w:fldChar w:fldCharType="begin"/>
    </w:r>
    <w:r>
      <w:rPr>
        <w:rFonts w:eastAsia="Andale Sans UI" w:cs="Tahoma"/>
        <w:szCs w:val="24"/>
        <w:lang w:bidi="en-US"/>
      </w:rPr>
      <w:instrText xml:space="preserve">PAGE  </w:instrText>
    </w:r>
    <w:r>
      <w:rPr>
        <w:rFonts w:eastAsia="Andale Sans UI" w:cs="Tahoma"/>
        <w:szCs w:val="24"/>
        <w:lang w:bidi="en-US"/>
      </w:rPr>
      <w:fldChar w:fldCharType="end"/>
    </w:r>
  </w:p>
  <w:p>
    <w:pPr>
      <w:suppressLineNumbers/>
      <w:tabs>
        <w:tab w:val="center" w:pos="4800"/>
        <w:tab w:val="right" w:pos="9601"/>
      </w:tabs>
      <w:jc w:val="both"/>
      <w:rPr>
        <w:rFonts w:eastAsia="Andale Sans UI" w:cs="Tahoma"/>
        <w:szCs w:val="24"/>
        <w:lang w:bidi="en-US"/>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suppressLineNumbers/>
      <w:tabs>
        <w:tab w:val="center" w:pos="4800"/>
        <w:tab w:val="right" w:pos="9601"/>
      </w:tabs>
      <w:jc w:val="center"/>
      <w:rPr>
        <w:rFonts w:eastAsia="Andale Sans UI" w:cs="Tahoma"/>
        <w:szCs w:val="24"/>
        <w:lang w:bidi="en-US"/>
      </w:rPr>
    </w:pPr>
    <w:r>
      <w:rPr>
        <w:rFonts w:eastAsia="Andale Sans UI" w:cs="Tahoma"/>
        <w:szCs w:val="24"/>
        <w:lang w:bidi="en-US"/>
      </w:rPr>
      <w:fldChar w:fldCharType="begin"/>
    </w:r>
    <w:r>
      <w:rPr>
        <w:rFonts w:eastAsia="Andale Sans UI" w:cs="Tahoma"/>
        <w:szCs w:val="24"/>
        <w:lang w:bidi="en-US"/>
      </w:rPr>
      <w:instrText>PAGE   \* MERGEFORMAT</w:instrText>
    </w:r>
    <w:r>
      <w:rPr>
        <w:rFonts w:eastAsia="Andale Sans UI" w:cs="Tahoma"/>
        <w:szCs w:val="24"/>
        <w:lang w:bidi="en-US"/>
      </w:rPr>
      <w:fldChar w:fldCharType="separate"/>
    </w:r>
    <w:r>
      <w:rPr>
        <w:rFonts w:eastAsia="Andale Sans UI" w:cs="Tahoma"/>
        <w:szCs w:val="24"/>
        <w:lang w:val="en-GB" w:bidi="en-US"/>
      </w:rPr>
      <w:t>5</w:t>
    </w:r>
    <w:r>
      <w:rPr>
        <w:rFonts w:eastAsia="Andale Sans UI" w:cs="Tahoma"/>
        <w:szCs w:val="24"/>
        <w:lang w:bidi="en-US"/>
      </w:rPr>
      <w:fldChar w:fldCharType="end"/>
    </w:r>
  </w:p>
  <w:p>
    <w:pPr>
      <w:suppressLineNumbers/>
      <w:tabs>
        <w:tab w:val="center" w:pos="4800"/>
        <w:tab w:val="right" w:pos="9601"/>
      </w:tabs>
      <w:jc w:val="both"/>
      <w:rPr>
        <w:rFonts w:eastAsia="Andale Sans UI" w:cs="Tahoma"/>
        <w:szCs w:val="24"/>
        <w:lang w:bidi="en-US"/>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suppressLineNumbers/>
      <w:tabs>
        <w:tab w:val="center" w:pos="4800"/>
        <w:tab w:val="right" w:pos="9601"/>
      </w:tabs>
      <w:jc w:val="both"/>
      <w:rPr>
        <w:rFonts w:eastAsia="Andale Sans UI" w:cs="Tahoma"/>
        <w:szCs w:val="24"/>
        <w:lang w:bidi="en-US"/>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567"/>
  <w:hyphenationZone w:val="396"/>
  <w:doNotHyphenateCaps/>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strictFirstAndLastChars/>
  <w:hdrShapeDefaults>
    <o:shapedefaults v:ext="edit" spidmax="2050"/>
  </w:hdrShapeDefaults>
  <w:footnotePr>
    <w:pos w:val="beneathText"/>
    <w:footnote w:id="-1"/>
    <w:footnote w:id="0"/>
    <w:footnote w:id="1"/>
  </w:footnotePr>
  <w:endnotePr>
    <w:numFmt w:val="decimal"/>
    <w:endnote w:id="-1"/>
    <w:endnote w:id="0"/>
    <w:endnote w:id="1"/>
  </w:endnotePr>
  <w:compat>
    <w:spaceForUL/>
    <w:balanceSingleByteDoubleByteWidth/>
    <w:doNotLeaveBackslashAlone/>
    <w:ulTrailSpace/>
    <w:doNotExpandShiftReturn/>
    <w:adjustLineHeightInTabl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17D5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5:docId w15:val="{EBEF61CE-B681-4932-A205-1DD278169852}"/>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480274677">
      <w:bodyDiv w:val="1"/>
      <w:marLeft w:val="0"/>
      <w:marRight w:val="0"/>
      <w:marTop w:val="0"/>
      <w:marBottom w:val="0"/>
      <w:divBdr>
        <w:top w:val="none" w:sz="0" w:space="0" w:color="auto"/>
        <w:left w:val="none" w:sz="0" w:space="0" w:color="auto"/>
        <w:bottom w:val="none" w:sz="0" w:space="0" w:color="auto"/>
        <w:right w:val="none" w:sz="0" w:space="0" w:color="auto"/>
      </w:divBdr>
    </w:div>
    <w:div w:id="493882544">
      <w:bodyDiv w:val="1"/>
      <w:marLeft w:val="0"/>
      <w:marRight w:val="0"/>
      <w:marTop w:val="0"/>
      <w:marBottom w:val="0"/>
      <w:divBdr>
        <w:top w:val="none" w:sz="0" w:space="0" w:color="auto"/>
        <w:left w:val="none" w:sz="0" w:space="0" w:color="auto"/>
        <w:bottom w:val="none" w:sz="0" w:space="0" w:color="auto"/>
        <w:right w:val="none" w:sz="0" w:space="0" w:color="auto"/>
      </w:divBdr>
      <w:divsChild>
        <w:div w:id="598099785">
          <w:marLeft w:val="0"/>
          <w:marRight w:val="0"/>
          <w:marTop w:val="0"/>
          <w:marBottom w:val="0"/>
          <w:divBdr>
            <w:top w:val="none" w:sz="0" w:space="0" w:color="auto"/>
            <w:left w:val="none" w:sz="0" w:space="0" w:color="auto"/>
            <w:bottom w:val="none" w:sz="0" w:space="0" w:color="auto"/>
            <w:right w:val="none" w:sz="0" w:space="0" w:color="auto"/>
          </w:divBdr>
        </w:div>
        <w:div w:id="1297907655">
          <w:marLeft w:val="0"/>
          <w:marRight w:val="0"/>
          <w:marTop w:val="0"/>
          <w:marBottom w:val="0"/>
          <w:divBdr>
            <w:top w:val="none" w:sz="0" w:space="0" w:color="auto"/>
            <w:left w:val="none" w:sz="0" w:space="0" w:color="auto"/>
            <w:bottom w:val="none" w:sz="0" w:space="0" w:color="auto"/>
            <w:right w:val="none" w:sz="0" w:space="0" w:color="auto"/>
          </w:divBdr>
        </w:div>
      </w:divsChild>
    </w:div>
    <w:div w:id="782111478">
      <w:bodyDiv w:val="1"/>
      <w:marLeft w:val="0"/>
      <w:marRight w:val="0"/>
      <w:marTop w:val="0"/>
      <w:marBottom w:val="0"/>
      <w:divBdr>
        <w:top w:val="none" w:sz="0" w:space="0" w:color="auto"/>
        <w:left w:val="none" w:sz="0" w:space="0" w:color="auto"/>
        <w:bottom w:val="none" w:sz="0" w:space="0" w:color="auto"/>
        <w:right w:val="none" w:sz="0" w:space="0" w:color="auto"/>
      </w:divBdr>
    </w:div>
    <w:div w:id="916746596">
      <w:bodyDiv w:val="1"/>
      <w:marLeft w:val="0"/>
      <w:marRight w:val="0"/>
      <w:marTop w:val="0"/>
      <w:marBottom w:val="0"/>
      <w:divBdr>
        <w:top w:val="none" w:sz="0" w:space="0" w:color="auto"/>
        <w:left w:val="none" w:sz="0" w:space="0" w:color="auto"/>
        <w:bottom w:val="none" w:sz="0" w:space="0" w:color="auto"/>
        <w:right w:val="none" w:sz="0" w:space="0" w:color="auto"/>
      </w:divBdr>
      <w:divsChild>
        <w:div w:id="822156668">
          <w:marLeft w:val="0"/>
          <w:marRight w:val="0"/>
          <w:marTop w:val="0"/>
          <w:marBottom w:val="0"/>
          <w:divBdr>
            <w:top w:val="none" w:sz="0" w:space="0" w:color="auto"/>
            <w:left w:val="none" w:sz="0" w:space="0" w:color="auto"/>
            <w:bottom w:val="none" w:sz="0" w:space="0" w:color="auto"/>
            <w:right w:val="none" w:sz="0" w:space="0" w:color="auto"/>
          </w:divBdr>
        </w:div>
        <w:div w:id="1060790193">
          <w:marLeft w:val="0"/>
          <w:marRight w:val="0"/>
          <w:marTop w:val="0"/>
          <w:marBottom w:val="0"/>
          <w:divBdr>
            <w:top w:val="none" w:sz="0" w:space="0" w:color="auto"/>
            <w:left w:val="none" w:sz="0" w:space="0" w:color="auto"/>
            <w:bottom w:val="none" w:sz="0" w:space="0" w:color="auto"/>
            <w:right w:val="none" w:sz="0" w:space="0" w:color="auto"/>
          </w:divBdr>
        </w:div>
        <w:div w:id="1093864504">
          <w:marLeft w:val="0"/>
          <w:marRight w:val="0"/>
          <w:marTop w:val="0"/>
          <w:marBottom w:val="0"/>
          <w:divBdr>
            <w:top w:val="none" w:sz="0" w:space="0" w:color="auto"/>
            <w:left w:val="none" w:sz="0" w:space="0" w:color="auto"/>
            <w:bottom w:val="none" w:sz="0" w:space="0" w:color="auto"/>
            <w:right w:val="none" w:sz="0" w:space="0" w:color="auto"/>
          </w:divBdr>
        </w:div>
      </w:divsChild>
    </w:div>
    <w:div w:id="1184318278">
      <w:bodyDiv w:val="1"/>
      <w:marLeft w:val="0"/>
      <w:marRight w:val="0"/>
      <w:marTop w:val="0"/>
      <w:marBottom w:val="0"/>
      <w:divBdr>
        <w:top w:val="none" w:sz="0" w:space="0" w:color="auto"/>
        <w:left w:val="none" w:sz="0" w:space="0" w:color="auto"/>
        <w:bottom w:val="none" w:sz="0" w:space="0" w:color="auto"/>
        <w:right w:val="none" w:sz="0" w:space="0" w:color="auto"/>
      </w:divBdr>
      <w:divsChild>
        <w:div w:id="1058750904">
          <w:marLeft w:val="0"/>
          <w:marRight w:val="0"/>
          <w:marTop w:val="0"/>
          <w:marBottom w:val="0"/>
          <w:divBdr>
            <w:top w:val="none" w:sz="0" w:space="0" w:color="auto"/>
            <w:left w:val="none" w:sz="0" w:space="0" w:color="auto"/>
            <w:bottom w:val="none" w:sz="0" w:space="0" w:color="auto"/>
            <w:right w:val="none" w:sz="0" w:space="0" w:color="auto"/>
          </w:divBdr>
        </w:div>
        <w:div w:id="1167481611">
          <w:marLeft w:val="0"/>
          <w:marRight w:val="0"/>
          <w:marTop w:val="0"/>
          <w:marBottom w:val="0"/>
          <w:divBdr>
            <w:top w:val="none" w:sz="0" w:space="0" w:color="auto"/>
            <w:left w:val="none" w:sz="0" w:space="0" w:color="auto"/>
            <w:bottom w:val="none" w:sz="0" w:space="0" w:color="auto"/>
            <w:right w:val="none" w:sz="0" w:space="0" w:color="auto"/>
          </w:divBdr>
        </w:div>
        <w:div w:id="1336346376">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image" Target="media/image1.png"/>
  <Relationship Id="rId14" Type="http://schemas.openxmlformats.org/officeDocument/2006/relationships/header" Target="header1.xml"/>
  <Relationship Id="rId15" Type="http://schemas.openxmlformats.org/officeDocument/2006/relationships/header" Target="header2.xml"/>
  <Relationship Id="rId16" Type="http://schemas.openxmlformats.org/officeDocument/2006/relationships/footer" Target="footer1.xml"/>
  <Relationship Id="rId17" Type="http://schemas.openxmlformats.org/officeDocument/2006/relationships/footer" Target="footer2.xml"/>
  <Relationship Id="rId18" Type="http://schemas.openxmlformats.org/officeDocument/2006/relationships/header" Target="header3.xml"/>
  <Relationship Id="rId19" Type="http://schemas.openxmlformats.org/officeDocument/2006/relationships/footer" Target="footer3.xml"/>
  <Relationship Id="rId2" Type="http://schemas.openxmlformats.org/officeDocument/2006/relationships/customXml" Target="../customXml/item2.xml"/>
  <Relationship Id="rId20" Type="http://schemas.openxmlformats.org/officeDocument/2006/relationships/fontTable" Target="fontTable.xml"/>
  <Relationship Id="rId21" Type="http://schemas.openxmlformats.org/officeDocument/2006/relationships/theme" Target="theme/theme1.xml"/>
  <Relationship Id="rId22" Type="http://schemas.openxmlformats.org/officeDocument/2006/relationships/customXml" Target="../customXml/item5.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styles" Target="styles.xml"/>
  <Relationship Id="rId6" Type="http://schemas.openxmlformats.org/officeDocument/2006/relationships/settings" Target="settings.xml"/>
  <Relationship Id="rId7" Type="http://schemas.openxmlformats.org/officeDocument/2006/relationships/webSettings" Target="webSettings.xml"/>
  <Relationship Id="rId8" Type="http://schemas.openxmlformats.org/officeDocument/2006/relationships/footnotes" Target="footnotes.xml"/>
  <Relationship Id="rId9" Type="http://schemas.openxmlformats.org/officeDocument/2006/relationships/endnotes" Target="endnotes.xml"/>
</Relationships>

</file>

<file path=word/_rels/footnotes.xml.rels><?xml version="1.0" encoding="UTF-8"?>

<Relationships xmlns="http://schemas.openxmlformats.org/package/2006/relationships">
  <Relationship Id="rId1" Type="http://schemas.openxmlformats.org/officeDocument/2006/relationships/hyperlink" TargetMode="External" Target="https://www.e-tar.lt/portal/lt/legalAct/ed22bb703bc311eb8d9fe110e148c770"/>
  <Relationship Id="rId2" Type="http://schemas.openxmlformats.org/officeDocument/2006/relationships/hyperlink" TargetMode="External" Target="https://www.e-tar.lt/portal/lt/legalAct/TAR.814F485EB18B/asr"/>
  <Relationship Id="rId3" Type="http://schemas.openxmlformats.org/officeDocument/2006/relationships/hyperlink" TargetMode="External" Target="https://www.e-tar.lt/portal/lt/legalAct/TAR.814F485EB18B/asr"/>
  <Relationship Id="rId4" Type="http://schemas.openxmlformats.org/officeDocument/2006/relationships/hyperlink" TargetMode="External" Target="https://www.e-tar.lt/portal/lt/legalAct/0635c170d54511eead77e967e3995264"/>
  <Relationship Id="rId6" Type="http://schemas.openxmlformats.org/officeDocument/2006/relationships/hyperlink" TargetMode="External" Target="https://www.e-tar.lt/portal/lt/legalAct/TAR.DB68BCA9E3A0/asr"/>
  <Relationship Id="rId7" Type="http://schemas.openxmlformats.org/officeDocument/2006/relationships/hyperlink" TargetMode="External" Target="https://www.e-tar.lt/portal/lt/legalAct/TAR.EDD5FD371B32/asr"/>
  <Relationship Id="rId8" Type="http://schemas.openxmlformats.org/officeDocument/2006/relationships/hyperlink" TargetMode="External" Target="https://www.e-tar.lt/portal/lt/legalAct/TAR.DCD24028BD0E"/>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50164633ED94994D9773E53D567FF5BF" ma:contentTypeVersion="14" ma:contentTypeDescription="Create a new document." ma:contentTypeScope="" ma:versionID="61ed51282d73df9eb0f6847447833eee">
  <xsd:schema xmlns:xsd="http://www.w3.org/2001/XMLSchema" xmlns:xs="http://www.w3.org/2001/XMLSchema" xmlns:p="http://schemas.microsoft.com/office/2006/metadata/properties" xmlns:ns2="47c1ea38-b788-4873-88f4-3b1f34597b9a" xmlns:ns3="0379a545-9986-45d7-9e6d-3845025712a0" targetNamespace="http://schemas.microsoft.com/office/2006/metadata/properties" ma:root="true" ma:fieldsID="9cbf64811bb342611d32b26bb80ee5bb" ns2:_="" ns3:_="">
    <xsd:import namespace="47c1ea38-b788-4873-88f4-3b1f34597b9a"/>
    <xsd:import namespace="0379a545-9986-45d7-9e6d-3845025712a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3:SharedWithUsers" minOccurs="0"/>
                <xsd:element ref="ns3:SharedWithDetails" minOccurs="0"/>
                <xsd:element ref="ns2:lcf76f155ced4ddcb4097134ff3c332f" minOccurs="0"/>
                <xsd:element ref="ns3:TaxCatchAll" minOccurs="0"/>
                <xsd:element ref="ns2:MediaServiceDateTaken" minOccurs="0"/>
                <xsd:element ref="ns2:MediaServiceOCR" minOccurs="0"/>
                <xsd:element ref="ns2:MediaServiceGenerationTime" minOccurs="0"/>
                <xsd:element ref="ns2:MediaServiceEventHashCode"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7c1ea38-b788-4873-88f4-3b1f34597b9a"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lcf76f155ced4ddcb4097134ff3c332f" ma:index="15" nillable="true" ma:taxonomy="true" ma:internalName="lcf76f155ced4ddcb4097134ff3c332f" ma:taxonomyFieldName="MediaServiceImageTags" ma:displayName="Image Tags" ma:readOnly="false" ma:fieldId="{5cf76f15-5ced-4ddc-b409-7134ff3c332f}" ma:taxonomyMulti="true" ma:sspId="b763af57-ddc4-4b49-90b1-28f02697adfa" ma:termSetId="09814cd3-568e-fe90-9814-8d621ff8fb84" ma:anchorId="fba54fb3-c3e1-fe81-a776-ca4b69148c4d" ma:open="true" ma:isKeyword="false">
      <xsd:complexType>
        <xsd:sequence>
          <xsd:element ref="pc:Terms" minOccurs="0" maxOccurs="1"/>
        </xsd:sequence>
      </xsd:complexType>
    </xsd:element>
    <xsd:element name="MediaServiceDateTaken" ma:index="17" nillable="true" ma:displayName="MediaServiceDateTaken" ma:hidden="true" ma:indexed="true" ma:internalName="MediaServiceDateTaken"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element name="MediaLengthInSeconds" ma:index="21"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0379a545-9986-45d7-9e6d-3845025712a0"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TaxCatchAll" ma:index="16" nillable="true" ma:displayName="Taxonomy Catch All Column" ma:hidden="true" ma:list="{3f5c7397-6a17-43fd-b0d0-62600e53cad0}" ma:internalName="TaxCatchAll" ma:showField="CatchAllData" ma:web="0379a545-9986-45d7-9e6d-3845025712a0">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SharedWithUsers xmlns="0379a545-9986-45d7-9e6d-3845025712a0">
      <UserInfo>
        <DisplayName>Jurgita Užkurnienė</DisplayName>
        <AccountId>118</AccountId>
        <AccountType/>
      </UserInfo>
    </SharedWithUsers>
    <lcf76f155ced4ddcb4097134ff3c332f xmlns="47c1ea38-b788-4873-88f4-3b1f34597b9a">
      <Terms xmlns="http://schemas.microsoft.com/office/infopath/2007/PartnerControls"/>
    </lcf76f155ced4ddcb4097134ff3c332f>
    <TaxCatchAll xmlns="0379a545-9986-45d7-9e6d-3845025712a0" xsi:nil="true"/>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5.xml><?xml version="1.0" encoding="utf-8"?>
<Parts xmlns="http://lrs.lt/TAIS/DocParts">
  <Part Type="lentele" DocPartId="0a9a73b6ac474301aba7f01437953573" PartId="887ad0c8d4704ff7bf81e17bfc00860c"/>
  <Part Type="pastraipa" DocPartId="c82b94167c684290adb74cdd84ce0231" PartId="90b8e1008c064fbda07821db36bf5834">
    <Part Type="punktas" Nr="1" Abbr="1 p." DocPartId="e81660a4b73c419cafb7df91b2e7c656" PartId="6e57d7e55714417fba9f26d66254562b"/>
    <Part Type="punktas" Nr="2" Abbr="2 p." DocPartId="72424225491845cfada00a2890065bb1" PartId="41543896fc4c44c89248a34b101e3151"/>
    <Part Type="punktas" Nr="3" Abbr="3 p." DocPartId="f3bbaa2861bb4b3a9a11e9f5b9e6fc3e" PartId="e6aa851b357c4bcab9b96a0746f02257"/>
    <Part Type="punktas" Nr="4" Abbr="4 p." DocPartId="0969d0784382413e83dd7cdfae26c9ed" PartId="5cca3415bf4a451a9b6e35832f96270e"/>
    <Part Type="punktas" Nr="5" Abbr="5 p." DocPartId="83b6ec7dec964b2a9aab1774917807bf" PartId="fd0ece9b11dc4fbfa3fb9cc4f2901033"/>
    <Part Type="punktas" Nr="6" Abbr="6 p." DocPartId="9ea1fb89c2e5477c8eedc51bebea2426" PartId="521911905ec341dc8e0d907da349c1b5"/>
    <Part Type="punktas" Nr="7" Abbr="7 p." DocPartId="613bc6b0175b440db37cf9536e7fe7e6" PartId="4b0d52d346b44fc1aebf728063ac5a1b"/>
    <Part Type="punktas" Nr="8" Abbr="8 p." DocPartId="3b7b998b60d14a89a7377f7cb5df4922" PartId="f7765064b44846bb8d71405891562ab4"/>
    <Part Type="punktas" Nr="9" Abbr="9 p." DocPartId="f0c1785ba89942c68ac6b5abe455da5b" PartId="750ef7a10e8c470db8efdaccb613d732"/>
    <Part Type="punktas" Nr="10" Abbr="10 p." DocPartId="4f4f5d4277f040f9b884d62272b89e8d" PartId="27534ac2b6974f229df2fd3547b8bf23"/>
    <Part Type="punktas" Nr="11" Abbr="11 p." DocPartId="aef0bbf2ee644890a3d76f183d8650f9" PartId="d13672cc69354b3e90b3558dde9fb2a2"/>
    <Part Type="punktas" Nr="12" Abbr="12 p." DocPartId="dfc8eaf38eed4a7cb8bfef403a00a289" PartId="016d9a74698e4d15b69c281711861b45"/>
    <Part Type="punktas" Nr="13" Abbr="13 p." DocPartId="c92b9d404b364886ace5bd0b3e3abb01" PartId="40d49d234d4c439383d2aad3299f4068"/>
    <Part Type="punktas" Nr="14" Abbr="14 p." DocPartId="a7b143e32dd94b3b886e88b4001b3dc6" PartId="cf97a466d89a4d7b826ea716fb7a55ca"/>
    <Part Type="punktas" Nr="1" Abbr="1 p." Notes="Numeris ne iš eilės. Trūksta dalių? [DocDalys]" DocPartId="6961dce51ea745289e98362b597c0f7b" PartId="c7a0f7c7dd1e40eebc1d6a06925217da"/>
    <Part Type="punktas" Nr="2" Abbr="2 p." DocPartId="5009eccb9dd343e8b804f255209587fe" PartId="f0a0380aec194763a70267d58e0c4da3"/>
  </Part>
</Parts>
</file>

<file path=customXml/itemProps1.xml><?xml version="1.0" encoding="utf-8"?>
<ds:datastoreItem xmlns:ds="http://schemas.openxmlformats.org/officeDocument/2006/customXml" ds:itemID="{56F72F33-34EB-4979-9F16-0AA9ED36E27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7c1ea38-b788-4873-88f4-3b1f34597b9a"/>
    <ds:schemaRef ds:uri="0379a545-9986-45d7-9e6d-3845025712a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4DEE301B-E495-4750-B0E8-CBFC8E239BAA}">
  <ds:schemaRefs>
    <ds:schemaRef ds:uri="http://schemas.microsoft.com/sharepoint/v3/contenttype/forms"/>
  </ds:schemaRefs>
</ds:datastoreItem>
</file>

<file path=customXml/itemProps3.xml><?xml version="1.0" encoding="utf-8"?>
<ds:datastoreItem xmlns:ds="http://schemas.openxmlformats.org/officeDocument/2006/customXml" ds:itemID="{2ECC1323-9F72-4681-9895-5BB6B34E3FBB}">
  <ds:schemaRefs>
    <ds:schemaRef ds:uri="http://purl.org/dc/elements/1.1/"/>
    <ds:schemaRef ds:uri="http://schemas.microsoft.com/office/infopath/2007/PartnerControls"/>
    <ds:schemaRef ds:uri="47c1ea38-b788-4873-88f4-3b1f34597b9a"/>
    <ds:schemaRef ds:uri="http://purl.org/dc/terms/"/>
    <ds:schemaRef ds:uri="http://schemas.microsoft.com/office/2006/metadata/properties"/>
    <ds:schemaRef ds:uri="http://schemas.microsoft.com/office/2006/documentManagement/types"/>
    <ds:schemaRef ds:uri="0379a545-9986-45d7-9e6d-3845025712a0"/>
    <ds:schemaRef ds:uri="http://schemas.openxmlformats.org/package/2006/metadata/core-properties"/>
    <ds:schemaRef ds:uri="http://www.w3.org/XML/1998/namespace"/>
    <ds:schemaRef ds:uri="http://purl.org/dc/dcmitype/"/>
  </ds:schemaRefs>
</ds:datastoreItem>
</file>

<file path=customXml/itemProps4.xml><?xml version="1.0" encoding="utf-8"?>
<ds:datastoreItem xmlns:ds="http://schemas.openxmlformats.org/officeDocument/2006/customXml" ds:itemID="{AB1C2E0E-CAFE-4191-9EE8-6A6778AD66D7}">
  <ds:schemaRefs>
    <ds:schemaRef ds:uri="http://schemas.openxmlformats.org/officeDocument/2006/bibliography"/>
  </ds:schemaRefs>
</ds:datastoreItem>
</file>

<file path=customXml/itemProps5.xml><?xml version="1.0" encoding="utf-8"?>
<ds:datastoreItem xmlns:ds="http://schemas.openxmlformats.org/officeDocument/2006/customXml" ds:itemID="{507B493F-7A1B-4508-9772-9B5779BF53D8}">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2325</Words>
  <Characters>17536</Characters>
  <Application>Microsoft Office Word</Application>
  <DocSecurity>4</DocSecurity>
  <Lines>381</Lines>
  <Paragraphs>225</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19636</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2024-10-24T12:56:00Z</dcterms:created>
  <dc:creator>Judita Vaišnorienė</dc:creator>
  <lastModifiedBy>adlibuser</lastModifiedBy>
  <dcterms:modified xsi:type="dcterms:W3CDTF">2024-10-24T12:56:00Z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0x01010050164633ED94994D9773E53D567FF5BF</vt:lpwstr>
  </property>
  <property fmtid="{D5CDD505-2E9C-101B-9397-08002B2CF9AE}" pid="3" name="MediaServiceImageTags">
    <vt:lpwstr/>
  </property>
</Properties>
</file>