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78ce022437445abbbae52c17edf869d"/>
        <w:lock w:val="sdtLocked"/>
        <w:richText/>
      </w:sdtPr>
      <w:sdtContent>
        <w:p w14:paraId="54F68D21" w14:textId="77777777"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szCs w:val="24"/>
              <w:lang w:val="x-none" w:eastAsia="lt-LT"/>
            </w:rPr>
          </w:pPr>
        </w:p>
        <w:p w14:paraId="1DA05753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lt-LT"/>
            </w:rPr>
          </w:pPr>
          <w:r>
            <w:rPr>
              <w:rFonts w:eastAsia="Lucida Sans Unicode"/>
              <w:b/>
              <w:bCs/>
              <w:szCs w:val="24"/>
              <w:lang w:eastAsia="lt-LT"/>
            </w:rPr>
            <w:t>ŠIAULIŲ MIESTO SAVIVALDYBĖS ADMINISTRACIJOS</w:t>
          </w:r>
        </w:p>
        <w:sdt>
          <w:sdtPr>
            <w:alias w:val="skyrius"/>
            <w:tag w:val="part_6a320aa55c6445489383f2ace643bf07"/>
            <w:lock w:val="sdtLocked"/>
            <w:richText/>
          </w:sdtPr>
          <w:sdtContent>
            <w:p w14:paraId="2B42BC88" w14:textId="77777777">
              <w:pPr>
                <w:widowControl w:val="0"/>
                <w:suppressAutoHyphens/>
                <w:jc w:val="center"/>
                <w:rPr>
                  <w:rFonts w:eastAsia="Lucida Sans Unicode"/>
                  <w:b/>
                  <w:bCs/>
                  <w:szCs w:val="24"/>
                  <w:lang w:eastAsia="lt-LT"/>
                </w:rPr>
              </w:pPr>
              <w:r>
                <w:rPr>
                  <w:rFonts w:eastAsia="Lucida Sans Unicode"/>
                  <w:b/>
                  <w:bCs/>
                  <w:caps/>
                  <w:szCs w:val="24"/>
                  <w:lang w:eastAsia="lt-LT"/>
                </w:rPr>
                <w:t>Švietimo</w:t>
              </w:r>
              <w:r>
                <w:rPr>
                  <w:rFonts w:eastAsia="Lucida Sans Unicode"/>
                  <w:b/>
                  <w:bCs/>
                  <w:szCs w:val="24"/>
                  <w:lang w:eastAsia="lt-LT"/>
                </w:rPr>
                <w:t xml:space="preserve"> SKYRIUS</w:t>
              </w:r>
            </w:p>
            <w:p w14:paraId="3A477BC8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lang w:eastAsia="lt-LT"/>
                </w:rPr>
              </w:pPr>
            </w:p>
            <w:p w14:paraId="63648158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lang w:eastAsia="lt-LT"/>
                </w:rPr>
              </w:pPr>
            </w:p>
            <w:sdt>
              <w:sdtPr>
                <w:alias w:val="Pavadinimas"/>
                <w:tag w:val="title_6a320aa55c6445489383f2ace643bf07"/>
                <w:lock w:val="sdtLocked"/>
                <w:richText/>
              </w:sdtPr>
              <w:sdtContent>
                <w:p w14:paraId="21C2F712" w14:textId="08DAD10C">
                  <w:pPr>
                    <w:widowControl w:val="0"/>
                    <w:suppressAutoHyphens/>
                    <w:jc w:val="center"/>
                    <w:rPr>
                      <w:rFonts w:eastAsia="Lucida Sans Unicode"/>
                      <w:b/>
                      <w:bCs/>
                      <w:kern w:val="2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caps/>
                      <w:szCs w:val="24"/>
                      <w:lang w:eastAsia="lt-LT"/>
                    </w:rPr>
                    <w:t>SPRENDIMO „</w:t>
                  </w:r>
                  <w:r>
                    <w:rPr>
                      <w:rFonts w:eastAsia="Lucida Sans Unicode"/>
                      <w:b/>
                      <w:bCs/>
                      <w:kern w:val="2"/>
                      <w:szCs w:val="24"/>
                      <w:lang w:eastAsia="lt-LT"/>
                    </w:rPr>
                    <w:t xml:space="preserve">DĖL ŠIAULIŲ JAUNŲJŲ GAMTININKŲ CENTRO NUOSTATŲ PATVIRTINIMO“ </w:t>
                  </w:r>
                  <w:r>
                    <w:rPr>
                      <w:rFonts w:eastAsia="Lucida Sans Unicode"/>
                      <w:b/>
                      <w:caps/>
                      <w:szCs w:val="24"/>
                      <w:lang w:eastAsia="lt-LT"/>
                    </w:rPr>
                    <w:t xml:space="preserve">PROJEKTO </w:t>
                  </w:r>
                </w:p>
                <w:p w14:paraId="4F8D28CF" w14:textId="77777777">
                  <w:pPr>
                    <w:widowControl w:val="0"/>
                    <w:tabs>
                      <w:tab w:val="left" w:pos="1296"/>
                      <w:tab w:val="center" w:pos="4819"/>
                      <w:tab w:val="right" w:pos="9638"/>
                    </w:tabs>
                    <w:suppressAutoHyphens/>
                    <w:jc w:val="center"/>
                    <w:rPr>
                      <w:rFonts w:eastAsia="Lucida Sans Unicode"/>
                      <w:b/>
                      <w:iCs/>
                      <w:caps/>
                      <w:szCs w:val="24"/>
                      <w:lang w:val="x-none" w:eastAsia="lt-LT"/>
                    </w:rPr>
                  </w:pPr>
                  <w:r>
                    <w:rPr>
                      <w:rFonts w:eastAsia="Lucida Sans Unicode"/>
                      <w:b/>
                      <w:iCs/>
                      <w:caps/>
                      <w:szCs w:val="24"/>
                      <w:lang w:val="x-none" w:eastAsia="lt-LT"/>
                    </w:rPr>
                    <w:t>AIŠKINAMASIS RAŠTAS</w:t>
                  </w:r>
                </w:p>
              </w:sdtContent>
            </w:sdt>
            <w:p w14:paraId="75635AAC" w14:textId="77777777"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</w:p>
            <w:p w14:paraId="7F9A71A4" w14:textId="77777777"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</w:p>
            <w:p w14:paraId="630695D7" w14:textId="1EC7968E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lang w:eastAsia="lt-LT"/>
                </w:rPr>
              </w:pPr>
              <w:r>
                <w:rPr>
                  <w:rFonts w:eastAsia="Lucida Sans Unicode"/>
                  <w:szCs w:val="24"/>
                  <w:lang w:eastAsia="lt-LT"/>
                </w:rPr>
                <w:t>2025-09-03</w:t>
              </w:r>
            </w:p>
            <w:p w14:paraId="0EAF3D4A" w14:textId="77777777"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  <w:r>
                <w:rPr>
                  <w:rFonts w:eastAsia="Lucida Sans Unicode"/>
                  <w:iCs/>
                  <w:szCs w:val="24"/>
                  <w:lang w:eastAsia="lt-LT"/>
                </w:rPr>
                <w:t>Šiauliai</w:t>
              </w:r>
            </w:p>
            <w:p w14:paraId="73CEEDBC" w14:textId="77777777">
              <w:pPr>
                <w:widowControl w:val="0"/>
                <w:jc w:val="center"/>
                <w:rPr>
                  <w:rFonts w:eastAsia="Lucida Sans Unicode"/>
                  <w:iCs/>
                  <w:szCs w:val="24"/>
                  <w:lang w:eastAsia="lt-LT"/>
                </w:rPr>
              </w:pPr>
            </w:p>
            <w:sdt>
              <w:sdtPr>
                <w:alias w:val="poskyris"/>
                <w:tag w:val="part_5c47d099259b4e4cb458573a2bf4aef1"/>
                <w:lock w:val="sdtLocked"/>
                <w:richText/>
              </w:sdtPr>
              <w:sdtContent>
                <w:p w14:paraId="01604C0A" w14:textId="77777777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5c47d099259b4e4cb458573a2bf4aef1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 xml:space="preserve">Parengto sprendimo projekto tikslai ir uždaviniai. </w:t>
                      </w:r>
                    </w:sdtContent>
                  </w:sdt>
                </w:p>
                <w:p w14:paraId="1BFF8663" w14:textId="56A1D1AE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Parengto sprendimo projekto tikslas – patvirtinti naujus Šiaulių jaunųjų gamtininkų centro nuostatus (toliau – Nuostatai) įteisinant juose pasikeitusių teisės aktų nuostatas. </w:t>
                  </w:r>
                </w:p>
              </w:sdtContent>
            </w:sdt>
            <w:sdt>
              <w:sdtPr>
                <w:alias w:val="poskyris"/>
                <w:tag w:val="part_bf0993bc96c84bc9a5b223f780d2a7de"/>
                <w:lock w:val="sdtLocked"/>
                <w:richText/>
              </w:sdtPr>
              <w:sdtContent>
                <w:p w14:paraId="04E7A921" w14:textId="77777777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bf0993bc96c84bc9a5b223f780d2a7de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Dabartinis sprendimo projekte aptariamų klausimų reguliavimas.</w:t>
                      </w:r>
                    </w:sdtContent>
                  </w:sdt>
                </w:p>
                <w:p w14:paraId="26DA5206" w14:textId="51936240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Šiaulių jaunųjų gamtininkų centro (toliau – centras) Nuostatai 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 xml:space="preserve">patvirtinti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Šiaulių miesto savivaldybės tarybos 2024 m. birželio 6 d. sprendimu Nr. T-225 </w:t>
                  </w:r>
                  <w:r>
                    <w:rPr>
                      <w:rFonts w:eastAsia="Lucida Sans Unicode"/>
                      <w:bCs/>
                      <w:szCs w:val="24"/>
                      <w:lang w:eastAsia="lt-LT"/>
                    </w:rPr>
                    <w:t>„Dėl Šiaulių neformaliojo vaikų švietimo mokyklų nuostatų patvirtinimo“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>.</w:t>
                  </w:r>
                </w:p>
              </w:sdtContent>
            </w:sdt>
            <w:sdt>
              <w:sdtPr>
                <w:alias w:val="poskyris"/>
                <w:tag w:val="part_f5a30569edc14d19b78dafd068d67c81"/>
                <w:lock w:val="sdtLocked"/>
                <w:richText/>
              </w:sdtPr>
              <w:sdtContent>
                <w:p w14:paraId="4A5B4135" w14:textId="77777777">
                  <w:pPr>
                    <w:widowControl w:val="0"/>
                    <w:suppressAutoHyphens/>
                    <w:ind w:left="709" w:firstLine="142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f5a30569edc14d19b78dafd068d67c81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shd w:val="clear" w:color="auto" w:fill="FFFFFF"/>
                          <w:lang w:eastAsia="lt-LT"/>
                        </w:rPr>
                        <w:t>Sprendimo projekte numatytos naujos teisinio reglamentavimo nuostatos</w:t>
                      </w:r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.</w:t>
                      </w:r>
                    </w:sdtContent>
                  </w:sdt>
                </w:p>
                <w:p w14:paraId="5A488DF0" w14:textId="6AC6A08F">
                  <w:pPr>
                    <w:widowControl w:val="0"/>
                    <w:suppressAutoHyphens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Sprendimo projektas parengtas ir teikiamas vadovaujantis </w:t>
                  </w:r>
                  <w:r>
                    <w:rPr>
                      <w:szCs w:val="24"/>
                    </w:rPr>
                    <w:t>Švietimo įstatymo 2 straipsnio 16</w:t>
                  </w:r>
                  <w:r>
                    <w:rPr>
                      <w:szCs w:val="24"/>
                      <w:vertAlign w:val="superscript"/>
                    </w:rPr>
                    <w:t>2</w:t>
                  </w:r>
                  <w:r>
                    <w:rPr>
                      <w:szCs w:val="24"/>
                    </w:rPr>
                    <w:t>, 18</w:t>
                  </w:r>
                  <w:r>
                    <w:rPr>
                      <w:szCs w:val="24"/>
                      <w:vertAlign w:val="superscript"/>
                    </w:rPr>
                    <w:t>1</w:t>
                  </w:r>
                  <w:r>
                    <w:rPr>
                      <w:szCs w:val="24"/>
                    </w:rPr>
                    <w:t>, 34</w:t>
                  </w:r>
                  <w:r>
                    <w:rPr>
                      <w:szCs w:val="24"/>
                      <w:vertAlign w:val="superscript"/>
                    </w:rPr>
                    <w:t>1</w:t>
                  </w:r>
                  <w:r>
                    <w:rPr>
                      <w:szCs w:val="24"/>
                    </w:rPr>
                    <w:t xml:space="preserve"> dalyse ir 60 straipsnių nuostatomis, jog atstovai į mokyklos savivaldą yra renkami. </w:t>
                  </w:r>
                  <w:r>
                    <w:rPr>
                      <w:szCs w:val="24"/>
                      <w:shd w:val="clear" w:color="auto" w:fill="FFFFFF"/>
                    </w:rPr>
                    <w:t>P</w:t>
                  </w:r>
                  <w:r>
                    <w:rPr>
                      <w:color w:val="000000"/>
                      <w:szCs w:val="24"/>
                    </w:rPr>
                    <w:t>eržiūrėti ir pakeisti mokyklos Nuostatai – nustatyta mokyklos savivaldos institucijos narių skaičius ir rinkimo tvarka, veiklos kadencijos trukmė, kompetencija.</w:t>
                  </w:r>
                </w:p>
                <w:p w14:paraId="77636BC8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color w:val="000000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color w:val="000000"/>
                      <w:szCs w:val="24"/>
                      <w:shd w:val="clear" w:color="auto" w:fill="FFFFFF"/>
                      <w:lang w:eastAsia="lt-LT"/>
                    </w:rPr>
                    <w:t xml:space="preserve">Nuo 2025 m. sausio 1 d. pakeistas Ekonominės veiklos rūšių klasifikatorius (EVRK 2.1 RED). </w:t>
                  </w:r>
                </w:p>
                <w:p w14:paraId="12A49B84" w14:textId="65E8C12A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color w:val="000000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>Centro tarybos 2025 m. rugsėjo 2 d. posėdyje Nr. D-3 svarstytas centro nuostatų projektas ir jam pritarta.</w:t>
                  </w:r>
                </w:p>
              </w:sdtContent>
            </w:sdt>
            <w:sdt>
              <w:sdtPr>
                <w:alias w:val="poskyris"/>
                <w:tag w:val="part_8c0e7238d81d423187db6de75a6361e5"/>
                <w:lock w:val="sdtLocked"/>
                <w:richText/>
              </w:sdtPr>
              <w:sdtContent>
                <w:p w14:paraId="5C9CCBFA" w14:textId="77777777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8c0e7238d81d423187db6de75a6361e5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Priėmus sprendimą, galimos pasekmės.</w:t>
                      </w:r>
                    </w:sdtContent>
                  </w:sdt>
                </w:p>
                <w:p w14:paraId="64719716" w14:textId="48A09C0F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r>
                    <w:rPr>
                      <w:szCs w:val="24"/>
                    </w:rPr>
                    <w:t xml:space="preserve">Pasekmės teigiamos. Priėmus sprendimą, bus patvirtinti </w:t>
                  </w:r>
                  <w:r>
                    <w:rPr>
                      <w:szCs w:val="24"/>
                      <w:lang w:eastAsia="ar-SA"/>
                    </w:rPr>
                    <w:t xml:space="preserve">Šiaulių jaunųjų gamtininkų centro nuostatai, kurie atitiks galiojančius teisės aktus. </w:t>
                  </w:r>
                </w:p>
              </w:sdtContent>
            </w:sdt>
            <w:sdt>
              <w:sdtPr>
                <w:alias w:val="poskyris"/>
                <w:tag w:val="part_46652ef07244481bb65822a7103285df"/>
                <w:lock w:val="sdtLocked"/>
                <w:richText/>
              </w:sdtPr>
              <w:sdtContent>
                <w:p w14:paraId="742DFEAD" w14:textId="77777777">
                  <w:pPr>
                    <w:widowControl w:val="0"/>
                    <w:suppressAutoHyphens/>
                    <w:ind w:firstLine="822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46652ef07244481bb65822a7103285df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shd w:val="clear" w:color="auto" w:fill="FFFFFF"/>
                          <w:lang w:eastAsia="lt-LT"/>
                        </w:rPr>
                        <w:t>Priėmus sprendimą, keičiami ar pripažįstami negaliojančiais teisės aktai</w:t>
                      </w:r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.</w:t>
                      </w:r>
                    </w:sdtContent>
                  </w:sdt>
                </w:p>
                <w:p w14:paraId="3CF58638" w14:textId="53DDC5A0">
                  <w:pPr>
                    <w:widowControl w:val="0"/>
                    <w:spacing w:line="100" w:lineRule="atLeast"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Priėmus sprendimą bus pripažintas netekusiu galios </w:t>
                  </w:r>
                  <w:r>
                    <w:rPr>
                      <w:rFonts w:eastAsia="HG Mincho Light J"/>
                      <w:color w:val="000000"/>
                      <w:szCs w:val="24"/>
                      <w:shd w:val="clear" w:color="auto" w:fill="FFFFFF"/>
                      <w:lang w:eastAsia="lt-LT"/>
                    </w:rPr>
                    <w:t xml:space="preserve">Šiaulių miesto savivaldybės tarybos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2024 m. birželio 6 d. sprendimo Nr. T-225 </w:t>
                  </w:r>
                  <w:r>
                    <w:rPr>
                      <w:rFonts w:eastAsia="Lucida Sans Unicode"/>
                      <w:bCs/>
                      <w:szCs w:val="24"/>
                      <w:lang w:eastAsia="lt-LT"/>
                    </w:rPr>
                    <w:t>„Dėl Šiaulių neformaliojo vaikų švietimo mokyklų nuostatų patvirtinimo“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 1.4 papunktis.</w:t>
                  </w:r>
                </w:p>
              </w:sdtContent>
            </w:sdt>
            <w:sdt>
              <w:sdtPr>
                <w:alias w:val="poskyris"/>
                <w:tag w:val="part_d2e11556d31f48de90afa0ab5fba1f72"/>
                <w:lock w:val="sdtLocked"/>
                <w:richText/>
              </w:sdtPr>
              <w:sdtContent>
                <w:p w14:paraId="322AD6E8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d2e11556d31f48de90afa0ab5fba1f72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szCs w:val="24"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30833D7A" w14:textId="77777777">
                  <w:pPr>
                    <w:widowControl w:val="0"/>
                    <w:suppressAutoHyphens/>
                    <w:ind w:left="709" w:firstLine="142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Sprendimui įgyvendinti nereikės priimti papildomų teisės aktų.  </w:t>
                  </w:r>
                </w:p>
                <w:p w14:paraId="35DA37D4" w14:textId="77777777">
                  <w:pPr>
                    <w:widowControl w:val="0"/>
                    <w:suppressAutoHyphens/>
                    <w:spacing w:line="100" w:lineRule="atLeast"/>
                    <w:ind w:firstLine="851"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szCs w:val="24"/>
                      <w:lang w:eastAsia="lt-LT"/>
                    </w:rPr>
                    <w:t>Sprendimui įgyvendinti reikalingos lėšos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>.</w:t>
                  </w:r>
                </w:p>
                <w:p w14:paraId="0F9C96F0" w14:textId="77777777">
                  <w:pPr>
                    <w:widowControl w:val="0"/>
                    <w:suppressLineNumbers/>
                    <w:spacing w:line="100" w:lineRule="atLeast"/>
                    <w:ind w:firstLine="851"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Sprendimui įgyvendinti nebus reikalingos papildomos biudžeto lėšos.</w:t>
                  </w:r>
                </w:p>
                <w:p w14:paraId="49B8F844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szCs w:val="24"/>
                      <w:shd w:val="clear" w:color="auto" w:fill="FFFFFF"/>
                      <w:lang w:eastAsia="lt-LT"/>
                    </w:rPr>
                    <w:t>Sprendimo projekto antikorupcinis vertinimas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>.</w:t>
                  </w:r>
                </w:p>
                <w:p w14:paraId="38325ECE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szCs w:val="24"/>
                      <w:lang w:eastAsia="lt-LT"/>
                    </w:rPr>
                    <w:t>Sprendimo projekto antikorupcinis vertinimas nebuvo atliekamas, nes šis projektas nėra susijęs nė su vienu atveju, išvardintu Lietuvos Respublikos korupcijos prevencijos įstatymo 8 straipsnio 1 dalyje.</w:t>
                  </w:r>
                </w:p>
                <w:p w14:paraId="0F501CF9" w14:textId="56B6A705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szCs w:val="24"/>
                      <w:shd w:val="clear" w:color="auto" w:fill="FFFFFF"/>
                      <w:lang w:eastAsia="lt-LT"/>
                    </w:rPr>
                    <w:t>Sprendimo projektą parengė</w:t>
                  </w:r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lt-LT"/>
                    </w:rPr>
                    <w:t xml:space="preserve"> Šiaulių miesto savivaldybės administracijos Švietimo skyrius. Tiesioginis rengėjas – Švietimo skyriaus vyriausioji specialistė Danguolė Teišerskienė, tel. (+370 41) 38 64 74. Projekto iniciatorius </w:t>
                  </w:r>
                  <w:r>
                    <w:rPr>
                      <w:rFonts w:eastAsia="Lucida Sans Unicode"/>
                      <w:szCs w:val="24"/>
                      <w:lang w:eastAsia="lt-LT"/>
                    </w:rPr>
                    <w:t xml:space="preserve">– Švietimo skyrius. </w:t>
                  </w:r>
                </w:p>
                <w:p w14:paraId="0F74382E" w14:textId="77777777">
                  <w:pPr>
                    <w:widowControl w:val="0"/>
                    <w:suppressAutoHyphens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</w:p>
                <w:p w14:paraId="789BE744" w14:textId="77777777">
                  <w:pPr>
                    <w:widowControl w:val="0"/>
                    <w:suppressAutoHyphens/>
                    <w:jc w:val="both"/>
                    <w:rPr>
                      <w:rFonts w:eastAsia="Lucida Sans Unicode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0f978e91c756426ca3addca679afd453"/>
            <w:lock w:val="sdtLocked"/>
            <w:richText/>
          </w:sdtPr>
          <w:sdtContent>
            <w:p w14:paraId="10042281" w14:textId="2AC4D6E1">
              <w:pPr>
                <w:widowControl w:val="0"/>
                <w:suppressAutoHyphens/>
                <w:rPr>
                  <w:rFonts w:eastAsia="Lucida Sans Unicode"/>
                  <w:szCs w:val="24"/>
                  <w:lang w:eastAsia="lt-LT"/>
                </w:rPr>
              </w:pPr>
              <w:r>
                <w:rPr>
                  <w:rFonts w:eastAsia="Lucida Sans Unicode"/>
                  <w:szCs w:val="24"/>
                  <w:lang w:eastAsia="lt-LT"/>
                </w:rPr>
                <w:t>Skyriaus vedėja</w:t>
                <w:tab/>
                <w:tab/>
                <w:tab/>
                <w:tab/>
                <w:tab/>
                <w:tab/>
                <w:tab/>
                <w:tab/>
                <w:t>Edita Minkuvienė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134" w:right="567" w:bottom="1134" w:left="1701" w:header="567" w:footer="0" w:gutter="0"/>
      <w:cols w:space="1296"/>
      <w:formProt w:val="0"/>
      <w:titlePg/>
      <w:docGrid w:linePitch="10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335768D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separator/>
      </w:r>
    </w:p>
  </w:endnote>
  <w:endnote w:type="continuationSeparator" w:id="0">
    <w:p w14:paraId="146B7E68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A0A6C8" w14:textId="77777777">
    <w:pPr>
      <w:widowControl w:val="0"/>
      <w:tabs>
        <w:tab w:val="center" w:pos="4986"/>
        <w:tab w:val="right" w:pos="9972"/>
      </w:tabs>
      <w:suppressAutoHyphens/>
      <w:rPr>
        <w:rFonts w:eastAsia="Lucida Sans Unicode"/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599C02" w14:textId="77777777">
    <w:pPr>
      <w:widowControl w:val="0"/>
      <w:tabs>
        <w:tab w:val="center" w:pos="4986"/>
        <w:tab w:val="right" w:pos="9972"/>
      </w:tabs>
      <w:suppressAutoHyphens/>
      <w:rPr>
        <w:rFonts w:eastAsia="Lucida Sans Unicode"/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ADDD2B" w14:textId="77777777">
    <w:pPr>
      <w:widowControl w:val="0"/>
      <w:tabs>
        <w:tab w:val="center" w:pos="4986"/>
        <w:tab w:val="right" w:pos="9972"/>
      </w:tabs>
      <w:suppressAutoHyphens/>
      <w:rPr>
        <w:rFonts w:eastAsia="Lucida Sans Unicode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5CCD5A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separator/>
      </w:r>
    </w:p>
  </w:footnote>
  <w:footnote w:type="continuationSeparator" w:id="0">
    <w:p w14:paraId="0EF74915" w14:textId="77777777"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AAFA7D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val="x-none" w:eastAsia="lt-LT"/>
      </w:rPr>
    </w:pPr>
    <w:r>
      <w:rPr>
        <w:rFonts w:eastAsia="Lucida Sans Unicode"/>
        <w:szCs w:val="24"/>
        <w:lang w:val="en-US"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5D0B3B6B" wp14:editId="12F34E57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14605" cy="14605"/>
              <wp:effectExtent l="0" t="0" r="0" b="0"/>
              <wp:wrapSquare wrapText="bothSides"/>
              <wp:docPr id="1" name="Frame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605" cy="1460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 w14:paraId="195BEB08" w14:textId="77777777">
                          <w:pPr>
                            <w:widowControl w:val="0"/>
                            <w:tabs>
                              <w:tab w:val="center" w:pos="4819"/>
                              <w:tab w:val="right" w:pos="9638"/>
                            </w:tabs>
                            <w:suppressAutoHyphens/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</w:pP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begin"/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instrText xml:space="preserve"> PAGE </w:instrText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separate"/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t>0</w:t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D0B3B6B" id="_x0000_t202" coordsize="21600,21600" o:spt="202" path="m,l,21600r21600,l21600,xe">
              <v:stroke joinstyle="miter"/>
              <v:path gradientshapeok="t" o:connecttype="rect"/>
            </v:shapetype>
            <v:shape id="Frame1" o:spid="_x0000_s1026" type="#_x0000_t202" style="position:absolute;margin-left:0;margin-top:.05pt;width:1.15pt;height:1.15pt;z-index:251658240;visibility:visible;mso-wrap-style:square;mso-wrap-distance-left:0;mso-wrap-distance-top:0;mso-wrap-distance-right:0;mso-wrap-distance-bottom:0;mso-position-horizontal:center;mso-position-horizontal-relative:margin;mso-position-vertical:absolute;mso-position-vertical-relative:text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C7hueLrwEAAGMDAAAOAAAAZHJzL2Uyb0RvYy54bWysU81u2zAMvg/YOwi6L3aKrRiMOMXawsOA YRvQ7QFkWY4FSKJAqrHz9qPkJC222zAfJP7pIz+S3t0t3omjQbIQWrnd1FKYoGGw4dDKXz+7dx+l oKTCoBwE08qTIXm3f/tmN8fG3MAEbjAoGCRQM8dWTinFpqpIT8Yr2kA0gZ0joFeJVTxUA6qZ0b2r bur6tpoBh4igDRFbH1en3Bf8cTQ6fR9HMkm4VnJtqZxYzj6f1X6nmgOqOFl9LkP9QxVe2cBJr1CP KinxjPYvKG81AsGYNhp8BeNotSkcmM22/oPN06SiKVy4ORSvbaL/B6u/HX+gsAPPToqgPI+oQ762 uTNzpIYDniKHpOUelhx1thMbM+FlRJ9vpiLYzz0+XftqliR0fvT+tv4ghWbPKjJG9fI0IqXPBrzI QiuRh1Z6qY5fKa2hl5CcicDZobPOFQUP/YNDcVQ84K5861sXJ7Vay5A5Ha2hJfUrjCqzXNlkKS39 cqbYw3Bi5u5L4Ibn5bkIeBH6i6CCnoDXai2c4qfnBJ0txWfQFYkzZ4UnWWo4b11eldd6iXr5N/a/ AQAA//8DAFBLAwQUAAYACAAAACEA73KSitgAAAABAQAADwAAAGRycy9kb3ducmV2LnhtbEyPQUsD MRCF70L/QxjBm81aReq62VIKCxZFbdV7moy7S5PJkqTt+u+dnvQ0vHnDe99Ui9E7ccSY+kAKbqYF CCQTbE+tgs+P5noOImVNVrtAqOAHEyzqyUWlSxtOtMHjNreCQyiVWkGX81BKmUyHXqdpGJDY+w7R 68wyttJGfeJw7+SsKO6l1z1xQ6cHXHVo9tuDV5CafXp7Xcan968HR41Zv6zDs1Hq6nJcPoLIOOa/ YzjjMzrUzLQLB7JJOAX8SD5vBXuzWxA7Hncg60r+J69/AQAA//8DAFBLAQItABQABgAIAAAAIQC2 gziS/gAAAOEBAAATAAAAAAAAAAAAAAAAAAAAAABbQ29udGVudF9UeXBlc10ueG1sUEsBAi0AFAAG AAgAAAAhADj9If/WAAAAlAEAAAsAAAAAAAAAAAAAAAAALwEAAF9yZWxzLy5yZWxzUEsBAi0AFAAG AAgAAAAhALuG54uvAQAAYwMAAA4AAAAAAAAAAAAAAAAALgIAAGRycy9lMm9Eb2MueG1sUEsBAi0A FAAGAAgAAAAhAO9ykorYAAAAAQEAAA8AAAAAAAAAAAAAAAAACQQAAGRycy9kb3ducmV2LnhtbFBL BQYAAAAABAAEAPMAAAAOBQAAAAA= " stroked="f">
              <v:fill opacity="0"/>
              <v:textbox style="mso-fit-shape-to-text:t" inset="0,0,0,0">
                <w:txbxContent>
                  <w:p w14:paraId="195BEB08" w14:textId="77777777">
                    <w:pPr>
                      <w:widowControl w:val="0"/>
                      <w:tabs>
                        <w:tab w:val="center" w:leader="none" w:pos="4819"/>
                        <w:tab w:val="right" w:leader="none" w:pos="9638"/>
                      </w:tabs>
                      <w:suppressAutoHyphens w:val="1"/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</w:pP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begin"/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instrText xml:space="preserve"> PAGE </w:instrText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separate"/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t>0</w:t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B73CD4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val="x-none" w:eastAsia="lt-LT"/>
      </w:rPr>
    </w:pPr>
    <w:r>
      <w:rPr>
        <w:rFonts w:eastAsia="Lucida Sans Unicode"/>
        <w:szCs w:val="24"/>
        <w:lang w:val="en-US"/>
      </w:rPr>
      <mc:AlternateContent>
        <mc:Choice Requires="wps">
          <w:drawing>
            <wp:anchor distT="0" distB="0" distL="0" distR="0" simplePos="0" relativeHeight="2" behindDoc="0" locked="0" layoutInCell="0" allowOverlap="1" wp14:anchorId="1B112A9C" wp14:editId="7C9C75B0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76835" cy="175260"/>
              <wp:effectExtent l="0" t="0" r="0" b="0"/>
              <wp:wrapSquare wrapText="bothSides"/>
              <wp:docPr id="2" name="Frame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6835" cy="17526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 w14:paraId="1E5D5F94" w14:textId="77777777">
                          <w:pPr>
                            <w:widowControl w:val="0"/>
                            <w:tabs>
                              <w:tab w:val="center" w:pos="4819"/>
                              <w:tab w:val="right" w:pos="9638"/>
                            </w:tabs>
                            <w:suppressAutoHyphens/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</w:pP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begin"/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instrText xml:space="preserve"> PAGE </w:instrText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separate"/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t>2</w:t>
                          </w:r>
                          <w:r>
                            <w:rPr>
                              <w:rFonts w:eastAsia="Lucida Sans Unicode"/>
                              <w:szCs w:val="24"/>
                              <w:lang w:val="x-none" w:eastAsia="lt-LT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B112A9C" id="_x0000_t202" coordsize="21600,21600" o:spt="202" path="m,l,21600r21600,l21600,xe">
              <v:stroke joinstyle="miter"/>
              <v:path gradientshapeok="t" o:connecttype="rect"/>
            </v:shapetype>
            <v:shape id="Frame2" o:spid="_x0000_s1027" type="#_x0000_t202" style="position:absolute;margin-left:0;margin-top:.05pt;width:6.05pt;height:13.8pt;z-index:2;visibility:visible;mso-wrap-style:square;mso-wrap-distance-left:0;mso-wrap-distance-top:0;mso-wrap-distance-right:0;mso-wrap-distance-bottom:0;mso-position-horizontal:center;mso-position-horizontal-relative:margin;mso-position-vertical:absolute;mso-position-vertical-relative:text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9ipPrtgEAAGsDAAAOAAAAZHJzL2Uyb0RvYy54bWysU8Fu2zAMvQ/YPwi6L0o8NC2MOMW2wsOA YRvQ7QNkWY4FSKIgqrHz96PkOi222zAfJJKinvge6cP97Cw764gGfMN3my1n2ivojT81/NfP9t0d Z5ik76UFrxt+0cjvj2/fHKZQ6wpGsL2OjEA81lNo+JhSqIVANWoncQNBezocIDqZyI0n0Uc5Ebqz otpu92KC2IcISiNS9GE55MeCPwxape/DgDox23CqLZU1lrXLqzgeZH2KMoxGPZch/6EKJ42nR69Q DzJJ9hTNX1DOqAgIQ9oocAKGwShdOBCb3fYPNo+jDLpwIXEwXGXC/wervp1/RGb6hleceemoRW2k rcrKTAFrSngMlJLmjzBTh9c4UjATnofo8k5UGJ2TxperrnpOTFHwdn/3/oYzRSe725tqX2QXL3dD xPRZg2PZaHikrhUx5fkrJqqDUteU/BSCNX1rrC1OPHWfbGRnSR1uy7fctWGUS3R9DpfUgvcKQ2Sa C51spbmbiyBXqh30F1LAfvEkfB6i1Yir0a2G9GoEGq+lfgwfnhK0pnDI2AsSFZAd6mgp5Xn68si8 9kvWyz9y/A0AAP//AwBQSwMEFAAGAAgAAAAhACttIDLZAAAAAwEAAA8AAABkcnMvZG93bnJldi54 bWxMj81OwzAQhO9IvIO1SNyoQw4UQpyqQopEBeKnwN21lySqvY68bhveHucEp9XsrGa+rVeTd+KI kYdACq4XBQgkE+xAnYLPj/bqFgQnTVa7QKjgBxlWzflZrSsbTvSOx23qRA4hrrSCPqWxkpJNj17z IoxI2fsO0euUZeykjfqUw72TZVHcSK8Hyg29HvGhR7PfHrwCbvf8+rKOj29fd45as3nehCej1OXF tL4HkXBKf8cw42d0aDLTLhzIsnAK8iNp3orZK/PcKSiXS5BNLf+zN78AAAD//wMAUEsBAi0AFAAG AAgAAAAhALaDOJL+AAAA4QEAABMAAAAAAAAAAAAAAAAAAAAAAFtDb250ZW50X1R5cGVzXS54bWxQ SwECLQAUAAYACAAAACEAOP0h/9YAAACUAQAACwAAAAAAAAAAAAAAAAAvAQAAX3JlbHMvLnJlbHNQ SwECLQAUAAYACAAAACEA/YqT67YBAABrAwAADgAAAAAAAAAAAAAAAAAuAgAAZHJzL2Uyb0RvYy54 bWxQSwECLQAUAAYACAAAACEAK20gMtkAAAADAQAADwAAAAAAAAAAAAAAAAAQBAAAZHJzL2Rvd25y ZXYueG1sUEsFBgAAAAAEAAQA8wAAABYFAAAAAA== " o:allowincell="f" stroked="f">
              <v:fill opacity="0"/>
              <v:textbox style="mso-fit-shape-to-text:t" inset="0,0,0,0">
                <w:txbxContent>
                  <w:p w14:paraId="1E5D5F94" w14:textId="77777777">
                    <w:pPr>
                      <w:widowControl w:val="0"/>
                      <w:tabs>
                        <w:tab w:val="center" w:leader="none" w:pos="4819"/>
                        <w:tab w:val="right" w:leader="none" w:pos="9638"/>
                      </w:tabs>
                      <w:suppressAutoHyphens w:val="1"/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</w:pP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begin"/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instrText xml:space="preserve"> PAGE </w:instrText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separate"/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t>2</w:t>
                    </w:r>
                    <w:r>
                      <w:rPr>
                        <w:rFonts w:ascii="Times New Roman" w:hAnsi="Times New Roman" w:eastAsia="Lucida Sans Unicode" w:cs="Times New Roman"/>
                        <w:szCs w:val="24"/>
                        <w:lang w:val="x-none" w:eastAsia="lt-LT"/>
                      </w:rP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03C2A2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val="x-none"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09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36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24FC34"/>
  <w15:docId w15:val="{49AAC02A-3AE3-4FA9-BC72-0A09366BFC2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c008bd64be045b48e101f649a6a3e8d" PartId="e78ce022437445abbbae52c17edf869d">
    <Part Type="skyrius" Nr="999" Title="SPRENDIMO „DĖL ŠIAULIŲ JAUNŲJŲ GAMTININKŲ CENTRO NUOSTATŲ PATVIRTINIMO“ PROJEKTO AIŠKINAMASIS RAŠTAS" DocPartId="3a5b4129588b4e67a3cbf8024a1ba850" PartId="6a320aa55c6445489383f2ace643bf07">
      <Part Type="poskyris" Title="Parengto sprendimo projekto tikslai ir uždaviniai." DocPartId="66b05de2ba3a43818b9d268e99a127a0" PartId="5c47d099259b4e4cb458573a2bf4aef1"/>
      <Part Type="poskyris" Title="Dabartinis sprendimo projekte aptariamų klausimų reguliavimas." DocPartId="33ba24a9e6494cd8a46b31c3fbbdb80f" PartId="bf0993bc96c84bc9a5b223f780d2a7de"/>
      <Part Type="poskyris" Title="Sprendimo projekte numatytos naujos teisinio reglamentavimo nuostatos." DocPartId="befb705badcc4367b3ac07f255ed4e92" PartId="f5a30569edc14d19b78dafd068d67c81"/>
      <Part Type="poskyris" Title="Priėmus sprendimą, galimos pasekmės." DocPartId="3e8341656b844ff39664e91550632668" PartId="8c0e7238d81d423187db6de75a6361e5"/>
      <Part Type="poskyris" Title="Priėmus sprendimą, keičiami ar pripažįstami negaliojančiais teisės aktai." DocPartId="6013b81dc0364c81ad4321194f4058b5" PartId="46652ef07244481bb65822a7103285df"/>
      <Part Type="poskyris" Title="Sprendimui įgyvendinti reikalingi priimti papildomi teisės aktai." DocPartId="25b0ad285e9844ca8d1978d142bec7b4" PartId="d2e11556d31f48de90afa0ab5fba1f72"/>
    </Part>
    <Part Type="signatura" DocPartId="e0c4f6aca9e44411822b18762285958c" PartId="0f978e91c756426ca3addca679afd453"/>
  </Part>
</Parts>
</file>

<file path=customXml/itemProps1.xml><?xml version="1.0" encoding="utf-8"?>
<ds:datastoreItem xmlns:ds="http://schemas.openxmlformats.org/officeDocument/2006/customXml" ds:itemID="{06B17AC4-20B3-474A-BACC-14952480226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303</Words>
  <Characters>2266</Characters>
  <Application>Microsoft Office Word</Application>
  <DocSecurity>4</DocSecurity>
  <Lines>50</Lines>
  <Paragraphs>29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ŠIAULIŲ MIESTO SAVIVALDYBĖS ADMINISTRACIJOS</vt:lpstr>
    </vt:vector>
  </TitlesOfParts>
  <Company/>
  <LinksUpToDate>false</LinksUpToDate>
  <CharactersWithSpaces>2540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2025-09-04T13:37:00Z</dcterms:created>
  <dc:creator>Edita Čičelienė</dc:creator>
  <dc:language>en-US</dc:language>
  <lastModifiedBy>adlibuser</lastModifiedBy>
  <lastPrinted>2015-02-03T06:57:00Z</lastPrinted>
  <dcterms:modified xsi:type="dcterms:W3CDTF">2025-09-04T13:37:00Z</dcterms:modified>
  <revision>2</revision>
  <dc:title>ŠIAULIŲ MIESTO SAVIVALDYBĖS ADMINISTRACIJOS</dc:title>
</coreProperties>
</file>