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ceb236e2b694cdfb69f1117f4b14565"/>
        <w:lock w:val="sdtLocked"/>
        <w:richText/>
      </w:sdtPr>
      <w:sdtContent>
        <w:p w14:paraId="5A34BA9A" w14:textId="23A4E438">
          <w:pPr>
            <w:jc w:val="center"/>
            <w:rPr>
              <w:b/>
              <w:szCs w:val="24"/>
            </w:rPr>
          </w:pPr>
          <w:r>
            <w:rPr>
              <w:b/>
              <w:szCs w:val="24"/>
            </w:rPr>
            <w:t xml:space="preserve">DIREKTYVOS (ES) 2019/1152 IR  </w:t>
          </w:r>
          <w:r>
            <w:rPr>
              <w:b/>
              <w:bCs/>
              <w:caps/>
              <w:szCs w:val="24"/>
            </w:rPr>
            <w:t xml:space="preserve">NACIONALINIŲ TEISĖS AKTŲ </w:t>
          </w:r>
          <w:r>
            <w:rPr>
              <w:b/>
              <w:szCs w:val="24"/>
            </w:rPr>
            <w:t>ATITIKTIES LENTELĖ</w:t>
          </w:r>
        </w:p>
        <w:p w14:paraId="5F6AABE6" w14:textId="77777777">
          <w:pPr>
            <w:jc w:val="both"/>
            <w:rPr>
              <w:color w:val="000000"/>
              <w:sz w:val="20"/>
            </w:rPr>
          </w:pPr>
        </w:p>
        <w:tbl>
          <w:tblPr>
            <w:tblW w:w="1590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44"/>
            <w:gridCol w:w="6949"/>
            <w:gridCol w:w="1312"/>
          </w:tblGrid>
          <w:tr w14:paraId="5F6AABEB" w14:textId="77777777">
            <w:tc>
              <w:tcPr>
                <w:tcW w:w="7644" w:type="dxa"/>
              </w:tcPr>
              <w:p w14:paraId="1580D1F8" w14:textId="3750C7D6">
                <w:pPr>
                  <w:jc w:val="both"/>
                  <w:rPr>
                    <w:b/>
                    <w:color w:val="000000"/>
                    <w:szCs w:val="24"/>
                  </w:rPr>
                </w:pPr>
                <w:r>
                  <w:rPr>
                    <w:b/>
                    <w:color w:val="000000"/>
                    <w:szCs w:val="24"/>
                  </w:rPr>
                  <w:t xml:space="preserve">2019 m. birželio 20 d. Europos Parlamento ir Tarybos direktyva  </w:t>
                </w:r>
                <w:fldSimple w:instr="HYPERLINK http://eur-lex.europa.eu/legal-content/LIT/TXT/?uri=CELEX:32019L1152&amp;locale=lt \t _blank">
                  <w:r>
                    <w:rPr>
                      <w:b/>
                      <w:color w:val="0000FF" w:themeColor="hyperlink"/>
                      <w:szCs w:val="24"/>
                      <w:u w:val="single"/>
                    </w:rPr>
                    <w:t>(ES) 2019/1152</w:t>
                  </w:r>
                </w:fldSimple>
                <w:r>
                  <w:rPr>
                    <w:b/>
                    <w:color w:val="000000"/>
                    <w:szCs w:val="24"/>
                  </w:rPr>
                  <w:t xml:space="preserve"> dėl skaidrių ir nuspėjamų darbo sąlygų Europos Sąjungoje</w:t>
                </w:r>
              </w:p>
              <w:p w14:paraId="0A03DE6E" w14:textId="77777777">
                <w:pPr>
                  <w:jc w:val="both"/>
                  <w:rPr>
                    <w:b/>
                    <w:color w:val="000000"/>
                    <w:szCs w:val="24"/>
                  </w:rPr>
                </w:pPr>
              </w:p>
              <w:p w14:paraId="5F6AABE8" w14:textId="17D7E827">
                <w:pPr>
                  <w:jc w:val="both"/>
                  <w:rPr>
                    <w:b/>
                    <w:color w:val="000000"/>
                    <w:szCs w:val="24"/>
                  </w:rPr>
                </w:pPr>
              </w:p>
            </w:tc>
            <w:tc>
              <w:tcPr>
                <w:tcW w:w="6949" w:type="dxa"/>
              </w:tcPr>
              <w:p w14:paraId="7B39D0BE" w14:textId="7C7DFB2A">
                <w:pPr>
                  <w:jc w:val="both"/>
                  <w:rPr>
                    <w:b/>
                    <w:color w:val="000000"/>
                    <w:szCs w:val="24"/>
                  </w:rPr>
                </w:pPr>
                <w:r>
                  <w:rPr>
                    <w:b/>
                    <w:color w:val="000000"/>
                    <w:szCs w:val="24"/>
                  </w:rPr>
                  <w:t>1. Lietuvos Respublikos darbo kodekso 33, 36, 40, 49, 52, 58, 59, 60, 112, 113, 118, 119, 127, 133, 134, 146, 147, 156, 166, 175, 181, 192, 193, 194, 197, 198, 210, 211, 217, 236, 237, 244, 245, 247, 250, 251, 252 ir 253 straipsnių pakeitimo įstatymo projektas (toliau – DK projektas)</w:t>
                </w:r>
              </w:p>
              <w:p w14:paraId="64F0271B" w14:textId="77777777">
                <w:pPr>
                  <w:jc w:val="both"/>
                  <w:rPr>
                    <w:b/>
                    <w:color w:val="000000"/>
                    <w:szCs w:val="24"/>
                  </w:rPr>
                </w:pPr>
              </w:p>
              <w:p w14:paraId="3CEEDD98" w14:textId="0B089E67">
                <w:pPr>
                  <w:jc w:val="both"/>
                  <w:rPr>
                    <w:bCs/>
                    <w:color w:val="000000"/>
                    <w:szCs w:val="24"/>
                  </w:rPr>
                </w:pPr>
                <w:r>
                  <w:rPr>
                    <w:bCs/>
                    <w:color w:val="000000"/>
                    <w:szCs w:val="24"/>
                  </w:rPr>
                  <w:t xml:space="preserve">2. Lietuvos Respublikos darbo kodeksas  (suvestinė redakcija nuo 2022-07-12 iki 2022-07-31)</w:t>
                </w:r>
                <w:r>
                  <w:rPr>
                    <w:color w:val="333333"/>
                    <w:szCs w:val="24"/>
                    <w:shd w:val="clear" w:color="auto" w:fill="FFFFFF"/>
                  </w:rPr>
                  <w:t xml:space="preserve"> </w:t>
                </w:r>
                <w:r>
                  <w:rPr>
                    <w:bCs/>
                    <w:color w:val="000000"/>
                    <w:szCs w:val="24"/>
                  </w:rPr>
                  <w:t xml:space="preserve">(toliau –  DK)</w:t>
                </w:r>
              </w:p>
              <w:p w14:paraId="5F6AABE9" w14:textId="338CBCD6">
                <w:pPr>
                  <w:jc w:val="both"/>
                  <w:rPr>
                    <w:bCs/>
                    <w:color w:val="000000"/>
                    <w:szCs w:val="24"/>
                  </w:rPr>
                </w:pPr>
              </w:p>
            </w:tc>
            <w:tc>
              <w:tcPr>
                <w:tcW w:w="1312" w:type="dxa"/>
              </w:tcPr>
              <w:p w14:paraId="5F6AABEA" w14:textId="3B13A504">
                <w:pPr>
                  <w:jc w:val="both"/>
                  <w:rPr>
                    <w:b/>
                    <w:color w:val="000000"/>
                    <w:szCs w:val="24"/>
                  </w:rPr>
                </w:pPr>
                <w:r>
                  <w:rPr>
                    <w:b/>
                    <w:color w:val="000000"/>
                    <w:szCs w:val="24"/>
                  </w:rPr>
                  <w:t>Europos Sąjungos teisės akto perkėlimo (įgyvendinimo) lygis (visiškas, dalinis)</w:t>
                </w:r>
              </w:p>
            </w:tc>
          </w:tr>
          <w:tr w14:paraId="4697931C" w14:textId="77777777">
            <w:tc>
              <w:tcPr>
                <w:tcW w:w="15905" w:type="dxa"/>
                <w:gridSpan w:val="3"/>
              </w:tcPr>
              <w:p w14:paraId="73E22AF9" w14:textId="3D9DE94F">
                <w:pPr>
                  <w:jc w:val="both"/>
                  <w:rPr>
                    <w:color w:val="000000"/>
                    <w:szCs w:val="24"/>
                  </w:rPr>
                </w:pPr>
                <w:r>
                  <w:rPr>
                    <w:b/>
                    <w:bCs/>
                    <w:color w:val="000000"/>
                    <w:szCs w:val="24"/>
                  </w:rPr>
                  <w:t xml:space="preserve">2 straipsnis. Terminų apibrėžtys </w:t>
                </w:r>
              </w:p>
            </w:tc>
          </w:tr>
          <w:tr w14:paraId="2C312BD6" w14:textId="77777777">
            <w:tc>
              <w:tcPr>
                <w:tcW w:w="7644" w:type="dxa"/>
              </w:tcPr>
              <w:p w14:paraId="379D4C10" w14:textId="77777777">
                <w:pPr>
                  <w:jc w:val="both"/>
                  <w:rPr>
                    <w:color w:val="000000"/>
                    <w:szCs w:val="24"/>
                  </w:rPr>
                </w:pPr>
                <w:r>
                  <w:rPr>
                    <w:color w:val="000000"/>
                    <w:szCs w:val="24"/>
                  </w:rPr>
                  <w:t xml:space="preserve">b) apskaitinės valandos ir dienos – laiko tarpai konkrečiomis dienomis, kuriomis darbdavio reikalavimu gali vykti darbas; </w:t>
                </w:r>
              </w:p>
              <w:p w14:paraId="4D51CA04" w14:textId="287BD044">
                <w:pPr>
                  <w:jc w:val="both"/>
                  <w:rPr>
                    <w:color w:val="000000"/>
                    <w:szCs w:val="24"/>
                  </w:rPr>
                </w:pPr>
                <w:r>
                  <w:rPr>
                    <w:szCs w:val="24"/>
                  </w:rPr>
                  <w:t>c) darbo modelis – darbo laiko organizavimo ir jo paskirstymo pagal tam tikrą darbdavio nustatytą modelį forma.</w:t>
                </w:r>
              </w:p>
            </w:tc>
            <w:tc>
              <w:tcPr>
                <w:tcW w:w="6949" w:type="dxa"/>
              </w:tcPr>
              <w:p w14:paraId="384361C8" w14:textId="37FF30A4">
                <w:pPr>
                  <w:jc w:val="both"/>
                  <w:rPr>
                    <w:rFonts w:eastAsia="Helvetica Neue"/>
                    <w:b/>
                    <w:szCs w:val="24"/>
                    <w:lang w:eastAsia="lt-LT"/>
                  </w:rPr>
                </w:pPr>
                <w:r>
                  <w:rPr>
                    <w:rFonts w:eastAsia="Helvetica Neue"/>
                    <w:b/>
                    <w:szCs w:val="24"/>
                    <w:lang w:eastAsia="lt-LT"/>
                  </w:rPr>
                  <w:t>DK projektas</w:t>
                </w:r>
              </w:p>
              <w:p w14:paraId="2356060B" w14:textId="77777777">
                <w:pPr>
                  <w:jc w:val="both"/>
                  <w:rPr>
                    <w:rFonts w:eastAsia="Calibri"/>
                    <w:b/>
                    <w:szCs w:val="24"/>
                  </w:rPr>
                </w:pPr>
                <w:r>
                  <w:rPr>
                    <w:rFonts w:eastAsia="Calibri"/>
                    <w:b/>
                    <w:szCs w:val="24"/>
                  </w:rPr>
                  <w:t>11 straipsnis. 113 straipsnio pakeitimas</w:t>
                </w:r>
              </w:p>
              <w:p w14:paraId="3632866C" w14:textId="77777777">
                <w:pPr>
                  <w:jc w:val="both"/>
                  <w:rPr>
                    <w:rFonts w:eastAsia="Calibri"/>
                    <w:b/>
                    <w:szCs w:val="24"/>
                  </w:rPr>
                </w:pPr>
                <w:r>
                  <w:rPr>
                    <w:rFonts w:eastAsia="Calibri"/>
                    <w:b/>
                    <w:szCs w:val="24"/>
                  </w:rPr>
                  <w:t>Pakeisti 113 straipsnio 1 dalį ir ją išdėstyti taip:</w:t>
                </w:r>
              </w:p>
              <w:p w14:paraId="4B5BC070" w14:textId="77777777">
                <w:pPr>
                  <w:jc w:val="both"/>
                  <w:rPr>
                    <w:rFonts w:eastAsia="Calibri"/>
                    <w:b/>
                    <w:szCs w:val="24"/>
                  </w:rPr>
                </w:pPr>
                <w:r>
                  <w:rPr>
                    <w:rFonts w:eastAsia="Aptos"/>
                    <w:b/>
                    <w:color w:val="000000"/>
                    <w:szCs w:val="24"/>
                  </w:rPr>
                  <w:t>„</w:t>
                </w:r>
                <w:r>
                  <w:rPr>
                    <w:rFonts w:eastAsia="Aptos"/>
                    <w:b/>
                    <w:color w:val="000000"/>
                    <w:szCs w:val="24"/>
                    <w:lang w:eastAsia="lt-LT"/>
                  </w:rPr>
                  <w:t>1.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jei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w:t>
                </w:r>
                <w:r>
                  <w:rPr>
                    <w:rFonts w:eastAsia="Aptos"/>
                    <w:b/>
                    <w:strike/>
                    <w:color w:val="000000"/>
                    <w:szCs w:val="24"/>
                    <w:lang w:eastAsia="lt-LT"/>
                  </w:rPr>
                  <w:t xml:space="preserve"> </w:t>
                </w:r>
                <w:r>
                  <w:rPr>
                    <w:rFonts w:eastAsia="Aptos"/>
                    <w:b/>
                    <w:color w:val="000000"/>
                    <w:szCs w:val="24"/>
                    <w:lang w:eastAsia="lt-LT"/>
                  </w:rPr>
                  <w:t>dokumentu apie jo sveikatos būklę arba būtinybe slaugyti ar prižiūrėti šeimos narį ar kartu su juo gyvenantį asmenį, išskyrus atvejus, kai darbuotojo prašymo negalima tenkinti dėl darbdavio darbo organizavimo ar gamybos proceso ypatumų.“</w:t>
                </w:r>
              </w:p>
              <w:p w14:paraId="19F27569" w14:textId="77777777">
                <w:pPr>
                  <w:ind w:firstLine="709"/>
                  <w:jc w:val="both"/>
                  <w:rPr>
                    <w:rFonts w:eastAsia="Calibri"/>
                    <w:b/>
                    <w:szCs w:val="24"/>
                  </w:rPr>
                </w:pPr>
              </w:p>
              <w:p w14:paraId="55BFEB2C" w14:textId="68AB9B57">
                <w:pPr>
                  <w:jc w:val="both"/>
                  <w:rPr>
                    <w:i/>
                    <w:iCs/>
                    <w:color w:val="000000"/>
                    <w:szCs w:val="24"/>
                  </w:rPr>
                </w:pPr>
                <w:r>
                  <w:rPr>
                    <w:i/>
                    <w:iCs/>
                    <w:color w:val="000000"/>
                    <w:szCs w:val="24"/>
                  </w:rPr>
                  <w:t>Pastaba: sąvokos, nurodytos b ir c punktuose, neperkeltos, nes Lietuva netaiko nenuspėjamo darbo modelio ir darbo pagal poreikį. Direktyvos 20 straipsnio 1 dalyje yra nustatyta, kad ši direktyva negali būti tinkamas pagrindas sumažinti bendrą apsaugos lygį, kurį jau turi valstybių narių darbuotojai. Nustačius nenuspėjamą darbo modelį ar darbą pagal poreikį , būtų sumažintas bendras darbuotojų apsaugos lygis ir neįgyvendinta direktyva.</w:t>
                </w:r>
              </w:p>
            </w:tc>
            <w:tc>
              <w:tcPr>
                <w:tcW w:w="1312" w:type="dxa"/>
              </w:tcPr>
              <w:p w14:paraId="3EADCA28" w14:textId="6E0C42F4">
                <w:pPr>
                  <w:jc w:val="both"/>
                  <w:rPr>
                    <w:color w:val="000000"/>
                    <w:szCs w:val="24"/>
                  </w:rPr>
                </w:pPr>
                <w:r>
                  <w:rPr>
                    <w:bCs/>
                    <w:color w:val="000000"/>
                    <w:szCs w:val="24"/>
                  </w:rPr>
                  <w:t>Visiškas</w:t>
                </w:r>
              </w:p>
            </w:tc>
          </w:tr>
          <w:tr w14:paraId="1E525219" w14:textId="77777777">
            <w:tc>
              <w:tcPr>
                <w:tcW w:w="15905" w:type="dxa"/>
                <w:gridSpan w:val="3"/>
              </w:tcPr>
              <w:p w14:paraId="51680345" w14:textId="67E690EE">
                <w:pPr>
                  <w:jc w:val="both"/>
                  <w:rPr>
                    <w:color w:val="000000"/>
                    <w:szCs w:val="24"/>
                  </w:rPr>
                </w:pPr>
                <w:r>
                  <w:rPr>
                    <w:b/>
                    <w:bCs/>
                    <w:color w:val="000000"/>
                    <w:szCs w:val="24"/>
                  </w:rPr>
                  <w:t>8 straipsnis. Maksimali bandomojo laikotarpio trukmė</w:t>
                </w:r>
              </w:p>
            </w:tc>
          </w:tr>
          <w:tr w14:paraId="65843BB5" w14:textId="77777777">
            <w:tc>
              <w:tcPr>
                <w:tcW w:w="7644" w:type="dxa"/>
              </w:tcPr>
              <w:p w14:paraId="49DB927A" w14:textId="69F5E178">
                <w:pPr>
                  <w:jc w:val="both"/>
                  <w:rPr>
                    <w:b/>
                    <w:bCs/>
                    <w:color w:val="000000"/>
                    <w:szCs w:val="24"/>
                  </w:rPr>
                </w:pPr>
                <w:r>
                  <w:rPr>
                    <w:color w:val="000000"/>
                    <w:szCs w:val="24"/>
                  </w:rPr>
                  <w:t xml:space="preserve">1. Valstybės narės užtikrina, kad tais atvejais, kai darbo santykiams taikomas bandomasis laikotarpis, kaip apibrėžta nacionalinėje teisėje arba praktikoje, tas laikotarpis neviršytų šešių mėnesių. </w:t>
                </w:r>
              </w:p>
            </w:tc>
            <w:tc>
              <w:tcPr>
                <w:tcW w:w="6949" w:type="dxa"/>
              </w:tcPr>
              <w:p w14:paraId="7E6155E1" w14:textId="7F75FF30">
                <w:pPr>
                  <w:jc w:val="both"/>
                  <w:rPr>
                    <w:b/>
                    <w:color w:val="000000"/>
                    <w:szCs w:val="24"/>
                  </w:rPr>
                </w:pPr>
                <w:r>
                  <w:rPr>
                    <w:b/>
                    <w:color w:val="000000"/>
                    <w:szCs w:val="24"/>
                  </w:rPr>
                  <w:t>DK projektas</w:t>
                </w:r>
              </w:p>
              <w:p w14:paraId="2797A11C" w14:textId="77777777">
                <w:pPr>
                  <w:jc w:val="both"/>
                  <w:textAlignment w:val="baseline"/>
                  <w:rPr>
                    <w:rFonts w:eastAsia="Aptos"/>
                    <w:b/>
                    <w:bCs/>
                    <w:color w:val="000000"/>
                    <w:szCs w:val="24"/>
                    <w:lang w:eastAsia="lt-LT"/>
                  </w:rPr>
                </w:pPr>
                <w:r>
                  <w:rPr>
                    <w:rFonts w:eastAsia="Aptos"/>
                    <w:b/>
                    <w:bCs/>
                    <w:color w:val="000000"/>
                    <w:szCs w:val="24"/>
                    <w:lang w:eastAsia="lt-LT"/>
                  </w:rPr>
                  <w:t>2 straipsnis. 36 straipsnio pakeitimas</w:t>
                </w:r>
              </w:p>
              <w:p w14:paraId="7F0C79B9" w14:textId="77777777">
                <w:pPr>
                  <w:jc w:val="both"/>
                  <w:rPr>
                    <w:rFonts w:eastAsia="Calibri"/>
                    <w:b/>
                    <w:bCs/>
                    <w:szCs w:val="24"/>
                  </w:rPr>
                </w:pPr>
                <w:r>
                  <w:rPr>
                    <w:rFonts w:eastAsia="Calibri"/>
                    <w:b/>
                    <w:bCs/>
                    <w:szCs w:val="24"/>
                  </w:rPr>
                  <w:t>Pakeisti 36 straipsnio 2 dalį ir ją išdėstyti taip:</w:t>
                </w:r>
              </w:p>
              <w:p w14:paraId="078F34A1" w14:textId="791725DB">
                <w:pPr>
                  <w:jc w:val="both"/>
                  <w:rPr>
                    <w:b/>
                    <w:bCs/>
                    <w:szCs w:val="24"/>
                    <w:lang w:eastAsia="lt-LT"/>
                  </w:rPr>
                </w:pPr>
                <w:r>
                  <w:rPr>
                    <w:rFonts w:eastAsia="Calibri"/>
                    <w:b/>
                    <w:bCs/>
                    <w:szCs w:val="24"/>
                  </w:rPr>
                  <w:t>„2. Išbandymo terminas negali būti ilgesnis negu trys mėnesiai, neįskaitant laiko, kurį darbuotojas nebuvo darbe dėl laikinojo nedarbingumo, atostogų ar kitų svarbių priežasčių. Jei terminuota darbo sutartis sudaroma trumpesniam negu šešių mėnesių laikotarpiui, išbandymo terminas turi būti proporcingas šios sutarties terminui (atitinkamai trumpesnis negu trys mėnesiai). Darbuotojui, kurio darbo sutartyje nustatytas mėnesinis darbo užmokestis yra ne mažesnis negu du Valstybės duomenų agentūros paskutinio paskelbto šalies ūkio vidutinio mėnesinio bruto darbo užmokesčio dydžiai, gali būti taikomas kitoks išbandymo terminas, kuris negali viršyti šešių mėnesių, neįskaitant laiko, kurį darbuotojas nebuvo darbe dėl laikinojo nedarbingumo, atostogų ar kitų svarbių priežasčių. Jei terminuota darbo sutartis su šiuo darbuotoju sudaroma trumpesniam negu dvylikos mėnesių laikotarpiui, išbandymo terminas turi būti proporcingas šios sutarties terminui (atitinkamai trumpesnis negu šeši mėnesiai). Pratęsti išbandymo laikotarpį darbo sutarties šalių susitarimu draudžiama.“</w:t>
                </w:r>
              </w:p>
            </w:tc>
            <w:tc>
              <w:tcPr>
                <w:tcW w:w="1312" w:type="dxa"/>
              </w:tcPr>
              <w:p w14:paraId="1BE2C3F4" w14:textId="63248E1B">
                <w:pPr>
                  <w:jc w:val="both"/>
                  <w:rPr>
                    <w:color w:val="000000"/>
                    <w:szCs w:val="24"/>
                  </w:rPr>
                </w:pPr>
                <w:r>
                  <w:rPr>
                    <w:bCs/>
                    <w:color w:val="000000"/>
                    <w:szCs w:val="24"/>
                  </w:rPr>
                  <w:t>Visiškas</w:t>
                </w:r>
              </w:p>
            </w:tc>
          </w:tr>
          <w:tr w14:paraId="296127E2" w14:textId="77777777">
            <w:tc>
              <w:tcPr>
                <w:tcW w:w="7644" w:type="dxa"/>
              </w:tcPr>
              <w:p w14:paraId="6C5C26C1" w14:textId="5D77A05E">
                <w:pPr>
                  <w:jc w:val="both"/>
                  <w:rPr>
                    <w:color w:val="000000"/>
                    <w:szCs w:val="24"/>
                  </w:rPr>
                </w:pPr>
                <w:r>
                  <w:rPr>
                    <w:color w:val="000000"/>
                    <w:szCs w:val="24"/>
                  </w:rPr>
                  <w:t xml:space="preserve">2. Terminuotų darbo santykių atveju, valstybės narės užtikrina, kad tokio bandomojo laikotarpio trukmė būtų proporcinga numatomai sutarties trukmei ir darbo pobūdžiui. Jei sutartis atnaujinama tai pačiai funkcijai ir toms pačioms užduotims, darbo santykiams naujas bandomasis laikotarpis netaikomas. </w:t>
                </w:r>
              </w:p>
            </w:tc>
            <w:tc>
              <w:tcPr>
                <w:tcW w:w="6949" w:type="dxa"/>
              </w:tcPr>
              <w:p w14:paraId="35EF6C17" w14:textId="77777777">
                <w:pPr>
                  <w:jc w:val="both"/>
                  <w:rPr>
                    <w:b/>
                    <w:color w:val="000000"/>
                    <w:szCs w:val="24"/>
                  </w:rPr>
                </w:pPr>
                <w:r>
                  <w:rPr>
                    <w:b/>
                    <w:color w:val="000000"/>
                    <w:szCs w:val="24"/>
                  </w:rPr>
                  <w:t>DK projektas</w:t>
                </w:r>
              </w:p>
              <w:p w14:paraId="324447CA" w14:textId="77777777">
                <w:pPr>
                  <w:jc w:val="both"/>
                  <w:textAlignment w:val="baseline"/>
                  <w:rPr>
                    <w:rFonts w:eastAsia="Aptos"/>
                    <w:b/>
                    <w:bCs/>
                    <w:color w:val="000000"/>
                    <w:szCs w:val="24"/>
                    <w:lang w:eastAsia="lt-LT"/>
                  </w:rPr>
                </w:pPr>
                <w:r>
                  <w:rPr>
                    <w:rFonts w:eastAsia="Aptos"/>
                    <w:b/>
                    <w:bCs/>
                    <w:color w:val="000000"/>
                    <w:szCs w:val="24"/>
                    <w:lang w:eastAsia="lt-LT"/>
                  </w:rPr>
                  <w:t>2 straipsnis. 36 straipsnio pakeitimas</w:t>
                </w:r>
              </w:p>
              <w:p w14:paraId="0082D3AC" w14:textId="77777777">
                <w:pPr>
                  <w:jc w:val="both"/>
                  <w:rPr>
                    <w:rFonts w:eastAsia="Calibri"/>
                    <w:b/>
                    <w:bCs/>
                    <w:szCs w:val="24"/>
                  </w:rPr>
                </w:pPr>
                <w:r>
                  <w:rPr>
                    <w:rFonts w:eastAsia="Calibri"/>
                    <w:b/>
                    <w:bCs/>
                    <w:szCs w:val="24"/>
                  </w:rPr>
                  <w:t>Pakeisti 36 straipsnio 2 dalį ir ją išdėstyti taip:</w:t>
                </w:r>
              </w:p>
              <w:p w14:paraId="35FF254F" w14:textId="77777777">
                <w:pPr>
                  <w:jc w:val="both"/>
                  <w:rPr>
                    <w:rFonts w:eastAsia="Calibri"/>
                    <w:b/>
                    <w:bCs/>
                    <w:szCs w:val="24"/>
                  </w:rPr>
                </w:pPr>
                <w:r>
                  <w:rPr>
                    <w:rFonts w:eastAsia="Calibri"/>
                    <w:b/>
                    <w:bCs/>
                    <w:szCs w:val="24"/>
                  </w:rPr>
                  <w:t>„2. Išbandymo terminas negali būti ilgesnis negu trys mėnesiai, neįskaitant laiko, kurį darbuotojas nebuvo darbe dėl laikinojo nedarbingumo, atostogų ar kitų svarbių priežasčių. Jei terminuota darbo sutartis sudaroma trumpesniam negu šešių mėnesių laikotarpiui, išbandymo terminas turi būti proporcingas šios sutarties terminui (atitinkamai trumpesnis negu trys mėnesiai). Darbuotojui, kurio darbo sutartyje nustatytas mėnesinis darbo užmokestis yra ne mažesnis negu du Valstybės duomenų agentūros paskutinio paskelbto šalies ūkio vidutinio mėnesinio bruto darbo užmokesčio dydžiai, gali būti taikomas kitoks išbandymo terminas, kuris negali viršyti šešių mėnesių, neįskaitant laiko, kurį darbuotojas nebuvo darbe dėl laikinojo nedarbingumo, atostogų ar kitų svarbių priežasčių. Jei terminuota darbo sutartis su šiuo darbuotoju sudaroma trumpesniam negu dvylikos mėnesių laikotarpiui, išbandymo terminas turi būti proporcingas šios sutarties terminui (atitinkamai trumpesnis negu šeši mėnesiai). Pratęsti išbandymo laikotarpį darbo sutarties šalių susitarimu draudžiama.“</w:t>
                </w:r>
              </w:p>
              <w:p w14:paraId="2ABAD7FC" w14:textId="77777777">
                <w:pPr>
                  <w:jc w:val="both"/>
                  <w:rPr>
                    <w:b/>
                    <w:bCs/>
                    <w:szCs w:val="24"/>
                  </w:rPr>
                </w:pPr>
              </w:p>
              <w:p w14:paraId="48F67436" w14:textId="1D3238D4">
                <w:pPr>
                  <w:jc w:val="both"/>
                  <w:rPr>
                    <w:b/>
                    <w:bCs/>
                    <w:szCs w:val="24"/>
                  </w:rPr>
                </w:pPr>
                <w:r>
                  <w:rPr>
                    <w:b/>
                    <w:bCs/>
                    <w:szCs w:val="24"/>
                  </w:rPr>
                  <w:t xml:space="preserve">DK </w:t>
                </w:r>
              </w:p>
              <w:p w14:paraId="31D50858" w14:textId="77777777">
                <w:pPr>
                  <w:jc w:val="both"/>
                  <w:rPr>
                    <w:b/>
                    <w:bCs/>
                    <w:szCs w:val="24"/>
                  </w:rPr>
                </w:pPr>
                <w:r>
                  <w:rPr>
                    <w:b/>
                    <w:bCs/>
                    <w:szCs w:val="24"/>
                  </w:rPr>
                  <w:t>36 straipsnis. Susitarimas dėl išbandymo</w:t>
                </w:r>
              </w:p>
              <w:p w14:paraId="54ADF1CF" w14:textId="380ACF6F">
                <w:pPr>
                  <w:jc w:val="both"/>
                  <w:rPr>
                    <w:color w:val="000000"/>
                    <w:szCs w:val="24"/>
                  </w:rPr>
                </w:pPr>
                <w:r>
                  <w:rPr>
                    <w:color w:val="000000"/>
                    <w:szCs w:val="24"/>
                  </w:rPr>
                  <w:t xml:space="preserve">1. Siekiant patikrinti, ar darbuotojas tinka sulygtam darbui, taip pat ar sulygtas darbas tinka darbuotojui, sudarydamos darbo sutartį darbo sutarties šalys gali sulygti dėl išbandymo. </w:t>
                </w:r>
              </w:p>
              <w:p w14:paraId="11C4A4E7" w14:textId="77777777">
                <w:pPr>
                  <w:jc w:val="both"/>
                  <w:rPr>
                    <w:color w:val="000000"/>
                    <w:szCs w:val="24"/>
                  </w:rPr>
                </w:pPr>
              </w:p>
              <w:p w14:paraId="2647B5BF" w14:textId="4B9A8BF3">
                <w:pPr>
                  <w:jc w:val="both"/>
                  <w:rPr>
                    <w:b/>
                    <w:color w:val="000000"/>
                    <w:szCs w:val="24"/>
                  </w:rPr>
                </w:pPr>
                <w:r>
                  <w:rPr>
                    <w:i/>
                    <w:iCs/>
                    <w:color w:val="000000"/>
                    <w:szCs w:val="24"/>
                  </w:rPr>
                  <w:t>Pastaba: Terminuotos darbo sutarties atnaujinimo atveju, t. y. jos pratęsimo atveju išbandymo terminas negali būti taikomas, nes pagal DK 36 str. 1 d. dėl išbandymo gali būti sutarta tik sudarant darbo sutartį, bet tai neapima sudarytos darbo sutarties pakeitimo.</w:t>
                </w:r>
                <w:r>
                  <w:rPr>
                    <w:color w:val="000000"/>
                    <w:szCs w:val="24"/>
                  </w:rPr>
                  <w:t xml:space="preserve">  </w:t>
                </w:r>
              </w:p>
            </w:tc>
            <w:tc>
              <w:tcPr>
                <w:tcW w:w="1312" w:type="dxa"/>
              </w:tcPr>
              <w:p w14:paraId="28142F23" w14:textId="0C6C98B9">
                <w:pPr>
                  <w:jc w:val="both"/>
                  <w:rPr>
                    <w:color w:val="000000"/>
                    <w:szCs w:val="24"/>
                  </w:rPr>
                </w:pPr>
                <w:r>
                  <w:rPr>
                    <w:bCs/>
                    <w:color w:val="000000"/>
                    <w:szCs w:val="24"/>
                  </w:rPr>
                  <w:t>Visiškas</w:t>
                </w:r>
              </w:p>
            </w:tc>
          </w:tr>
          <w:tr w14:paraId="2E2F9FF5" w14:textId="77777777">
            <w:tc>
              <w:tcPr>
                <w:tcW w:w="7644" w:type="dxa"/>
              </w:tcPr>
              <w:p w14:paraId="406AF5BD" w14:textId="218B21B0">
                <w:pPr>
                  <w:jc w:val="both"/>
                  <w:rPr>
                    <w:color w:val="000000"/>
                    <w:szCs w:val="24"/>
                  </w:rPr>
                </w:pPr>
                <w:r>
                  <w:rPr>
                    <w:szCs w:val="24"/>
                  </w:rPr>
                  <w:t>3. Valstybės narės gali išimties tvarka numatyti ilgesnį bandomąjį laikotarpį tais atvejais, kai tai galima pagrįsti darbo pobūdžiu arba darbuotojo interesais. Valstybės narės gali nustatyti, kad tais atvejais, kai darbuotojas bandomojo laikotarpio metu nebuvo darbe, bandomasis laikotarpis gali būti atitinkamai pratęstas atsižvelgiant į nebuvimo darbe trukmę.</w:t>
                </w:r>
              </w:p>
            </w:tc>
            <w:tc>
              <w:tcPr>
                <w:tcW w:w="6949" w:type="dxa"/>
              </w:tcPr>
              <w:p w14:paraId="6DF9A2B0" w14:textId="4A5B2DC3">
                <w:pPr>
                  <w:jc w:val="both"/>
                  <w:rPr>
                    <w:bCs/>
                    <w:color w:val="000000"/>
                    <w:szCs w:val="24"/>
                  </w:rPr>
                </w:pPr>
                <w:r>
                  <w:rPr>
                    <w:bCs/>
                    <w:i/>
                    <w:iCs/>
                    <w:color w:val="000000"/>
                    <w:szCs w:val="24"/>
                  </w:rPr>
                  <w:t>Pastaba: DK nenumato ilgesnio bandomojo laikotarpio.</w:t>
                </w:r>
                <w:r>
                  <w:rPr>
                    <w:bCs/>
                    <w:color w:val="000000"/>
                    <w:szCs w:val="24"/>
                  </w:rPr>
                  <w:t xml:space="preserve"> </w:t>
                </w:r>
              </w:p>
              <w:p w14:paraId="1D496C74" w14:textId="77777777">
                <w:pPr>
                  <w:jc w:val="both"/>
                  <w:rPr>
                    <w:b/>
                    <w:color w:val="000000"/>
                    <w:szCs w:val="24"/>
                  </w:rPr>
                </w:pPr>
              </w:p>
              <w:p w14:paraId="05721FC2" w14:textId="77777777">
                <w:pPr>
                  <w:jc w:val="both"/>
                  <w:rPr>
                    <w:b/>
                    <w:color w:val="000000"/>
                    <w:szCs w:val="24"/>
                  </w:rPr>
                </w:pPr>
                <w:r>
                  <w:rPr>
                    <w:b/>
                    <w:color w:val="000000"/>
                    <w:szCs w:val="24"/>
                  </w:rPr>
                  <w:t>DK projektas</w:t>
                </w:r>
              </w:p>
              <w:p w14:paraId="6A1BDFE6" w14:textId="77777777">
                <w:pPr>
                  <w:jc w:val="both"/>
                  <w:textAlignment w:val="baseline"/>
                  <w:rPr>
                    <w:rFonts w:eastAsia="Aptos"/>
                    <w:b/>
                    <w:bCs/>
                    <w:color w:val="000000"/>
                    <w:szCs w:val="24"/>
                    <w:lang w:eastAsia="lt-LT"/>
                  </w:rPr>
                </w:pPr>
                <w:r>
                  <w:rPr>
                    <w:rFonts w:eastAsia="Aptos"/>
                    <w:b/>
                    <w:bCs/>
                    <w:color w:val="000000"/>
                    <w:szCs w:val="24"/>
                    <w:lang w:eastAsia="lt-LT"/>
                  </w:rPr>
                  <w:t>2 straipsnis. 36 straipsnio pakeitimas</w:t>
                </w:r>
              </w:p>
              <w:p w14:paraId="4A6965A0" w14:textId="77777777">
                <w:pPr>
                  <w:jc w:val="both"/>
                  <w:rPr>
                    <w:rFonts w:eastAsia="Calibri"/>
                    <w:b/>
                    <w:bCs/>
                    <w:szCs w:val="24"/>
                  </w:rPr>
                </w:pPr>
                <w:r>
                  <w:rPr>
                    <w:rFonts w:eastAsia="Calibri"/>
                    <w:b/>
                    <w:bCs/>
                    <w:szCs w:val="24"/>
                  </w:rPr>
                  <w:t>Pakeisti 36 straipsnio 2 dalį ir ją išdėstyti taip:</w:t>
                </w:r>
              </w:p>
              <w:p w14:paraId="62623344" w14:textId="1414B9E3">
                <w:pPr>
                  <w:jc w:val="both"/>
                  <w:rPr>
                    <w:bCs/>
                    <w:szCs w:val="24"/>
                  </w:rPr>
                </w:pPr>
                <w:r>
                  <w:rPr>
                    <w:rFonts w:eastAsia="Calibri"/>
                    <w:b/>
                    <w:bCs/>
                    <w:szCs w:val="24"/>
                  </w:rPr>
                  <w:t>„2. Išbandymo terminas negali būti ilgesnis negu trys mėnesiai, neįskaitant laiko, kurį darbuotojas nebuvo darbe dėl laikinojo nedarbingumo, atostogų ar kitų svarbių priežasčių. Jei terminuota darbo sutartis sudaroma trumpesniam negu šešių mėnesių laikotarpiui, išbandymo terminas turi būti proporcingas šios sutarties terminui (atitinkamai trumpesnis negu trys mėnesiai). Darbuotojui, kurio darbo sutartyje nustatytas mėnesinis darbo užmokestis yra ne mažesnis negu du Valstybės duomenų agentūros paskutinio paskelbto šalies ūkio vidutinio mėnesinio bruto darbo užmokesčio dydžiai, gali būti taikomas kitoks išbandymo terminas, kuris negali viršyti šešių mėnesių, neįskaitant laiko, kurį darbuotojas nebuvo darbe dėl laikinojo nedarbingumo, atostogų ar kitų svarbių priežasčių. Jei terminuota darbo sutartis su šiuo darbuotoju sudaroma trumpesniam negu dvylikos mėnesių laikotarpiui, išbandymo terminas turi būti proporcingas šios sutarties terminui (atitinkamai trumpesnis negu šeši mėnesiai). Pratęsti išbandymo laikotarpį darbo sutarties šalių susitarimu draudžiama.“</w:t>
                </w:r>
              </w:p>
            </w:tc>
            <w:tc>
              <w:tcPr>
                <w:tcW w:w="1312" w:type="dxa"/>
              </w:tcPr>
              <w:p w14:paraId="6C55AF36" w14:textId="0660E485">
                <w:pPr>
                  <w:jc w:val="both"/>
                  <w:rPr>
                    <w:color w:val="000000"/>
                    <w:szCs w:val="24"/>
                  </w:rPr>
                </w:pPr>
                <w:r>
                  <w:rPr>
                    <w:bCs/>
                    <w:color w:val="000000"/>
                    <w:szCs w:val="24"/>
                  </w:rPr>
                  <w:t>Visiškas</w:t>
                </w:r>
              </w:p>
            </w:tc>
          </w:tr>
          <w:tr w14:paraId="693A48E6" w14:textId="77777777">
            <w:tc>
              <w:tcPr>
                <w:tcW w:w="15905" w:type="dxa"/>
                <w:gridSpan w:val="3"/>
              </w:tcPr>
              <w:p w14:paraId="6F77FD38" w14:textId="5CDE113B">
                <w:pPr>
                  <w:jc w:val="both"/>
                  <w:rPr>
                    <w:color w:val="000000"/>
                    <w:szCs w:val="24"/>
                  </w:rPr>
                </w:pPr>
                <w:r>
                  <w:rPr>
                    <w:b/>
                    <w:bCs/>
                    <w:color w:val="000000"/>
                    <w:szCs w:val="24"/>
                  </w:rPr>
                  <w:t>14 straipsnis. Kolektyvinės sutartys</w:t>
                </w:r>
              </w:p>
            </w:tc>
          </w:tr>
          <w:tr w14:paraId="53C24598" w14:textId="77777777">
            <w:tc>
              <w:tcPr>
                <w:tcW w:w="7644" w:type="dxa"/>
              </w:tcPr>
              <w:p w14:paraId="48C29300" w14:textId="3744CAD1">
                <w:pPr>
                  <w:jc w:val="both"/>
                  <w:rPr>
                    <w:b/>
                    <w:bCs/>
                    <w:color w:val="000000"/>
                    <w:szCs w:val="24"/>
                  </w:rPr>
                </w:pPr>
                <w:r>
                  <w:rPr>
                    <w:color w:val="000000"/>
                    <w:szCs w:val="24"/>
                  </w:rPr>
                  <w:t>Valstybės narės gali leisti socialiniams partneriams, laikantis nacionalinės teisės ar praktikos, palikti galioti kolektyvines sutartis, kuriose, užtikrinant bendrą darbuotojų apsaugą, būtų nustatytos į 8–13 straipsnius neįtrauktų darbuotojų darbo sąlygų reglamentavimo nuostatos, dėl tokių sutarčių derėtis, jas sudaryti ir užtikrinti jų vykdymą.</w:t>
                </w:r>
              </w:p>
            </w:tc>
            <w:tc>
              <w:tcPr>
                <w:tcW w:w="6949" w:type="dxa"/>
              </w:tcPr>
              <w:p w14:paraId="0849F631" w14:textId="025A68CD">
                <w:pPr>
                  <w:jc w:val="both"/>
                  <w:rPr>
                    <w:b/>
                    <w:color w:val="000000"/>
                    <w:szCs w:val="24"/>
                  </w:rPr>
                </w:pPr>
                <w:r>
                  <w:rPr>
                    <w:b/>
                    <w:color w:val="000000"/>
                    <w:szCs w:val="24"/>
                  </w:rPr>
                  <w:t>DK projektas</w:t>
                </w:r>
              </w:p>
              <w:p w14:paraId="38B2B6E9" w14:textId="77777777">
                <w:pPr>
                  <w:suppressAutoHyphens/>
                  <w:jc w:val="both"/>
                  <w:rPr>
                    <w:b/>
                    <w:szCs w:val="24"/>
                    <w:lang w:eastAsia="lt-LT"/>
                  </w:rPr>
                </w:pPr>
                <w:r>
                  <w:rPr>
                    <w:b/>
                    <w:szCs w:val="24"/>
                    <w:lang w:eastAsia="lt-LT"/>
                  </w:rPr>
                  <w:t>25 straipsnis. 193 straipsnio pakeitimas</w:t>
                </w:r>
              </w:p>
              <w:p w14:paraId="3B1FD4C6" w14:textId="77777777">
                <w:pPr>
                  <w:suppressAutoHyphens/>
                  <w:jc w:val="both"/>
                  <w:rPr>
                    <w:b/>
                    <w:szCs w:val="24"/>
                  </w:rPr>
                </w:pPr>
                <w:r>
                  <w:rPr>
                    <w:b/>
                    <w:szCs w:val="24"/>
                  </w:rPr>
                  <w:t>Pakeisti 193 straipsnio 3 dalį ir ją išdėstyti taip:</w:t>
                </w:r>
              </w:p>
              <w:p w14:paraId="4F327862" w14:textId="18F4F161">
                <w:pPr>
                  <w:jc w:val="both"/>
                  <w:rPr>
                    <w:b/>
                    <w:szCs w:val="24"/>
                  </w:rPr>
                </w:pPr>
                <w:r>
                  <w:rPr>
                    <w:b/>
                    <w:szCs w:val="24"/>
                    <w:u w:color="222222"/>
                    <w:lang w:eastAsia="lt-LT"/>
                  </w:rPr>
                  <w:t>„3. Kolektyvinėse sutartyse,</w:t>
                </w:r>
                <w:r>
                  <w:rPr>
                    <w:b/>
                    <w:szCs w:val="24"/>
                  </w:rPr>
                  <w:t xml:space="preserve"> sudaromose nacionaliniu, šakos ar teritoriniu lygmeniu,</w:t>
                </w:r>
                <w:r>
                  <w:rPr>
                    <w:b/>
                    <w:szCs w:val="24"/>
                    <w:u w:color="222222"/>
                    <w:lang w:eastAsia="lt-LT"/>
                  </w:rPr>
                  <w:t xml:space="preserve"> įtvirtintomis darbo teisės normomis</w:t>
                </w:r>
                <w:r>
                  <w:rPr>
                    <w:b/>
                    <w:szCs w:val="24"/>
                  </w:rPr>
                  <w:t xml:space="preserve"> galima nukrypti nuo šiame kodekse ar kitose darbo teisės normose nustatytų imperatyvių taisyklių, išskyrus taisykles, susijusias su maksimaliuoju darbo ir minimaliuoju poilsio laiku, darbo sutarties sudarymu,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ir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w:t>
                </w:r>
              </w:p>
              <w:p w14:paraId="19B418F1" w14:textId="77777777">
                <w:pPr>
                  <w:jc w:val="both"/>
                  <w:rPr>
                    <w:b/>
                    <w:color w:val="000000"/>
                    <w:szCs w:val="24"/>
                  </w:rPr>
                </w:pPr>
              </w:p>
              <w:p w14:paraId="45364C57" w14:textId="187673EB">
                <w:pPr>
                  <w:jc w:val="both"/>
                  <w:rPr>
                    <w:b/>
                    <w:color w:val="000000"/>
                    <w:szCs w:val="24"/>
                  </w:rPr>
                </w:pPr>
                <w:r>
                  <w:rPr>
                    <w:b/>
                    <w:color w:val="000000"/>
                    <w:szCs w:val="24"/>
                  </w:rPr>
                  <w:t xml:space="preserve">DK </w:t>
                </w:r>
              </w:p>
              <w:p w14:paraId="4F1B7ED8" w14:textId="77777777">
                <w:pPr>
                  <w:jc w:val="both"/>
                  <w:rPr>
                    <w:color w:val="000000"/>
                    <w:szCs w:val="24"/>
                  </w:rPr>
                </w:pPr>
                <w:r>
                  <w:rPr>
                    <w:b/>
                    <w:color w:val="000000"/>
                    <w:szCs w:val="24"/>
                  </w:rPr>
                  <w:t>193 straipsnis. Kolektyvinių sutarčių turinys</w:t>
                </w:r>
              </w:p>
              <w:p w14:paraId="6CDE0B1E" w14:textId="77777777">
                <w:pPr>
                  <w:jc w:val="both"/>
                  <w:rPr>
                    <w:color w:val="000000"/>
                    <w:szCs w:val="24"/>
                  </w:rPr>
                </w:pPr>
                <w:r>
                  <w:rPr>
                    <w:color w:val="000000"/>
                    <w:szCs w:val="24"/>
                  </w:rPr>
                  <w:t>2. Nustatydamos kolektyvinės sutarties turinį jos šalys turi vadovautis teisingumo, protingumo ir sąžiningumo principais.</w:t>
                </w:r>
              </w:p>
              <w:p w14:paraId="59B1684B" w14:textId="77777777">
                <w:pPr>
                  <w:jc w:val="both"/>
                  <w:rPr>
                    <w:color w:val="000000"/>
                    <w:szCs w:val="24"/>
                  </w:rPr>
                </w:pPr>
              </w:p>
              <w:p w14:paraId="25DB4748" w14:textId="7947FC92">
                <w:pPr>
                  <w:jc w:val="both"/>
                  <w:rPr>
                    <w:color w:val="000000"/>
                    <w:szCs w:val="24"/>
                  </w:rPr>
                </w:pPr>
                <w:r>
                  <w:rPr>
                    <w:color w:val="000000"/>
                    <w:szCs w:val="24"/>
                  </w:rPr>
                  <w:t>4. Nacionalinėje (tarpšakinėje), teritorinėje ar šakos (gamybos, paslaugų, profesinės) kolektyvinėje sutartyje šalys gali aptarti:</w:t>
                </w:r>
              </w:p>
              <w:p w14:paraId="684A5DAF" w14:textId="77777777">
                <w:pPr>
                  <w:jc w:val="both"/>
                  <w:rPr>
                    <w:color w:val="000000"/>
                    <w:szCs w:val="24"/>
                  </w:rPr>
                </w:pPr>
                <w:r>
                  <w:rPr>
                    <w:color w:val="000000"/>
                    <w:szCs w:val="24"/>
                  </w:rPr>
                  <w:t>1) kelių ar vienos kurios šakos ar teritorijos darbdavių darbuotojų darbo užmokesčio nustatymo, darbo normų ir kitus su darbo užmokesčiu susijusius klausimus;</w:t>
                </w:r>
              </w:p>
              <w:p w14:paraId="07F8FC30" w14:textId="77777777">
                <w:pPr>
                  <w:jc w:val="both"/>
                  <w:rPr>
                    <w:color w:val="000000"/>
                    <w:szCs w:val="24"/>
                  </w:rPr>
                </w:pPr>
                <w:r>
                  <w:rPr>
                    <w:color w:val="000000"/>
                    <w:szCs w:val="24"/>
                  </w:rPr>
                  <w:t>2) darbuotojų saugos ir sveikatos klausimus;</w:t>
                </w:r>
              </w:p>
              <w:p w14:paraId="75EF6958" w14:textId="77777777">
                <w:pPr>
                  <w:jc w:val="both"/>
                  <w:rPr>
                    <w:color w:val="000000"/>
                    <w:szCs w:val="24"/>
                  </w:rPr>
                </w:pPr>
                <w:r>
                  <w:rPr>
                    <w:color w:val="000000"/>
                    <w:szCs w:val="24"/>
                  </w:rPr>
                  <w:t>3) darbuotojų užimtumo, profesinio mokymo, perkvalifikavimo klausimus;</w:t>
                </w:r>
              </w:p>
              <w:p w14:paraId="7CA93FBD" w14:textId="77777777">
                <w:pPr>
                  <w:jc w:val="both"/>
                  <w:rPr>
                    <w:color w:val="000000"/>
                    <w:szCs w:val="24"/>
                  </w:rPr>
                </w:pPr>
                <w:r>
                  <w:rPr>
                    <w:color w:val="000000"/>
                    <w:szCs w:val="24"/>
                  </w:rPr>
                  <w:t>4) socialinės partnerystės rėmimo priemones, padedančias išvengti kolektyvinių darbo ginčų;</w:t>
                </w:r>
              </w:p>
              <w:p w14:paraId="03FF2FB9" w14:textId="77777777">
                <w:pPr>
                  <w:jc w:val="both"/>
                  <w:rPr>
                    <w:color w:val="000000"/>
                    <w:szCs w:val="24"/>
                  </w:rPr>
                </w:pPr>
                <w:r>
                  <w:rPr>
                    <w:color w:val="000000"/>
                    <w:szCs w:val="24"/>
                  </w:rPr>
                  <w:t>5) kitas šalims svarbias darbo, socialines ir ekonomines sąlygas;</w:t>
                </w:r>
              </w:p>
              <w:p w14:paraId="6FD67BA2" w14:textId="77777777">
                <w:pPr>
                  <w:jc w:val="both"/>
                  <w:rPr>
                    <w:color w:val="000000"/>
                    <w:szCs w:val="24"/>
                  </w:rPr>
                </w:pPr>
                <w:r>
                  <w:rPr>
                    <w:color w:val="000000"/>
                    <w:szCs w:val="24"/>
                  </w:rPr>
                  <w:t>6) kolektyvinės sutarties keitimo, pildymo ir nutraukimo</w:t>
                </w:r>
                <w:r>
                  <w:rPr>
                    <w:b/>
                    <w:bCs/>
                    <w:color w:val="000000"/>
                    <w:szCs w:val="24"/>
                  </w:rPr>
                  <w:t> </w:t>
                </w:r>
                <w:r>
                  <w:rPr>
                    <w:color w:val="000000"/>
                    <w:szCs w:val="24"/>
                  </w:rPr>
                  <w:t>tvarką, galiojimo terminą, vykdymo kontrolės sistemą ir tvarką, kitus organizacinius klausimus, susijusius su kolektyvinės sutarties sudarymu ir vykdymu.</w:t>
                </w:r>
              </w:p>
              <w:p w14:paraId="1251F53C" w14:textId="77777777">
                <w:pPr>
                  <w:rPr>
                    <w:color w:val="000000"/>
                    <w:szCs w:val="24"/>
                    <w:lang w:eastAsia="lt-LT"/>
                  </w:rPr>
                </w:pPr>
                <w:r>
                  <w:rPr>
                    <w:i/>
                    <w:iCs/>
                    <w:color w:val="000000"/>
                    <w:szCs w:val="24"/>
                    <w:lang w:eastAsia="lt-LT"/>
                  </w:rPr>
                  <w:t>Straipsnio punkto pakeitimai:</w:t>
                </w:r>
              </w:p>
              <w:p w14:paraId="6D39AA2E" w14:textId="78E1328A">
                <w:pPr>
                  <w:jc w:val="both"/>
                  <w:rPr>
                    <w:i/>
                    <w:iCs/>
                    <w:color w:val="000000"/>
                    <w:szCs w:val="24"/>
                    <w:lang w:eastAsia="lt-LT"/>
                  </w:rPr>
                </w:pPr>
                <w:r>
                  <w:rPr>
                    <w:i/>
                    <w:iCs/>
                    <w:color w:val="000000"/>
                    <w:szCs w:val="24"/>
                    <w:lang w:eastAsia="lt-LT"/>
                  </w:rPr>
                  <w:t>Nr. </w:t>
                </w:r>
                <w:hyperlink r:id="rId5" w:tgtFrame="_parent" w:history="1">
                  <w:r>
                    <w:rPr>
                      <w:i/>
                      <w:iCs/>
                      <w:color w:val="0000FF"/>
                      <w:szCs w:val="24"/>
                      <w:u w:val="single"/>
                      <w:lang w:eastAsia="lt-LT"/>
                    </w:rPr>
                    <w:t>XIII-2944</w:t>
                  </w:r>
                </w:hyperlink>
                <w:r>
                  <w:rPr>
                    <w:i/>
                    <w:iCs/>
                    <w:color w:val="000000"/>
                    <w:szCs w:val="24"/>
                    <w:lang w:eastAsia="lt-LT"/>
                  </w:rPr>
                  <w:t>, 2020-05-21, paskelbta TAR 2020-06-03, i. k. 2020-12135</w:t>
                </w:r>
              </w:p>
              <w:p w14:paraId="725CCB72" w14:textId="77777777">
                <w:pPr>
                  <w:jc w:val="both"/>
                  <w:rPr>
                    <w:color w:val="000000"/>
                    <w:szCs w:val="24"/>
                    <w:lang w:eastAsia="lt-LT"/>
                  </w:rPr>
                </w:pPr>
              </w:p>
              <w:p w14:paraId="0B4487CC" w14:textId="77777777">
                <w:pPr>
                  <w:jc w:val="both"/>
                  <w:rPr>
                    <w:color w:val="000000"/>
                    <w:szCs w:val="24"/>
                  </w:rPr>
                </w:pPr>
                <w:r>
                  <w:rPr>
                    <w:color w:val="000000"/>
                    <w:szCs w:val="24"/>
                  </w:rPr>
                  <w:t>5. Darbdavio ar darbovietės lygmens kolektyvinėje sutartyje šalys gali aptarti:</w:t>
                </w:r>
              </w:p>
              <w:p w14:paraId="5F1A50CF" w14:textId="77777777">
                <w:pPr>
                  <w:jc w:val="both"/>
                  <w:rPr>
                    <w:color w:val="000000"/>
                    <w:szCs w:val="24"/>
                  </w:rPr>
                </w:pPr>
                <w:r>
                  <w:rPr>
                    <w:color w:val="000000"/>
                    <w:szCs w:val="24"/>
                  </w:rPr>
                  <w:t>1) darbo sutarčių sudarymo, pakeitimo ir nutraukimo sąlygas;</w:t>
                </w:r>
              </w:p>
              <w:p w14:paraId="0F9AFBC8" w14:textId="77777777">
                <w:pPr>
                  <w:jc w:val="both"/>
                  <w:rPr>
                    <w:color w:val="000000"/>
                    <w:szCs w:val="24"/>
                  </w:rPr>
                </w:pPr>
                <w:r>
                  <w:rPr>
                    <w:color w:val="000000"/>
                    <w:szCs w:val="24"/>
                  </w:rPr>
                  <w:t>2) darbo užmokesčio sąlygas;</w:t>
                </w:r>
              </w:p>
              <w:p w14:paraId="47B9CE52" w14:textId="77777777">
                <w:pPr>
                  <w:jc w:val="both"/>
                  <w:rPr>
                    <w:color w:val="000000"/>
                    <w:szCs w:val="24"/>
                  </w:rPr>
                </w:pPr>
                <w:r>
                  <w:rPr>
                    <w:color w:val="000000"/>
                    <w:szCs w:val="24"/>
                  </w:rPr>
                  <w:t>3) darbo ir poilsio laiko sąlygas;</w:t>
                </w:r>
              </w:p>
              <w:p w14:paraId="3E2CEF23" w14:textId="77777777">
                <w:pPr>
                  <w:jc w:val="both"/>
                  <w:rPr>
                    <w:color w:val="000000"/>
                    <w:szCs w:val="24"/>
                  </w:rPr>
                </w:pPr>
                <w:r>
                  <w:rPr>
                    <w:color w:val="000000"/>
                    <w:szCs w:val="24"/>
                  </w:rPr>
                  <w:t>4) darbuotojų saugos ir sveikatos priemones;</w:t>
                </w:r>
              </w:p>
              <w:p w14:paraId="5CDEF944" w14:textId="77777777">
                <w:pPr>
                  <w:jc w:val="both"/>
                  <w:rPr>
                    <w:color w:val="000000"/>
                    <w:szCs w:val="24"/>
                  </w:rPr>
                </w:pPr>
                <w:r>
                  <w:rPr>
                    <w:color w:val="000000"/>
                    <w:szCs w:val="24"/>
                  </w:rPr>
                  <w:t>5) šalių tarpusavio informavimo sąlygas;</w:t>
                </w:r>
              </w:p>
              <w:p w14:paraId="710D8097" w14:textId="77777777">
                <w:pPr>
                  <w:jc w:val="both"/>
                  <w:rPr>
                    <w:color w:val="000000"/>
                    <w:szCs w:val="24"/>
                  </w:rPr>
                </w:pPr>
                <w:r>
                  <w:rPr>
                    <w:color w:val="000000"/>
                    <w:szCs w:val="24"/>
                  </w:rPr>
                  <w:t>6) informavimo, konsultavimo ir kitokio darbuotojų atstovų dalyvavimo darbdaviui priimant sprendimus teisių įgyvendinimo tvarką, nemažinant įstatyme nustatytų darbo tarybos įgaliojimų;</w:t>
                </w:r>
              </w:p>
              <w:p w14:paraId="2E0B075C" w14:textId="77777777">
                <w:pPr>
                  <w:jc w:val="both"/>
                  <w:rPr>
                    <w:color w:val="000000"/>
                    <w:szCs w:val="24"/>
                  </w:rPr>
                </w:pPr>
                <w:r>
                  <w:rPr>
                    <w:color w:val="000000"/>
                    <w:szCs w:val="24"/>
                  </w:rPr>
                  <w:t>7) kitas šalims svarbias darbo, ekonomines ir socialines sąlygas;</w:t>
                </w:r>
              </w:p>
              <w:p w14:paraId="78261A7A" w14:textId="77777777">
                <w:pPr>
                  <w:jc w:val="both"/>
                  <w:rPr>
                    <w:color w:val="000000"/>
                    <w:szCs w:val="24"/>
                  </w:rPr>
                </w:pPr>
                <w:r>
                  <w:rPr>
                    <w:color w:val="000000"/>
                    <w:szCs w:val="24"/>
                  </w:rPr>
                  <w:t>8) kolektyvinės sutarties vykdymo tvarką;</w:t>
                </w:r>
              </w:p>
              <w:p w14:paraId="68D2B427" w14:textId="77777777">
                <w:pPr>
                  <w:jc w:val="both"/>
                  <w:rPr>
                    <w:color w:val="000000"/>
                    <w:szCs w:val="24"/>
                  </w:rPr>
                </w:pPr>
                <w:r>
                  <w:rPr>
                    <w:color w:val="000000"/>
                    <w:szCs w:val="24"/>
                  </w:rPr>
                  <w:t>9) kolektyvinės sutarties keitimo, pildymo ir nutraukimo tvarką, galiojimo terminą, vykdymo kontrolės sistemą ir tvarką, kitus organizacinius klausimus, susijusius su kolektyvinės sutarties sudarymu ir vykdymu.</w:t>
                </w:r>
              </w:p>
              <w:p w14:paraId="7656237E" w14:textId="77777777">
                <w:pPr>
                  <w:rPr>
                    <w:color w:val="000000"/>
                    <w:szCs w:val="24"/>
                    <w:lang w:eastAsia="lt-LT"/>
                  </w:rPr>
                </w:pPr>
                <w:r>
                  <w:rPr>
                    <w:i/>
                    <w:iCs/>
                    <w:color w:val="000000"/>
                    <w:szCs w:val="24"/>
                    <w:lang w:eastAsia="lt-LT"/>
                  </w:rPr>
                  <w:t>Straipsnio punkto pakeitimai:</w:t>
                </w:r>
              </w:p>
              <w:p w14:paraId="6B8E4B2D" w14:textId="7C39AFCD">
                <w:pPr>
                  <w:jc w:val="both"/>
                  <w:rPr>
                    <w:b/>
                    <w:szCs w:val="24"/>
                  </w:rPr>
                </w:pPr>
                <w:r>
                  <w:rPr>
                    <w:i/>
                    <w:iCs/>
                    <w:color w:val="000000"/>
                    <w:szCs w:val="24"/>
                    <w:lang w:eastAsia="lt-LT"/>
                  </w:rPr>
                  <w:t>Nr. </w:t>
                </w:r>
                <w:hyperlink r:id="rId6" w:tgtFrame="_parent" w:history="1">
                  <w:r>
                    <w:rPr>
                      <w:i/>
                      <w:iCs/>
                      <w:color w:val="0000FF"/>
                      <w:szCs w:val="24"/>
                      <w:u w:val="single"/>
                      <w:lang w:eastAsia="lt-LT"/>
                    </w:rPr>
                    <w:t>XIII-2944</w:t>
                  </w:r>
                </w:hyperlink>
                <w:r>
                  <w:rPr>
                    <w:i/>
                    <w:iCs/>
                    <w:color w:val="000000"/>
                    <w:szCs w:val="24"/>
                    <w:lang w:eastAsia="lt-LT"/>
                  </w:rPr>
                  <w:t>, 2020-05-21, paskelbta TAR 2020-06-03, i. k. 2020-12135</w:t>
                </w:r>
              </w:p>
            </w:tc>
            <w:tc>
              <w:tcPr>
                <w:tcW w:w="1312" w:type="dxa"/>
              </w:tcPr>
              <w:p w14:paraId="4CE6F7EE" w14:textId="26C49AE7">
                <w:pPr>
                  <w:jc w:val="both"/>
                  <w:rPr>
                    <w:color w:val="000000"/>
                    <w:szCs w:val="24"/>
                  </w:rPr>
                </w:pPr>
                <w:r>
                  <w:rPr>
                    <w:color w:val="000000"/>
                    <w:szCs w:val="24"/>
                  </w:rPr>
                  <w:t>Visiškas</w:t>
                </w:r>
              </w:p>
            </w:tc>
          </w:tr>
        </w:tbl>
        <w:p w14:paraId="5F6AAD51" w14:textId="77777777">
          <w:pPr>
            <w:jc w:val="both"/>
            <w:rPr>
              <w:color w:val="000000"/>
              <w:szCs w:val="24"/>
            </w:rPr>
          </w:pPr>
        </w:p>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D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AABE5"/>
  <w15:docId w15:val="{82CBE85F-06C0-4798-8AC7-4B48DF0623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469165">
      <w:bodyDiv w:val="1"/>
      <w:marLeft w:val="0"/>
      <w:marRight w:val="0"/>
      <w:marTop w:val="0"/>
      <w:marBottom w:val="0"/>
      <w:divBdr>
        <w:top w:val="none" w:sz="0" w:space="0" w:color="auto"/>
        <w:left w:val="none" w:sz="0" w:space="0" w:color="auto"/>
        <w:bottom w:val="none" w:sz="0" w:space="0" w:color="auto"/>
        <w:right w:val="none" w:sz="0" w:space="0" w:color="auto"/>
      </w:divBdr>
      <w:divsChild>
        <w:div w:id="92285407">
          <w:marLeft w:val="0"/>
          <w:marRight w:val="0"/>
          <w:marTop w:val="0"/>
          <w:marBottom w:val="0"/>
          <w:divBdr>
            <w:top w:val="none" w:sz="0" w:space="0" w:color="auto"/>
            <w:left w:val="none" w:sz="0" w:space="0" w:color="auto"/>
            <w:bottom w:val="none" w:sz="0" w:space="0" w:color="auto"/>
            <w:right w:val="none" w:sz="0" w:space="0" w:color="auto"/>
          </w:divBdr>
        </w:div>
        <w:div w:id="1449161512">
          <w:marLeft w:val="0"/>
          <w:marRight w:val="0"/>
          <w:marTop w:val="0"/>
          <w:marBottom w:val="0"/>
          <w:divBdr>
            <w:top w:val="none" w:sz="0" w:space="0" w:color="auto"/>
            <w:left w:val="none" w:sz="0" w:space="0" w:color="auto"/>
            <w:bottom w:val="none" w:sz="0" w:space="0" w:color="auto"/>
            <w:right w:val="none" w:sz="0" w:space="0" w:color="auto"/>
          </w:divBdr>
        </w:div>
        <w:div w:id="1556812621">
          <w:marLeft w:val="0"/>
          <w:marRight w:val="0"/>
          <w:marTop w:val="0"/>
          <w:marBottom w:val="0"/>
          <w:divBdr>
            <w:top w:val="none" w:sz="0" w:space="0" w:color="auto"/>
            <w:left w:val="none" w:sz="0" w:space="0" w:color="auto"/>
            <w:bottom w:val="none" w:sz="0" w:space="0" w:color="auto"/>
            <w:right w:val="none" w:sz="0" w:space="0" w:color="auto"/>
          </w:divBdr>
        </w:div>
      </w:divsChild>
    </w:div>
    <w:div w:id="184708912">
      <w:bodyDiv w:val="1"/>
      <w:marLeft w:val="0"/>
      <w:marRight w:val="0"/>
      <w:marTop w:val="0"/>
      <w:marBottom w:val="0"/>
      <w:divBdr>
        <w:top w:val="none" w:sz="0" w:space="0" w:color="auto"/>
        <w:left w:val="none" w:sz="0" w:space="0" w:color="auto"/>
        <w:bottom w:val="none" w:sz="0" w:space="0" w:color="auto"/>
        <w:right w:val="none" w:sz="0" w:space="0" w:color="auto"/>
      </w:divBdr>
    </w:div>
    <w:div w:id="260183149">
      <w:bodyDiv w:val="1"/>
      <w:marLeft w:val="0"/>
      <w:marRight w:val="0"/>
      <w:marTop w:val="0"/>
      <w:marBottom w:val="0"/>
      <w:divBdr>
        <w:top w:val="none" w:sz="0" w:space="0" w:color="auto"/>
        <w:left w:val="none" w:sz="0" w:space="0" w:color="auto"/>
        <w:bottom w:val="none" w:sz="0" w:space="0" w:color="auto"/>
        <w:right w:val="none" w:sz="0" w:space="0" w:color="auto"/>
      </w:divBdr>
    </w:div>
    <w:div w:id="282156999">
      <w:bodyDiv w:val="1"/>
      <w:marLeft w:val="0"/>
      <w:marRight w:val="0"/>
      <w:marTop w:val="0"/>
      <w:marBottom w:val="0"/>
      <w:divBdr>
        <w:top w:val="none" w:sz="0" w:space="0" w:color="auto"/>
        <w:left w:val="none" w:sz="0" w:space="0" w:color="auto"/>
        <w:bottom w:val="none" w:sz="0" w:space="0" w:color="auto"/>
        <w:right w:val="none" w:sz="0" w:space="0" w:color="auto"/>
      </w:divBdr>
    </w:div>
    <w:div w:id="295257707">
      <w:bodyDiv w:val="1"/>
      <w:marLeft w:val="0"/>
      <w:marRight w:val="0"/>
      <w:marTop w:val="0"/>
      <w:marBottom w:val="0"/>
      <w:divBdr>
        <w:top w:val="none" w:sz="0" w:space="0" w:color="auto"/>
        <w:left w:val="none" w:sz="0" w:space="0" w:color="auto"/>
        <w:bottom w:val="none" w:sz="0" w:space="0" w:color="auto"/>
        <w:right w:val="none" w:sz="0" w:space="0" w:color="auto"/>
      </w:divBdr>
    </w:div>
    <w:div w:id="369115279">
      <w:bodyDiv w:val="1"/>
      <w:marLeft w:val="0"/>
      <w:marRight w:val="0"/>
      <w:marTop w:val="0"/>
      <w:marBottom w:val="0"/>
      <w:divBdr>
        <w:top w:val="none" w:sz="0" w:space="0" w:color="auto"/>
        <w:left w:val="none" w:sz="0" w:space="0" w:color="auto"/>
        <w:bottom w:val="none" w:sz="0" w:space="0" w:color="auto"/>
        <w:right w:val="none" w:sz="0" w:space="0" w:color="auto"/>
      </w:divBdr>
      <w:divsChild>
        <w:div w:id="910653068">
          <w:marLeft w:val="0"/>
          <w:marRight w:val="0"/>
          <w:marTop w:val="0"/>
          <w:marBottom w:val="0"/>
          <w:divBdr>
            <w:top w:val="none" w:sz="0" w:space="0" w:color="auto"/>
            <w:left w:val="none" w:sz="0" w:space="0" w:color="auto"/>
            <w:bottom w:val="none" w:sz="0" w:space="0" w:color="auto"/>
            <w:right w:val="none" w:sz="0" w:space="0" w:color="auto"/>
          </w:divBdr>
        </w:div>
        <w:div w:id="2095087543">
          <w:marLeft w:val="0"/>
          <w:marRight w:val="0"/>
          <w:marTop w:val="0"/>
          <w:marBottom w:val="0"/>
          <w:divBdr>
            <w:top w:val="none" w:sz="0" w:space="0" w:color="auto"/>
            <w:left w:val="none" w:sz="0" w:space="0" w:color="auto"/>
            <w:bottom w:val="none" w:sz="0" w:space="0" w:color="auto"/>
            <w:right w:val="none" w:sz="0" w:space="0" w:color="auto"/>
          </w:divBdr>
        </w:div>
      </w:divsChild>
    </w:div>
    <w:div w:id="391271391">
      <w:bodyDiv w:val="1"/>
      <w:marLeft w:val="0"/>
      <w:marRight w:val="0"/>
      <w:marTop w:val="0"/>
      <w:marBottom w:val="0"/>
      <w:divBdr>
        <w:top w:val="none" w:sz="0" w:space="0" w:color="auto"/>
        <w:left w:val="none" w:sz="0" w:space="0" w:color="auto"/>
        <w:bottom w:val="none" w:sz="0" w:space="0" w:color="auto"/>
        <w:right w:val="none" w:sz="0" w:space="0" w:color="auto"/>
      </w:divBdr>
    </w:div>
    <w:div w:id="406726680">
      <w:bodyDiv w:val="1"/>
      <w:marLeft w:val="0"/>
      <w:marRight w:val="0"/>
      <w:marTop w:val="0"/>
      <w:marBottom w:val="0"/>
      <w:divBdr>
        <w:top w:val="none" w:sz="0" w:space="0" w:color="auto"/>
        <w:left w:val="none" w:sz="0" w:space="0" w:color="auto"/>
        <w:bottom w:val="none" w:sz="0" w:space="0" w:color="auto"/>
        <w:right w:val="none" w:sz="0" w:space="0" w:color="auto"/>
      </w:divBdr>
    </w:div>
    <w:div w:id="498086382">
      <w:bodyDiv w:val="1"/>
      <w:marLeft w:val="0"/>
      <w:marRight w:val="0"/>
      <w:marTop w:val="0"/>
      <w:marBottom w:val="0"/>
      <w:divBdr>
        <w:top w:val="none" w:sz="0" w:space="0" w:color="auto"/>
        <w:left w:val="none" w:sz="0" w:space="0" w:color="auto"/>
        <w:bottom w:val="none" w:sz="0" w:space="0" w:color="auto"/>
        <w:right w:val="none" w:sz="0" w:space="0" w:color="auto"/>
      </w:divBdr>
    </w:div>
    <w:div w:id="509684942">
      <w:bodyDiv w:val="1"/>
      <w:marLeft w:val="0"/>
      <w:marRight w:val="0"/>
      <w:marTop w:val="0"/>
      <w:marBottom w:val="0"/>
      <w:divBdr>
        <w:top w:val="none" w:sz="0" w:space="0" w:color="auto"/>
        <w:left w:val="none" w:sz="0" w:space="0" w:color="auto"/>
        <w:bottom w:val="none" w:sz="0" w:space="0" w:color="auto"/>
        <w:right w:val="none" w:sz="0" w:space="0" w:color="auto"/>
      </w:divBdr>
    </w:div>
    <w:div w:id="670723196">
      <w:bodyDiv w:val="1"/>
      <w:marLeft w:val="0"/>
      <w:marRight w:val="0"/>
      <w:marTop w:val="0"/>
      <w:marBottom w:val="0"/>
      <w:divBdr>
        <w:top w:val="none" w:sz="0" w:space="0" w:color="auto"/>
        <w:left w:val="none" w:sz="0" w:space="0" w:color="auto"/>
        <w:bottom w:val="none" w:sz="0" w:space="0" w:color="auto"/>
        <w:right w:val="none" w:sz="0" w:space="0" w:color="auto"/>
      </w:divBdr>
      <w:divsChild>
        <w:div w:id="588855945">
          <w:marLeft w:val="0"/>
          <w:marRight w:val="0"/>
          <w:marTop w:val="0"/>
          <w:marBottom w:val="0"/>
          <w:divBdr>
            <w:top w:val="none" w:sz="0" w:space="0" w:color="auto"/>
            <w:left w:val="none" w:sz="0" w:space="0" w:color="auto"/>
            <w:bottom w:val="none" w:sz="0" w:space="0" w:color="auto"/>
            <w:right w:val="none" w:sz="0" w:space="0" w:color="auto"/>
          </w:divBdr>
          <w:divsChild>
            <w:div w:id="90708331">
              <w:marLeft w:val="0"/>
              <w:marRight w:val="0"/>
              <w:marTop w:val="0"/>
              <w:marBottom w:val="0"/>
              <w:divBdr>
                <w:top w:val="none" w:sz="0" w:space="0" w:color="auto"/>
                <w:left w:val="none" w:sz="0" w:space="0" w:color="auto"/>
                <w:bottom w:val="none" w:sz="0" w:space="0" w:color="auto"/>
                <w:right w:val="none" w:sz="0" w:space="0" w:color="auto"/>
              </w:divBdr>
            </w:div>
            <w:div w:id="326831476">
              <w:marLeft w:val="0"/>
              <w:marRight w:val="0"/>
              <w:marTop w:val="0"/>
              <w:marBottom w:val="0"/>
              <w:divBdr>
                <w:top w:val="none" w:sz="0" w:space="0" w:color="auto"/>
                <w:left w:val="none" w:sz="0" w:space="0" w:color="auto"/>
                <w:bottom w:val="none" w:sz="0" w:space="0" w:color="auto"/>
                <w:right w:val="none" w:sz="0" w:space="0" w:color="auto"/>
              </w:divBdr>
            </w:div>
            <w:div w:id="817261781">
              <w:marLeft w:val="0"/>
              <w:marRight w:val="0"/>
              <w:marTop w:val="0"/>
              <w:marBottom w:val="0"/>
              <w:divBdr>
                <w:top w:val="none" w:sz="0" w:space="0" w:color="auto"/>
                <w:left w:val="none" w:sz="0" w:space="0" w:color="auto"/>
                <w:bottom w:val="none" w:sz="0" w:space="0" w:color="auto"/>
                <w:right w:val="none" w:sz="0" w:space="0" w:color="auto"/>
              </w:divBdr>
            </w:div>
            <w:div w:id="1003510021">
              <w:marLeft w:val="0"/>
              <w:marRight w:val="0"/>
              <w:marTop w:val="0"/>
              <w:marBottom w:val="0"/>
              <w:divBdr>
                <w:top w:val="none" w:sz="0" w:space="0" w:color="auto"/>
                <w:left w:val="none" w:sz="0" w:space="0" w:color="auto"/>
                <w:bottom w:val="none" w:sz="0" w:space="0" w:color="auto"/>
                <w:right w:val="none" w:sz="0" w:space="0" w:color="auto"/>
              </w:divBdr>
            </w:div>
            <w:div w:id="1065838728">
              <w:marLeft w:val="0"/>
              <w:marRight w:val="0"/>
              <w:marTop w:val="0"/>
              <w:marBottom w:val="0"/>
              <w:divBdr>
                <w:top w:val="none" w:sz="0" w:space="0" w:color="auto"/>
                <w:left w:val="none" w:sz="0" w:space="0" w:color="auto"/>
                <w:bottom w:val="none" w:sz="0" w:space="0" w:color="auto"/>
                <w:right w:val="none" w:sz="0" w:space="0" w:color="auto"/>
              </w:divBdr>
            </w:div>
            <w:div w:id="1366250071">
              <w:marLeft w:val="0"/>
              <w:marRight w:val="0"/>
              <w:marTop w:val="0"/>
              <w:marBottom w:val="0"/>
              <w:divBdr>
                <w:top w:val="none" w:sz="0" w:space="0" w:color="auto"/>
                <w:left w:val="none" w:sz="0" w:space="0" w:color="auto"/>
                <w:bottom w:val="none" w:sz="0" w:space="0" w:color="auto"/>
                <w:right w:val="none" w:sz="0" w:space="0" w:color="auto"/>
              </w:divBdr>
            </w:div>
            <w:div w:id="1485580915">
              <w:marLeft w:val="0"/>
              <w:marRight w:val="0"/>
              <w:marTop w:val="0"/>
              <w:marBottom w:val="0"/>
              <w:divBdr>
                <w:top w:val="none" w:sz="0" w:space="0" w:color="auto"/>
                <w:left w:val="none" w:sz="0" w:space="0" w:color="auto"/>
                <w:bottom w:val="none" w:sz="0" w:space="0" w:color="auto"/>
                <w:right w:val="none" w:sz="0" w:space="0" w:color="auto"/>
              </w:divBdr>
            </w:div>
            <w:div w:id="1956523820">
              <w:marLeft w:val="0"/>
              <w:marRight w:val="0"/>
              <w:marTop w:val="0"/>
              <w:marBottom w:val="0"/>
              <w:divBdr>
                <w:top w:val="none" w:sz="0" w:space="0" w:color="auto"/>
                <w:left w:val="none" w:sz="0" w:space="0" w:color="auto"/>
                <w:bottom w:val="none" w:sz="0" w:space="0" w:color="auto"/>
                <w:right w:val="none" w:sz="0" w:space="0" w:color="auto"/>
              </w:divBdr>
            </w:div>
            <w:div w:id="1974410769">
              <w:marLeft w:val="0"/>
              <w:marRight w:val="0"/>
              <w:marTop w:val="0"/>
              <w:marBottom w:val="0"/>
              <w:divBdr>
                <w:top w:val="none" w:sz="0" w:space="0" w:color="auto"/>
                <w:left w:val="none" w:sz="0" w:space="0" w:color="auto"/>
                <w:bottom w:val="none" w:sz="0" w:space="0" w:color="auto"/>
                <w:right w:val="none" w:sz="0" w:space="0" w:color="auto"/>
              </w:divBdr>
            </w:div>
          </w:divsChild>
        </w:div>
        <w:div w:id="2007975400">
          <w:marLeft w:val="0"/>
          <w:marRight w:val="0"/>
          <w:marTop w:val="0"/>
          <w:marBottom w:val="0"/>
          <w:divBdr>
            <w:top w:val="none" w:sz="0" w:space="0" w:color="auto"/>
            <w:left w:val="none" w:sz="0" w:space="0" w:color="auto"/>
            <w:bottom w:val="none" w:sz="0" w:space="0" w:color="auto"/>
            <w:right w:val="none" w:sz="0" w:space="0" w:color="auto"/>
          </w:divBdr>
          <w:divsChild>
            <w:div w:id="433522541">
              <w:marLeft w:val="0"/>
              <w:marRight w:val="0"/>
              <w:marTop w:val="0"/>
              <w:marBottom w:val="0"/>
              <w:divBdr>
                <w:top w:val="none" w:sz="0" w:space="0" w:color="auto"/>
                <w:left w:val="none" w:sz="0" w:space="0" w:color="auto"/>
                <w:bottom w:val="none" w:sz="0" w:space="0" w:color="auto"/>
                <w:right w:val="none" w:sz="0" w:space="0" w:color="auto"/>
              </w:divBdr>
            </w:div>
            <w:div w:id="557016214">
              <w:marLeft w:val="0"/>
              <w:marRight w:val="0"/>
              <w:marTop w:val="0"/>
              <w:marBottom w:val="0"/>
              <w:divBdr>
                <w:top w:val="none" w:sz="0" w:space="0" w:color="auto"/>
                <w:left w:val="none" w:sz="0" w:space="0" w:color="auto"/>
                <w:bottom w:val="none" w:sz="0" w:space="0" w:color="auto"/>
                <w:right w:val="none" w:sz="0" w:space="0" w:color="auto"/>
              </w:divBdr>
            </w:div>
            <w:div w:id="1395592214">
              <w:marLeft w:val="0"/>
              <w:marRight w:val="0"/>
              <w:marTop w:val="0"/>
              <w:marBottom w:val="0"/>
              <w:divBdr>
                <w:top w:val="none" w:sz="0" w:space="0" w:color="auto"/>
                <w:left w:val="none" w:sz="0" w:space="0" w:color="auto"/>
                <w:bottom w:val="none" w:sz="0" w:space="0" w:color="auto"/>
                <w:right w:val="none" w:sz="0" w:space="0" w:color="auto"/>
              </w:divBdr>
            </w:div>
            <w:div w:id="1745759605">
              <w:marLeft w:val="0"/>
              <w:marRight w:val="0"/>
              <w:marTop w:val="0"/>
              <w:marBottom w:val="0"/>
              <w:divBdr>
                <w:top w:val="none" w:sz="0" w:space="0" w:color="auto"/>
                <w:left w:val="none" w:sz="0" w:space="0" w:color="auto"/>
                <w:bottom w:val="none" w:sz="0" w:space="0" w:color="auto"/>
                <w:right w:val="none" w:sz="0" w:space="0" w:color="auto"/>
              </w:divBdr>
            </w:div>
            <w:div w:id="1998071644">
              <w:marLeft w:val="0"/>
              <w:marRight w:val="0"/>
              <w:marTop w:val="0"/>
              <w:marBottom w:val="0"/>
              <w:divBdr>
                <w:top w:val="none" w:sz="0" w:space="0" w:color="auto"/>
                <w:left w:val="none" w:sz="0" w:space="0" w:color="auto"/>
                <w:bottom w:val="none" w:sz="0" w:space="0" w:color="auto"/>
                <w:right w:val="none" w:sz="0" w:space="0" w:color="auto"/>
              </w:divBdr>
            </w:div>
            <w:div w:id="205464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202451">
      <w:bodyDiv w:val="1"/>
      <w:marLeft w:val="0"/>
      <w:marRight w:val="0"/>
      <w:marTop w:val="0"/>
      <w:marBottom w:val="0"/>
      <w:divBdr>
        <w:top w:val="none" w:sz="0" w:space="0" w:color="auto"/>
        <w:left w:val="none" w:sz="0" w:space="0" w:color="auto"/>
        <w:bottom w:val="none" w:sz="0" w:space="0" w:color="auto"/>
        <w:right w:val="none" w:sz="0" w:space="0" w:color="auto"/>
      </w:divBdr>
      <w:divsChild>
        <w:div w:id="955791128">
          <w:marLeft w:val="0"/>
          <w:marRight w:val="0"/>
          <w:marTop w:val="0"/>
          <w:marBottom w:val="0"/>
          <w:divBdr>
            <w:top w:val="none" w:sz="0" w:space="0" w:color="auto"/>
            <w:left w:val="none" w:sz="0" w:space="0" w:color="auto"/>
            <w:bottom w:val="none" w:sz="0" w:space="0" w:color="auto"/>
            <w:right w:val="none" w:sz="0" w:space="0" w:color="auto"/>
          </w:divBdr>
        </w:div>
        <w:div w:id="1451171291">
          <w:marLeft w:val="0"/>
          <w:marRight w:val="0"/>
          <w:marTop w:val="0"/>
          <w:marBottom w:val="0"/>
          <w:divBdr>
            <w:top w:val="none" w:sz="0" w:space="0" w:color="auto"/>
            <w:left w:val="none" w:sz="0" w:space="0" w:color="auto"/>
            <w:bottom w:val="none" w:sz="0" w:space="0" w:color="auto"/>
            <w:right w:val="none" w:sz="0" w:space="0" w:color="auto"/>
          </w:divBdr>
        </w:div>
        <w:div w:id="1796487357">
          <w:marLeft w:val="0"/>
          <w:marRight w:val="0"/>
          <w:marTop w:val="0"/>
          <w:marBottom w:val="0"/>
          <w:divBdr>
            <w:top w:val="none" w:sz="0" w:space="0" w:color="auto"/>
            <w:left w:val="none" w:sz="0" w:space="0" w:color="auto"/>
            <w:bottom w:val="none" w:sz="0" w:space="0" w:color="auto"/>
            <w:right w:val="none" w:sz="0" w:space="0" w:color="auto"/>
          </w:divBdr>
        </w:div>
      </w:divsChild>
    </w:div>
    <w:div w:id="752436354">
      <w:bodyDiv w:val="1"/>
      <w:marLeft w:val="0"/>
      <w:marRight w:val="0"/>
      <w:marTop w:val="0"/>
      <w:marBottom w:val="0"/>
      <w:divBdr>
        <w:top w:val="none" w:sz="0" w:space="0" w:color="auto"/>
        <w:left w:val="none" w:sz="0" w:space="0" w:color="auto"/>
        <w:bottom w:val="none" w:sz="0" w:space="0" w:color="auto"/>
        <w:right w:val="none" w:sz="0" w:space="0" w:color="auto"/>
      </w:divBdr>
    </w:div>
    <w:div w:id="763769122">
      <w:bodyDiv w:val="1"/>
      <w:marLeft w:val="0"/>
      <w:marRight w:val="0"/>
      <w:marTop w:val="0"/>
      <w:marBottom w:val="0"/>
      <w:divBdr>
        <w:top w:val="none" w:sz="0" w:space="0" w:color="auto"/>
        <w:left w:val="none" w:sz="0" w:space="0" w:color="auto"/>
        <w:bottom w:val="none" w:sz="0" w:space="0" w:color="auto"/>
        <w:right w:val="none" w:sz="0" w:space="0" w:color="auto"/>
      </w:divBdr>
    </w:div>
    <w:div w:id="767313831">
      <w:bodyDiv w:val="1"/>
      <w:marLeft w:val="0"/>
      <w:marRight w:val="0"/>
      <w:marTop w:val="0"/>
      <w:marBottom w:val="0"/>
      <w:divBdr>
        <w:top w:val="none" w:sz="0" w:space="0" w:color="auto"/>
        <w:left w:val="none" w:sz="0" w:space="0" w:color="auto"/>
        <w:bottom w:val="none" w:sz="0" w:space="0" w:color="auto"/>
        <w:right w:val="none" w:sz="0" w:space="0" w:color="auto"/>
      </w:divBdr>
      <w:divsChild>
        <w:div w:id="1580599156">
          <w:marLeft w:val="0"/>
          <w:marRight w:val="0"/>
          <w:marTop w:val="0"/>
          <w:marBottom w:val="0"/>
          <w:divBdr>
            <w:top w:val="none" w:sz="0" w:space="0" w:color="auto"/>
            <w:left w:val="none" w:sz="0" w:space="0" w:color="auto"/>
            <w:bottom w:val="none" w:sz="0" w:space="0" w:color="auto"/>
            <w:right w:val="none" w:sz="0" w:space="0" w:color="auto"/>
          </w:divBdr>
        </w:div>
        <w:div w:id="2115901283">
          <w:marLeft w:val="0"/>
          <w:marRight w:val="0"/>
          <w:marTop w:val="0"/>
          <w:marBottom w:val="0"/>
          <w:divBdr>
            <w:top w:val="none" w:sz="0" w:space="0" w:color="auto"/>
            <w:left w:val="none" w:sz="0" w:space="0" w:color="auto"/>
            <w:bottom w:val="none" w:sz="0" w:space="0" w:color="auto"/>
            <w:right w:val="none" w:sz="0" w:space="0" w:color="auto"/>
          </w:divBdr>
        </w:div>
      </w:divsChild>
    </w:div>
    <w:div w:id="795636389">
      <w:bodyDiv w:val="1"/>
      <w:marLeft w:val="0"/>
      <w:marRight w:val="0"/>
      <w:marTop w:val="0"/>
      <w:marBottom w:val="0"/>
      <w:divBdr>
        <w:top w:val="none" w:sz="0" w:space="0" w:color="auto"/>
        <w:left w:val="none" w:sz="0" w:space="0" w:color="auto"/>
        <w:bottom w:val="none" w:sz="0" w:space="0" w:color="auto"/>
        <w:right w:val="none" w:sz="0" w:space="0" w:color="auto"/>
      </w:divBdr>
    </w:div>
    <w:div w:id="829909662">
      <w:bodyDiv w:val="1"/>
      <w:marLeft w:val="0"/>
      <w:marRight w:val="0"/>
      <w:marTop w:val="0"/>
      <w:marBottom w:val="0"/>
      <w:divBdr>
        <w:top w:val="none" w:sz="0" w:space="0" w:color="auto"/>
        <w:left w:val="none" w:sz="0" w:space="0" w:color="auto"/>
        <w:bottom w:val="none" w:sz="0" w:space="0" w:color="auto"/>
        <w:right w:val="none" w:sz="0" w:space="0" w:color="auto"/>
      </w:divBdr>
    </w:div>
    <w:div w:id="837965824">
      <w:bodyDiv w:val="1"/>
      <w:marLeft w:val="0"/>
      <w:marRight w:val="0"/>
      <w:marTop w:val="0"/>
      <w:marBottom w:val="0"/>
      <w:divBdr>
        <w:top w:val="none" w:sz="0" w:space="0" w:color="auto"/>
        <w:left w:val="none" w:sz="0" w:space="0" w:color="auto"/>
        <w:bottom w:val="none" w:sz="0" w:space="0" w:color="auto"/>
        <w:right w:val="none" w:sz="0" w:space="0" w:color="auto"/>
      </w:divBdr>
      <w:divsChild>
        <w:div w:id="46341874">
          <w:marLeft w:val="0"/>
          <w:marRight w:val="0"/>
          <w:marTop w:val="0"/>
          <w:marBottom w:val="0"/>
          <w:divBdr>
            <w:top w:val="none" w:sz="0" w:space="0" w:color="auto"/>
            <w:left w:val="none" w:sz="0" w:space="0" w:color="auto"/>
            <w:bottom w:val="none" w:sz="0" w:space="0" w:color="auto"/>
            <w:right w:val="none" w:sz="0" w:space="0" w:color="auto"/>
          </w:divBdr>
        </w:div>
        <w:div w:id="524290494">
          <w:marLeft w:val="0"/>
          <w:marRight w:val="0"/>
          <w:marTop w:val="0"/>
          <w:marBottom w:val="0"/>
          <w:divBdr>
            <w:top w:val="none" w:sz="0" w:space="0" w:color="auto"/>
            <w:left w:val="none" w:sz="0" w:space="0" w:color="auto"/>
            <w:bottom w:val="none" w:sz="0" w:space="0" w:color="auto"/>
            <w:right w:val="none" w:sz="0" w:space="0" w:color="auto"/>
          </w:divBdr>
        </w:div>
        <w:div w:id="1385517562">
          <w:marLeft w:val="0"/>
          <w:marRight w:val="0"/>
          <w:marTop w:val="0"/>
          <w:marBottom w:val="0"/>
          <w:divBdr>
            <w:top w:val="none" w:sz="0" w:space="0" w:color="auto"/>
            <w:left w:val="none" w:sz="0" w:space="0" w:color="auto"/>
            <w:bottom w:val="none" w:sz="0" w:space="0" w:color="auto"/>
            <w:right w:val="none" w:sz="0" w:space="0" w:color="auto"/>
          </w:divBdr>
        </w:div>
        <w:div w:id="1840001298">
          <w:marLeft w:val="0"/>
          <w:marRight w:val="0"/>
          <w:marTop w:val="0"/>
          <w:marBottom w:val="0"/>
          <w:divBdr>
            <w:top w:val="none" w:sz="0" w:space="0" w:color="auto"/>
            <w:left w:val="none" w:sz="0" w:space="0" w:color="auto"/>
            <w:bottom w:val="none" w:sz="0" w:space="0" w:color="auto"/>
            <w:right w:val="none" w:sz="0" w:space="0" w:color="auto"/>
          </w:divBdr>
        </w:div>
      </w:divsChild>
    </w:div>
    <w:div w:id="924605710">
      <w:bodyDiv w:val="1"/>
      <w:marLeft w:val="0"/>
      <w:marRight w:val="0"/>
      <w:marTop w:val="0"/>
      <w:marBottom w:val="0"/>
      <w:divBdr>
        <w:top w:val="none" w:sz="0" w:space="0" w:color="auto"/>
        <w:left w:val="none" w:sz="0" w:space="0" w:color="auto"/>
        <w:bottom w:val="none" w:sz="0" w:space="0" w:color="auto"/>
        <w:right w:val="none" w:sz="0" w:space="0" w:color="auto"/>
      </w:divBdr>
      <w:divsChild>
        <w:div w:id="344358092">
          <w:marLeft w:val="0"/>
          <w:marRight w:val="0"/>
          <w:marTop w:val="0"/>
          <w:marBottom w:val="0"/>
          <w:divBdr>
            <w:top w:val="none" w:sz="0" w:space="0" w:color="auto"/>
            <w:left w:val="none" w:sz="0" w:space="0" w:color="auto"/>
            <w:bottom w:val="none" w:sz="0" w:space="0" w:color="auto"/>
            <w:right w:val="none" w:sz="0" w:space="0" w:color="auto"/>
          </w:divBdr>
        </w:div>
        <w:div w:id="1599367985">
          <w:marLeft w:val="0"/>
          <w:marRight w:val="0"/>
          <w:marTop w:val="0"/>
          <w:marBottom w:val="0"/>
          <w:divBdr>
            <w:top w:val="none" w:sz="0" w:space="0" w:color="auto"/>
            <w:left w:val="none" w:sz="0" w:space="0" w:color="auto"/>
            <w:bottom w:val="none" w:sz="0" w:space="0" w:color="auto"/>
            <w:right w:val="none" w:sz="0" w:space="0" w:color="auto"/>
          </w:divBdr>
          <w:divsChild>
            <w:div w:id="1434471971">
              <w:marLeft w:val="0"/>
              <w:marRight w:val="0"/>
              <w:marTop w:val="0"/>
              <w:marBottom w:val="0"/>
              <w:divBdr>
                <w:top w:val="none" w:sz="0" w:space="0" w:color="auto"/>
                <w:left w:val="none" w:sz="0" w:space="0" w:color="auto"/>
                <w:bottom w:val="none" w:sz="0" w:space="0" w:color="auto"/>
                <w:right w:val="none" w:sz="0" w:space="0" w:color="auto"/>
              </w:divBdr>
            </w:div>
            <w:div w:id="586499048">
              <w:marLeft w:val="0"/>
              <w:marRight w:val="0"/>
              <w:marTop w:val="0"/>
              <w:marBottom w:val="0"/>
              <w:divBdr>
                <w:top w:val="none" w:sz="0" w:space="0" w:color="auto"/>
                <w:left w:val="none" w:sz="0" w:space="0" w:color="auto"/>
                <w:bottom w:val="none" w:sz="0" w:space="0" w:color="auto"/>
                <w:right w:val="none" w:sz="0" w:space="0" w:color="auto"/>
              </w:divBdr>
            </w:div>
            <w:div w:id="881553645">
              <w:marLeft w:val="0"/>
              <w:marRight w:val="0"/>
              <w:marTop w:val="0"/>
              <w:marBottom w:val="0"/>
              <w:divBdr>
                <w:top w:val="none" w:sz="0" w:space="0" w:color="auto"/>
                <w:left w:val="none" w:sz="0" w:space="0" w:color="auto"/>
                <w:bottom w:val="none" w:sz="0" w:space="0" w:color="auto"/>
                <w:right w:val="none" w:sz="0" w:space="0" w:color="auto"/>
              </w:divBdr>
            </w:div>
          </w:divsChild>
        </w:div>
        <w:div w:id="1667704834">
          <w:marLeft w:val="0"/>
          <w:marRight w:val="0"/>
          <w:marTop w:val="0"/>
          <w:marBottom w:val="0"/>
          <w:divBdr>
            <w:top w:val="none" w:sz="0" w:space="0" w:color="auto"/>
            <w:left w:val="none" w:sz="0" w:space="0" w:color="auto"/>
            <w:bottom w:val="none" w:sz="0" w:space="0" w:color="auto"/>
            <w:right w:val="none" w:sz="0" w:space="0" w:color="auto"/>
          </w:divBdr>
        </w:div>
        <w:div w:id="1944460551">
          <w:marLeft w:val="0"/>
          <w:marRight w:val="0"/>
          <w:marTop w:val="0"/>
          <w:marBottom w:val="0"/>
          <w:divBdr>
            <w:top w:val="none" w:sz="0" w:space="0" w:color="auto"/>
            <w:left w:val="none" w:sz="0" w:space="0" w:color="auto"/>
            <w:bottom w:val="none" w:sz="0" w:space="0" w:color="auto"/>
            <w:right w:val="none" w:sz="0" w:space="0" w:color="auto"/>
          </w:divBdr>
        </w:div>
        <w:div w:id="351540038">
          <w:marLeft w:val="0"/>
          <w:marRight w:val="0"/>
          <w:marTop w:val="0"/>
          <w:marBottom w:val="0"/>
          <w:divBdr>
            <w:top w:val="none" w:sz="0" w:space="0" w:color="auto"/>
            <w:left w:val="none" w:sz="0" w:space="0" w:color="auto"/>
            <w:bottom w:val="none" w:sz="0" w:space="0" w:color="auto"/>
            <w:right w:val="none" w:sz="0" w:space="0" w:color="auto"/>
          </w:divBdr>
        </w:div>
        <w:div w:id="1755740663">
          <w:marLeft w:val="0"/>
          <w:marRight w:val="0"/>
          <w:marTop w:val="0"/>
          <w:marBottom w:val="0"/>
          <w:divBdr>
            <w:top w:val="none" w:sz="0" w:space="0" w:color="auto"/>
            <w:left w:val="none" w:sz="0" w:space="0" w:color="auto"/>
            <w:bottom w:val="none" w:sz="0" w:space="0" w:color="auto"/>
            <w:right w:val="none" w:sz="0" w:space="0" w:color="auto"/>
          </w:divBdr>
        </w:div>
        <w:div w:id="717049352">
          <w:marLeft w:val="0"/>
          <w:marRight w:val="0"/>
          <w:marTop w:val="0"/>
          <w:marBottom w:val="0"/>
          <w:divBdr>
            <w:top w:val="none" w:sz="0" w:space="0" w:color="auto"/>
            <w:left w:val="none" w:sz="0" w:space="0" w:color="auto"/>
            <w:bottom w:val="none" w:sz="0" w:space="0" w:color="auto"/>
            <w:right w:val="none" w:sz="0" w:space="0" w:color="auto"/>
          </w:divBdr>
        </w:div>
        <w:div w:id="812066230">
          <w:marLeft w:val="0"/>
          <w:marRight w:val="0"/>
          <w:marTop w:val="0"/>
          <w:marBottom w:val="0"/>
          <w:divBdr>
            <w:top w:val="none" w:sz="0" w:space="0" w:color="auto"/>
            <w:left w:val="none" w:sz="0" w:space="0" w:color="auto"/>
            <w:bottom w:val="none" w:sz="0" w:space="0" w:color="auto"/>
            <w:right w:val="none" w:sz="0" w:space="0" w:color="auto"/>
          </w:divBdr>
        </w:div>
        <w:div w:id="1070495391">
          <w:marLeft w:val="0"/>
          <w:marRight w:val="0"/>
          <w:marTop w:val="0"/>
          <w:marBottom w:val="0"/>
          <w:divBdr>
            <w:top w:val="none" w:sz="0" w:space="0" w:color="auto"/>
            <w:left w:val="none" w:sz="0" w:space="0" w:color="auto"/>
            <w:bottom w:val="none" w:sz="0" w:space="0" w:color="auto"/>
            <w:right w:val="none" w:sz="0" w:space="0" w:color="auto"/>
          </w:divBdr>
        </w:div>
        <w:div w:id="1278373897">
          <w:marLeft w:val="0"/>
          <w:marRight w:val="0"/>
          <w:marTop w:val="0"/>
          <w:marBottom w:val="0"/>
          <w:divBdr>
            <w:top w:val="none" w:sz="0" w:space="0" w:color="auto"/>
            <w:left w:val="none" w:sz="0" w:space="0" w:color="auto"/>
            <w:bottom w:val="none" w:sz="0" w:space="0" w:color="auto"/>
            <w:right w:val="none" w:sz="0" w:space="0" w:color="auto"/>
          </w:divBdr>
        </w:div>
        <w:div w:id="640696452">
          <w:marLeft w:val="0"/>
          <w:marRight w:val="0"/>
          <w:marTop w:val="0"/>
          <w:marBottom w:val="0"/>
          <w:divBdr>
            <w:top w:val="none" w:sz="0" w:space="0" w:color="auto"/>
            <w:left w:val="none" w:sz="0" w:space="0" w:color="auto"/>
            <w:bottom w:val="none" w:sz="0" w:space="0" w:color="auto"/>
            <w:right w:val="none" w:sz="0" w:space="0" w:color="auto"/>
          </w:divBdr>
        </w:div>
        <w:div w:id="588393649">
          <w:marLeft w:val="0"/>
          <w:marRight w:val="0"/>
          <w:marTop w:val="0"/>
          <w:marBottom w:val="0"/>
          <w:divBdr>
            <w:top w:val="none" w:sz="0" w:space="0" w:color="auto"/>
            <w:left w:val="none" w:sz="0" w:space="0" w:color="auto"/>
            <w:bottom w:val="none" w:sz="0" w:space="0" w:color="auto"/>
            <w:right w:val="none" w:sz="0" w:space="0" w:color="auto"/>
          </w:divBdr>
        </w:div>
        <w:div w:id="551430990">
          <w:marLeft w:val="0"/>
          <w:marRight w:val="0"/>
          <w:marTop w:val="0"/>
          <w:marBottom w:val="0"/>
          <w:divBdr>
            <w:top w:val="none" w:sz="0" w:space="0" w:color="auto"/>
            <w:left w:val="none" w:sz="0" w:space="0" w:color="auto"/>
            <w:bottom w:val="none" w:sz="0" w:space="0" w:color="auto"/>
            <w:right w:val="none" w:sz="0" w:space="0" w:color="auto"/>
          </w:divBdr>
        </w:div>
        <w:div w:id="1546871754">
          <w:marLeft w:val="0"/>
          <w:marRight w:val="0"/>
          <w:marTop w:val="0"/>
          <w:marBottom w:val="0"/>
          <w:divBdr>
            <w:top w:val="none" w:sz="0" w:space="0" w:color="auto"/>
            <w:left w:val="none" w:sz="0" w:space="0" w:color="auto"/>
            <w:bottom w:val="none" w:sz="0" w:space="0" w:color="auto"/>
            <w:right w:val="none" w:sz="0" w:space="0" w:color="auto"/>
          </w:divBdr>
        </w:div>
        <w:div w:id="1482229279">
          <w:marLeft w:val="0"/>
          <w:marRight w:val="0"/>
          <w:marTop w:val="0"/>
          <w:marBottom w:val="0"/>
          <w:divBdr>
            <w:top w:val="none" w:sz="0" w:space="0" w:color="auto"/>
            <w:left w:val="none" w:sz="0" w:space="0" w:color="auto"/>
            <w:bottom w:val="none" w:sz="0" w:space="0" w:color="auto"/>
            <w:right w:val="none" w:sz="0" w:space="0" w:color="auto"/>
          </w:divBdr>
        </w:div>
        <w:div w:id="1407924434">
          <w:marLeft w:val="0"/>
          <w:marRight w:val="0"/>
          <w:marTop w:val="0"/>
          <w:marBottom w:val="0"/>
          <w:divBdr>
            <w:top w:val="none" w:sz="0" w:space="0" w:color="auto"/>
            <w:left w:val="none" w:sz="0" w:space="0" w:color="auto"/>
            <w:bottom w:val="none" w:sz="0" w:space="0" w:color="auto"/>
            <w:right w:val="none" w:sz="0" w:space="0" w:color="auto"/>
          </w:divBdr>
        </w:div>
        <w:div w:id="1759522980">
          <w:marLeft w:val="0"/>
          <w:marRight w:val="0"/>
          <w:marTop w:val="0"/>
          <w:marBottom w:val="0"/>
          <w:divBdr>
            <w:top w:val="none" w:sz="0" w:space="0" w:color="auto"/>
            <w:left w:val="none" w:sz="0" w:space="0" w:color="auto"/>
            <w:bottom w:val="none" w:sz="0" w:space="0" w:color="auto"/>
            <w:right w:val="none" w:sz="0" w:space="0" w:color="auto"/>
          </w:divBdr>
        </w:div>
        <w:div w:id="116031221">
          <w:marLeft w:val="0"/>
          <w:marRight w:val="0"/>
          <w:marTop w:val="0"/>
          <w:marBottom w:val="0"/>
          <w:divBdr>
            <w:top w:val="none" w:sz="0" w:space="0" w:color="auto"/>
            <w:left w:val="none" w:sz="0" w:space="0" w:color="auto"/>
            <w:bottom w:val="none" w:sz="0" w:space="0" w:color="auto"/>
            <w:right w:val="none" w:sz="0" w:space="0" w:color="auto"/>
          </w:divBdr>
        </w:div>
        <w:div w:id="786661143">
          <w:marLeft w:val="0"/>
          <w:marRight w:val="0"/>
          <w:marTop w:val="0"/>
          <w:marBottom w:val="0"/>
          <w:divBdr>
            <w:top w:val="none" w:sz="0" w:space="0" w:color="auto"/>
            <w:left w:val="none" w:sz="0" w:space="0" w:color="auto"/>
            <w:bottom w:val="none" w:sz="0" w:space="0" w:color="auto"/>
            <w:right w:val="none" w:sz="0" w:space="0" w:color="auto"/>
          </w:divBdr>
        </w:div>
      </w:divsChild>
    </w:div>
    <w:div w:id="1214195517">
      <w:bodyDiv w:val="1"/>
      <w:marLeft w:val="0"/>
      <w:marRight w:val="0"/>
      <w:marTop w:val="0"/>
      <w:marBottom w:val="0"/>
      <w:divBdr>
        <w:top w:val="none" w:sz="0" w:space="0" w:color="auto"/>
        <w:left w:val="none" w:sz="0" w:space="0" w:color="auto"/>
        <w:bottom w:val="none" w:sz="0" w:space="0" w:color="auto"/>
        <w:right w:val="none" w:sz="0" w:space="0" w:color="auto"/>
      </w:divBdr>
    </w:div>
    <w:div w:id="1323124716">
      <w:bodyDiv w:val="1"/>
      <w:marLeft w:val="0"/>
      <w:marRight w:val="0"/>
      <w:marTop w:val="0"/>
      <w:marBottom w:val="0"/>
      <w:divBdr>
        <w:top w:val="none" w:sz="0" w:space="0" w:color="auto"/>
        <w:left w:val="none" w:sz="0" w:space="0" w:color="auto"/>
        <w:bottom w:val="none" w:sz="0" w:space="0" w:color="auto"/>
        <w:right w:val="none" w:sz="0" w:space="0" w:color="auto"/>
      </w:divBdr>
      <w:divsChild>
        <w:div w:id="719062872">
          <w:marLeft w:val="0"/>
          <w:marRight w:val="0"/>
          <w:marTop w:val="0"/>
          <w:marBottom w:val="0"/>
          <w:divBdr>
            <w:top w:val="none" w:sz="0" w:space="0" w:color="auto"/>
            <w:left w:val="none" w:sz="0" w:space="0" w:color="auto"/>
            <w:bottom w:val="none" w:sz="0" w:space="0" w:color="auto"/>
            <w:right w:val="none" w:sz="0" w:space="0" w:color="auto"/>
          </w:divBdr>
        </w:div>
        <w:div w:id="958488393">
          <w:marLeft w:val="0"/>
          <w:marRight w:val="0"/>
          <w:marTop w:val="0"/>
          <w:marBottom w:val="0"/>
          <w:divBdr>
            <w:top w:val="none" w:sz="0" w:space="0" w:color="auto"/>
            <w:left w:val="none" w:sz="0" w:space="0" w:color="auto"/>
            <w:bottom w:val="none" w:sz="0" w:space="0" w:color="auto"/>
            <w:right w:val="none" w:sz="0" w:space="0" w:color="auto"/>
          </w:divBdr>
        </w:div>
      </w:divsChild>
    </w:div>
    <w:div w:id="1490829217">
      <w:bodyDiv w:val="1"/>
      <w:marLeft w:val="0"/>
      <w:marRight w:val="0"/>
      <w:marTop w:val="0"/>
      <w:marBottom w:val="0"/>
      <w:divBdr>
        <w:top w:val="none" w:sz="0" w:space="0" w:color="auto"/>
        <w:left w:val="none" w:sz="0" w:space="0" w:color="auto"/>
        <w:bottom w:val="none" w:sz="0" w:space="0" w:color="auto"/>
        <w:right w:val="none" w:sz="0" w:space="0" w:color="auto"/>
      </w:divBdr>
      <w:divsChild>
        <w:div w:id="1713311454">
          <w:marLeft w:val="0"/>
          <w:marRight w:val="0"/>
          <w:marTop w:val="0"/>
          <w:marBottom w:val="0"/>
          <w:divBdr>
            <w:top w:val="none" w:sz="0" w:space="0" w:color="auto"/>
            <w:left w:val="none" w:sz="0" w:space="0" w:color="auto"/>
            <w:bottom w:val="none" w:sz="0" w:space="0" w:color="auto"/>
            <w:right w:val="none" w:sz="0" w:space="0" w:color="auto"/>
          </w:divBdr>
        </w:div>
        <w:div w:id="1744449278">
          <w:marLeft w:val="0"/>
          <w:marRight w:val="0"/>
          <w:marTop w:val="0"/>
          <w:marBottom w:val="0"/>
          <w:divBdr>
            <w:top w:val="none" w:sz="0" w:space="0" w:color="auto"/>
            <w:left w:val="none" w:sz="0" w:space="0" w:color="auto"/>
            <w:bottom w:val="none" w:sz="0" w:space="0" w:color="auto"/>
            <w:right w:val="none" w:sz="0" w:space="0" w:color="auto"/>
          </w:divBdr>
        </w:div>
      </w:divsChild>
    </w:div>
    <w:div w:id="1505365327">
      <w:bodyDiv w:val="1"/>
      <w:marLeft w:val="0"/>
      <w:marRight w:val="0"/>
      <w:marTop w:val="0"/>
      <w:marBottom w:val="0"/>
      <w:divBdr>
        <w:top w:val="none" w:sz="0" w:space="0" w:color="auto"/>
        <w:left w:val="none" w:sz="0" w:space="0" w:color="auto"/>
        <w:bottom w:val="none" w:sz="0" w:space="0" w:color="auto"/>
        <w:right w:val="none" w:sz="0" w:space="0" w:color="auto"/>
      </w:divBdr>
      <w:divsChild>
        <w:div w:id="1035422294">
          <w:marLeft w:val="0"/>
          <w:marRight w:val="0"/>
          <w:marTop w:val="0"/>
          <w:marBottom w:val="0"/>
          <w:divBdr>
            <w:top w:val="none" w:sz="0" w:space="0" w:color="auto"/>
            <w:left w:val="none" w:sz="0" w:space="0" w:color="auto"/>
            <w:bottom w:val="none" w:sz="0" w:space="0" w:color="auto"/>
            <w:right w:val="none" w:sz="0" w:space="0" w:color="auto"/>
          </w:divBdr>
        </w:div>
        <w:div w:id="1450513235">
          <w:marLeft w:val="0"/>
          <w:marRight w:val="0"/>
          <w:marTop w:val="0"/>
          <w:marBottom w:val="0"/>
          <w:divBdr>
            <w:top w:val="none" w:sz="0" w:space="0" w:color="auto"/>
            <w:left w:val="none" w:sz="0" w:space="0" w:color="auto"/>
            <w:bottom w:val="none" w:sz="0" w:space="0" w:color="auto"/>
            <w:right w:val="none" w:sz="0" w:space="0" w:color="auto"/>
          </w:divBdr>
        </w:div>
        <w:div w:id="1962764904">
          <w:marLeft w:val="0"/>
          <w:marRight w:val="0"/>
          <w:marTop w:val="0"/>
          <w:marBottom w:val="0"/>
          <w:divBdr>
            <w:top w:val="none" w:sz="0" w:space="0" w:color="auto"/>
            <w:left w:val="none" w:sz="0" w:space="0" w:color="auto"/>
            <w:bottom w:val="none" w:sz="0" w:space="0" w:color="auto"/>
            <w:right w:val="none" w:sz="0" w:space="0" w:color="auto"/>
          </w:divBdr>
        </w:div>
      </w:divsChild>
    </w:div>
    <w:div w:id="1514612002">
      <w:bodyDiv w:val="1"/>
      <w:marLeft w:val="0"/>
      <w:marRight w:val="0"/>
      <w:marTop w:val="0"/>
      <w:marBottom w:val="0"/>
      <w:divBdr>
        <w:top w:val="none" w:sz="0" w:space="0" w:color="auto"/>
        <w:left w:val="none" w:sz="0" w:space="0" w:color="auto"/>
        <w:bottom w:val="none" w:sz="0" w:space="0" w:color="auto"/>
        <w:right w:val="none" w:sz="0" w:space="0" w:color="auto"/>
      </w:divBdr>
    </w:div>
    <w:div w:id="1616711790">
      <w:bodyDiv w:val="1"/>
      <w:marLeft w:val="0"/>
      <w:marRight w:val="0"/>
      <w:marTop w:val="0"/>
      <w:marBottom w:val="0"/>
      <w:divBdr>
        <w:top w:val="none" w:sz="0" w:space="0" w:color="auto"/>
        <w:left w:val="none" w:sz="0" w:space="0" w:color="auto"/>
        <w:bottom w:val="none" w:sz="0" w:space="0" w:color="auto"/>
        <w:right w:val="none" w:sz="0" w:space="0" w:color="auto"/>
      </w:divBdr>
    </w:div>
    <w:div w:id="1661617338">
      <w:bodyDiv w:val="1"/>
      <w:marLeft w:val="0"/>
      <w:marRight w:val="0"/>
      <w:marTop w:val="0"/>
      <w:marBottom w:val="0"/>
      <w:divBdr>
        <w:top w:val="none" w:sz="0" w:space="0" w:color="auto"/>
        <w:left w:val="none" w:sz="0" w:space="0" w:color="auto"/>
        <w:bottom w:val="none" w:sz="0" w:space="0" w:color="auto"/>
        <w:right w:val="none" w:sz="0" w:space="0" w:color="auto"/>
      </w:divBdr>
      <w:divsChild>
        <w:div w:id="1825929717">
          <w:marLeft w:val="0"/>
          <w:marRight w:val="0"/>
          <w:marTop w:val="0"/>
          <w:marBottom w:val="0"/>
          <w:divBdr>
            <w:top w:val="none" w:sz="0" w:space="0" w:color="auto"/>
            <w:left w:val="none" w:sz="0" w:space="0" w:color="auto"/>
            <w:bottom w:val="none" w:sz="0" w:space="0" w:color="auto"/>
            <w:right w:val="none" w:sz="0" w:space="0" w:color="auto"/>
          </w:divBdr>
          <w:divsChild>
            <w:div w:id="794371331">
              <w:marLeft w:val="0"/>
              <w:marRight w:val="0"/>
              <w:marTop w:val="0"/>
              <w:marBottom w:val="0"/>
              <w:divBdr>
                <w:top w:val="none" w:sz="0" w:space="0" w:color="auto"/>
                <w:left w:val="none" w:sz="0" w:space="0" w:color="auto"/>
                <w:bottom w:val="none" w:sz="0" w:space="0" w:color="auto"/>
                <w:right w:val="none" w:sz="0" w:space="0" w:color="auto"/>
              </w:divBdr>
              <w:divsChild>
                <w:div w:id="1592735305">
                  <w:marLeft w:val="0"/>
                  <w:marRight w:val="0"/>
                  <w:marTop w:val="0"/>
                  <w:marBottom w:val="0"/>
                  <w:divBdr>
                    <w:top w:val="none" w:sz="0" w:space="0" w:color="auto"/>
                    <w:left w:val="none" w:sz="0" w:space="0" w:color="auto"/>
                    <w:bottom w:val="none" w:sz="0" w:space="0" w:color="auto"/>
                    <w:right w:val="none" w:sz="0" w:space="0" w:color="auto"/>
                  </w:divBdr>
                  <w:divsChild>
                    <w:div w:id="1623531201">
                      <w:marLeft w:val="0"/>
                      <w:marRight w:val="0"/>
                      <w:marTop w:val="0"/>
                      <w:marBottom w:val="0"/>
                      <w:divBdr>
                        <w:top w:val="none" w:sz="0" w:space="0" w:color="auto"/>
                        <w:left w:val="none" w:sz="0" w:space="0" w:color="auto"/>
                        <w:bottom w:val="none" w:sz="0" w:space="0" w:color="auto"/>
                        <w:right w:val="none" w:sz="0" w:space="0" w:color="auto"/>
                      </w:divBdr>
                      <w:divsChild>
                        <w:div w:id="1089424712">
                          <w:marLeft w:val="0"/>
                          <w:marRight w:val="0"/>
                          <w:marTop w:val="0"/>
                          <w:marBottom w:val="0"/>
                          <w:divBdr>
                            <w:top w:val="none" w:sz="0" w:space="0" w:color="auto"/>
                            <w:left w:val="none" w:sz="0" w:space="0" w:color="auto"/>
                            <w:bottom w:val="none" w:sz="0" w:space="0" w:color="auto"/>
                            <w:right w:val="none" w:sz="0" w:space="0" w:color="auto"/>
                          </w:divBdr>
                        </w:div>
                        <w:div w:id="121788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4764024">
      <w:bodyDiv w:val="1"/>
      <w:marLeft w:val="0"/>
      <w:marRight w:val="0"/>
      <w:marTop w:val="0"/>
      <w:marBottom w:val="0"/>
      <w:divBdr>
        <w:top w:val="none" w:sz="0" w:space="0" w:color="auto"/>
        <w:left w:val="none" w:sz="0" w:space="0" w:color="auto"/>
        <w:bottom w:val="none" w:sz="0" w:space="0" w:color="auto"/>
        <w:right w:val="none" w:sz="0" w:space="0" w:color="auto"/>
      </w:divBdr>
    </w:div>
    <w:div w:id="1808624540">
      <w:bodyDiv w:val="1"/>
      <w:marLeft w:val="0"/>
      <w:marRight w:val="0"/>
      <w:marTop w:val="0"/>
      <w:marBottom w:val="0"/>
      <w:divBdr>
        <w:top w:val="none" w:sz="0" w:space="0" w:color="auto"/>
        <w:left w:val="none" w:sz="0" w:space="0" w:color="auto"/>
        <w:bottom w:val="none" w:sz="0" w:space="0" w:color="auto"/>
        <w:right w:val="none" w:sz="0" w:space="0" w:color="auto"/>
      </w:divBdr>
      <w:divsChild>
        <w:div w:id="1216166045">
          <w:marLeft w:val="0"/>
          <w:marRight w:val="0"/>
          <w:marTop w:val="0"/>
          <w:marBottom w:val="0"/>
          <w:divBdr>
            <w:top w:val="none" w:sz="0" w:space="0" w:color="auto"/>
            <w:left w:val="none" w:sz="0" w:space="0" w:color="auto"/>
            <w:bottom w:val="none" w:sz="0" w:space="0" w:color="auto"/>
            <w:right w:val="none" w:sz="0" w:space="0" w:color="auto"/>
          </w:divBdr>
        </w:div>
      </w:divsChild>
    </w:div>
    <w:div w:id="1842547931">
      <w:bodyDiv w:val="1"/>
      <w:marLeft w:val="0"/>
      <w:marRight w:val="0"/>
      <w:marTop w:val="0"/>
      <w:marBottom w:val="0"/>
      <w:divBdr>
        <w:top w:val="none" w:sz="0" w:space="0" w:color="auto"/>
        <w:left w:val="none" w:sz="0" w:space="0" w:color="auto"/>
        <w:bottom w:val="none" w:sz="0" w:space="0" w:color="auto"/>
        <w:right w:val="none" w:sz="0" w:space="0" w:color="auto"/>
      </w:divBdr>
      <w:divsChild>
        <w:div w:id="74281968">
          <w:marLeft w:val="0"/>
          <w:marRight w:val="0"/>
          <w:marTop w:val="0"/>
          <w:marBottom w:val="0"/>
          <w:divBdr>
            <w:top w:val="none" w:sz="0" w:space="0" w:color="auto"/>
            <w:left w:val="none" w:sz="0" w:space="0" w:color="auto"/>
            <w:bottom w:val="none" w:sz="0" w:space="0" w:color="auto"/>
            <w:right w:val="none" w:sz="0" w:space="0" w:color="auto"/>
          </w:divBdr>
        </w:div>
        <w:div w:id="545876268">
          <w:marLeft w:val="0"/>
          <w:marRight w:val="0"/>
          <w:marTop w:val="0"/>
          <w:marBottom w:val="0"/>
          <w:divBdr>
            <w:top w:val="none" w:sz="0" w:space="0" w:color="auto"/>
            <w:left w:val="none" w:sz="0" w:space="0" w:color="auto"/>
            <w:bottom w:val="none" w:sz="0" w:space="0" w:color="auto"/>
            <w:right w:val="none" w:sz="0" w:space="0" w:color="auto"/>
          </w:divBdr>
        </w:div>
        <w:div w:id="845556696">
          <w:marLeft w:val="0"/>
          <w:marRight w:val="0"/>
          <w:marTop w:val="0"/>
          <w:marBottom w:val="0"/>
          <w:divBdr>
            <w:top w:val="none" w:sz="0" w:space="0" w:color="auto"/>
            <w:left w:val="none" w:sz="0" w:space="0" w:color="auto"/>
            <w:bottom w:val="none" w:sz="0" w:space="0" w:color="auto"/>
            <w:right w:val="none" w:sz="0" w:space="0" w:color="auto"/>
          </w:divBdr>
        </w:div>
        <w:div w:id="1811555924">
          <w:marLeft w:val="0"/>
          <w:marRight w:val="0"/>
          <w:marTop w:val="0"/>
          <w:marBottom w:val="0"/>
          <w:divBdr>
            <w:top w:val="none" w:sz="0" w:space="0" w:color="auto"/>
            <w:left w:val="none" w:sz="0" w:space="0" w:color="auto"/>
            <w:bottom w:val="none" w:sz="0" w:space="0" w:color="auto"/>
            <w:right w:val="none" w:sz="0" w:space="0" w:color="auto"/>
          </w:divBdr>
        </w:div>
      </w:divsChild>
    </w:div>
    <w:div w:id="1849638100">
      <w:bodyDiv w:val="1"/>
      <w:marLeft w:val="0"/>
      <w:marRight w:val="0"/>
      <w:marTop w:val="0"/>
      <w:marBottom w:val="0"/>
      <w:divBdr>
        <w:top w:val="none" w:sz="0" w:space="0" w:color="auto"/>
        <w:left w:val="none" w:sz="0" w:space="0" w:color="auto"/>
        <w:bottom w:val="none" w:sz="0" w:space="0" w:color="auto"/>
        <w:right w:val="none" w:sz="0" w:space="0" w:color="auto"/>
      </w:divBdr>
    </w:div>
    <w:div w:id="1852797184">
      <w:bodyDiv w:val="1"/>
      <w:marLeft w:val="0"/>
      <w:marRight w:val="0"/>
      <w:marTop w:val="0"/>
      <w:marBottom w:val="0"/>
      <w:divBdr>
        <w:top w:val="none" w:sz="0" w:space="0" w:color="auto"/>
        <w:left w:val="none" w:sz="0" w:space="0" w:color="auto"/>
        <w:bottom w:val="none" w:sz="0" w:space="0" w:color="auto"/>
        <w:right w:val="none" w:sz="0" w:space="0" w:color="auto"/>
      </w:divBdr>
    </w:div>
    <w:div w:id="2028866008">
      <w:bodyDiv w:val="1"/>
      <w:marLeft w:val="0"/>
      <w:marRight w:val="0"/>
      <w:marTop w:val="0"/>
      <w:marBottom w:val="0"/>
      <w:divBdr>
        <w:top w:val="none" w:sz="0" w:space="0" w:color="auto"/>
        <w:left w:val="none" w:sz="0" w:space="0" w:color="auto"/>
        <w:bottom w:val="none" w:sz="0" w:space="0" w:color="auto"/>
        <w:right w:val="none" w:sz="0" w:space="0" w:color="auto"/>
      </w:divBdr>
      <w:divsChild>
        <w:div w:id="1811631241">
          <w:marLeft w:val="0"/>
          <w:marRight w:val="0"/>
          <w:marTop w:val="0"/>
          <w:marBottom w:val="0"/>
          <w:divBdr>
            <w:top w:val="none" w:sz="0" w:space="0" w:color="auto"/>
            <w:left w:val="none" w:sz="0" w:space="0" w:color="auto"/>
            <w:bottom w:val="none" w:sz="0" w:space="0" w:color="auto"/>
            <w:right w:val="none" w:sz="0" w:space="0" w:color="auto"/>
          </w:divBdr>
        </w:div>
        <w:div w:id="1348871098">
          <w:marLeft w:val="0"/>
          <w:marRight w:val="0"/>
          <w:marTop w:val="0"/>
          <w:marBottom w:val="0"/>
          <w:divBdr>
            <w:top w:val="none" w:sz="0" w:space="0" w:color="auto"/>
            <w:left w:val="none" w:sz="0" w:space="0" w:color="auto"/>
            <w:bottom w:val="none" w:sz="0" w:space="0" w:color="auto"/>
            <w:right w:val="none" w:sz="0" w:space="0" w:color="auto"/>
          </w:divBdr>
        </w:div>
        <w:div w:id="826944208">
          <w:marLeft w:val="0"/>
          <w:marRight w:val="0"/>
          <w:marTop w:val="0"/>
          <w:marBottom w:val="0"/>
          <w:divBdr>
            <w:top w:val="none" w:sz="0" w:space="0" w:color="auto"/>
            <w:left w:val="none" w:sz="0" w:space="0" w:color="auto"/>
            <w:bottom w:val="none" w:sz="0" w:space="0" w:color="auto"/>
            <w:right w:val="none" w:sz="0" w:space="0" w:color="auto"/>
          </w:divBdr>
        </w:div>
        <w:div w:id="2033452085">
          <w:marLeft w:val="0"/>
          <w:marRight w:val="0"/>
          <w:marTop w:val="0"/>
          <w:marBottom w:val="0"/>
          <w:divBdr>
            <w:top w:val="none" w:sz="0" w:space="0" w:color="auto"/>
            <w:left w:val="none" w:sz="0" w:space="0" w:color="auto"/>
            <w:bottom w:val="none" w:sz="0" w:space="0" w:color="auto"/>
            <w:right w:val="none" w:sz="0" w:space="0" w:color="auto"/>
          </w:divBdr>
        </w:div>
      </w:divsChild>
    </w:div>
    <w:div w:id="2064596425">
      <w:bodyDiv w:val="1"/>
      <w:marLeft w:val="0"/>
      <w:marRight w:val="0"/>
      <w:marTop w:val="0"/>
      <w:marBottom w:val="0"/>
      <w:divBdr>
        <w:top w:val="none" w:sz="0" w:space="0" w:color="auto"/>
        <w:left w:val="none" w:sz="0" w:space="0" w:color="auto"/>
        <w:bottom w:val="none" w:sz="0" w:space="0" w:color="auto"/>
        <w:right w:val="none" w:sz="0" w:space="0" w:color="auto"/>
      </w:divBdr>
    </w:div>
    <w:div w:id="2081904808">
      <w:bodyDiv w:val="1"/>
      <w:marLeft w:val="0"/>
      <w:marRight w:val="0"/>
      <w:marTop w:val="0"/>
      <w:marBottom w:val="0"/>
      <w:divBdr>
        <w:top w:val="none" w:sz="0" w:space="0" w:color="auto"/>
        <w:left w:val="none" w:sz="0" w:space="0" w:color="auto"/>
        <w:bottom w:val="none" w:sz="0" w:space="0" w:color="auto"/>
        <w:right w:val="none" w:sz="0" w:space="0" w:color="auto"/>
      </w:divBdr>
      <w:divsChild>
        <w:div w:id="450906540">
          <w:marLeft w:val="0"/>
          <w:marRight w:val="0"/>
          <w:marTop w:val="0"/>
          <w:marBottom w:val="0"/>
          <w:divBdr>
            <w:top w:val="none" w:sz="0" w:space="0" w:color="auto"/>
            <w:left w:val="none" w:sz="0" w:space="0" w:color="auto"/>
            <w:bottom w:val="none" w:sz="0" w:space="0" w:color="auto"/>
            <w:right w:val="none" w:sz="0" w:space="0" w:color="auto"/>
          </w:divBdr>
        </w:div>
      </w:divsChild>
    </w:div>
    <w:div w:id="2084142029">
      <w:bodyDiv w:val="1"/>
      <w:marLeft w:val="0"/>
      <w:marRight w:val="0"/>
      <w:marTop w:val="0"/>
      <w:marBottom w:val="0"/>
      <w:divBdr>
        <w:top w:val="none" w:sz="0" w:space="0" w:color="auto"/>
        <w:left w:val="none" w:sz="0" w:space="0" w:color="auto"/>
        <w:bottom w:val="none" w:sz="0" w:space="0" w:color="auto"/>
        <w:right w:val="none" w:sz="0" w:space="0" w:color="auto"/>
      </w:divBdr>
    </w:div>
    <w:div w:id="2095196872">
      <w:bodyDiv w:val="1"/>
      <w:marLeft w:val="0"/>
      <w:marRight w:val="0"/>
      <w:marTop w:val="0"/>
      <w:marBottom w:val="0"/>
      <w:divBdr>
        <w:top w:val="none" w:sz="0" w:space="0" w:color="auto"/>
        <w:left w:val="none" w:sz="0" w:space="0" w:color="auto"/>
        <w:bottom w:val="none" w:sz="0" w:space="0" w:color="auto"/>
        <w:right w:val="none" w:sz="0" w:space="0" w:color="auto"/>
      </w:divBdr>
    </w:div>
    <w:div w:id="21404879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hyperlink" TargetMode="External" Target="https://www.e-tar.lt/portal/legalAct.html?documentId=936c2fc0a5a111ea9515f752ff221ec9"/>
  <Relationship Id="rId6" Type="http://schemas.openxmlformats.org/officeDocument/2006/relationships/hyperlink" TargetMode="External" Target="https://www.e-tar.lt/portal/legalAct.html?documentId=936c2fc0a5a111ea9515f752ff221ec9"/>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7098a0099c834fffbb2c3cdf9fa55a3a" PartId="2ceb236e2b694cdfb69f1117f4b14565"/>
</Parts>
</file>

<file path=customXml/itemProps1.xml><?xml version="1.0" encoding="utf-8"?>
<ds:datastoreItem xmlns:ds="http://schemas.openxmlformats.org/officeDocument/2006/customXml" ds:itemID="{EEF8CE8E-7EAE-40F1-AD07-5E54A82C194A}">
  <ds:schemaRefs>
    <ds:schemaRef ds:uri="http://schemas.openxmlformats.org/officeDocument/2006/bibliography"/>
  </ds:schemaRefs>
</ds:datastoreItem>
</file>

<file path=customXml/itemProps2.xml><?xml version="1.0" encoding="utf-8"?>
<ds:datastoreItem xmlns:ds="http://schemas.openxmlformats.org/officeDocument/2006/customXml" ds:itemID="{6FCAA80B-75F0-4C1D-8C93-B453128A3540}">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1423</Words>
  <Characters>9705</Characters>
  <Application>Microsoft Office Word</Application>
  <DocSecurity>4</DocSecurity>
  <Lines>225</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11048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2026-02-19T11:17:00Z</dcterms:created>
  <dc:creator>Rūta Juršaitė</dc:creator>
  <lastModifiedBy>adlibuser</lastModifiedBy>
  <dcterms:modified xsi:type="dcterms:W3CDTF">2026-02-19T11:17:00Z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